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rPr>
        <w:t>临时采购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密封提交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439"/>
        <w:gridCol w:w="1260"/>
        <w:gridCol w:w="3262"/>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439"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6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262"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0" w:hRule="atLeast"/>
          <w:jc w:val="center"/>
        </w:trPr>
        <w:tc>
          <w:tcPr>
            <w:tcW w:w="1070" w:type="dxa"/>
            <w:vAlign w:val="center"/>
          </w:tcPr>
          <w:p>
            <w:pPr>
              <w:widowControl/>
              <w:jc w:val="center"/>
              <w:textAlignment w:val="center"/>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2303L0</w:t>
            </w:r>
            <w:r>
              <w:rPr>
                <w:rFonts w:hint="eastAsia" w:ascii="宋体" w:hAnsi="宋体" w:cs="宋体"/>
                <w:color w:val="000000"/>
                <w:sz w:val="20"/>
                <w:szCs w:val="20"/>
                <w:lang w:val="en-US" w:eastAsia="zh-CN"/>
              </w:rPr>
              <w:t>36</w:t>
            </w:r>
          </w:p>
        </w:tc>
        <w:tc>
          <w:tcPr>
            <w:tcW w:w="1439" w:type="dxa"/>
            <w:vAlign w:val="center"/>
          </w:tcPr>
          <w:p>
            <w:pPr>
              <w:widowControl/>
              <w:jc w:val="center"/>
              <w:textAlignment w:val="center"/>
              <w:rPr>
                <w:rFonts w:hint="default" w:ascii="宋体" w:hAnsi="宋体" w:eastAsia="宋体" w:cs="宋体"/>
                <w:color w:val="000000"/>
                <w:sz w:val="20"/>
                <w:szCs w:val="20"/>
                <w:lang w:val="en-US" w:eastAsia="zh-CN"/>
              </w:rPr>
            </w:pPr>
            <w:r>
              <w:rPr>
                <w:rFonts w:hint="default" w:ascii="宋体" w:hAnsi="宋体" w:eastAsia="宋体" w:cs="宋体"/>
                <w:color w:val="000000"/>
                <w:sz w:val="20"/>
                <w:szCs w:val="20"/>
                <w:lang w:val="en-US" w:eastAsia="zh-CN"/>
              </w:rPr>
              <w:t>一次性吸引灌流导管</w:t>
            </w:r>
          </w:p>
        </w:tc>
        <w:tc>
          <w:tcPr>
            <w:tcW w:w="1260" w:type="dxa"/>
            <w:vAlign w:val="center"/>
          </w:tcPr>
          <w:p>
            <w:pPr>
              <w:widowControl/>
              <w:jc w:val="center"/>
              <w:textAlignment w:val="center"/>
              <w:rPr>
                <w:rFonts w:hint="default" w:ascii="宋体" w:hAnsi="宋体" w:eastAsia="宋体"/>
                <w:szCs w:val="21"/>
                <w:lang w:val="en-US" w:eastAsia="zh-CN"/>
              </w:rPr>
            </w:pPr>
            <w:r>
              <w:rPr>
                <w:rFonts w:hint="eastAsia" w:ascii="宋体" w:hAnsi="宋体" w:cs="宋体"/>
                <w:color w:val="000000"/>
                <w:sz w:val="20"/>
                <w:szCs w:val="20"/>
                <w:lang w:val="en-US" w:eastAsia="zh-CN"/>
              </w:rPr>
              <w:t>渝中院区普外创伤外科病房</w:t>
            </w:r>
          </w:p>
        </w:tc>
        <w:tc>
          <w:tcPr>
            <w:tcW w:w="3262" w:type="dxa"/>
            <w:vAlign w:val="center"/>
          </w:tcPr>
          <w:p>
            <w:pPr>
              <w:widowControl w:val="0"/>
              <w:numPr>
                <w:ilvl w:val="0"/>
                <w:numId w:val="2"/>
              </w:numPr>
              <w:jc w:val="both"/>
              <w:rPr>
                <w:rFonts w:hint="eastAsia"/>
                <w:lang w:val="en-US" w:eastAsia="zh-CN"/>
              </w:rPr>
            </w:pPr>
            <w:r>
              <w:rPr>
                <w:rFonts w:hint="eastAsia"/>
                <w:lang w:val="en-US" w:eastAsia="zh-CN"/>
              </w:rPr>
              <w:t>由冲洗管(接头、三通接头、管夹、穿刺器)，连接管、冲洗引流头(手柄、冲洗开关、吸引灌流管)、 附件控制装置(干电池、电机、控制线、PVC泵头)组成；</w:t>
            </w:r>
          </w:p>
          <w:p>
            <w:pPr>
              <w:widowControl w:val="0"/>
              <w:numPr>
                <w:ilvl w:val="0"/>
                <w:numId w:val="2"/>
              </w:numPr>
              <w:jc w:val="both"/>
              <w:rPr>
                <w:rFonts w:hint="eastAsia"/>
                <w:lang w:val="en-US" w:eastAsia="zh-CN"/>
              </w:rPr>
            </w:pPr>
            <w:r>
              <w:rPr>
                <w:rFonts w:hint="eastAsia"/>
                <w:lang w:val="en-US" w:eastAsia="zh-CN"/>
              </w:rPr>
              <w:t>导管自带电源，可自动加压冲洗，可双管同冲同吸。</w:t>
            </w:r>
            <w:bookmarkStart w:id="0" w:name="_GoBack"/>
            <w:bookmarkEnd w:id="0"/>
          </w:p>
          <w:p>
            <w:pPr>
              <w:widowControl w:val="0"/>
              <w:numPr>
                <w:ilvl w:val="0"/>
                <w:numId w:val="0"/>
              </w:numPr>
              <w:jc w:val="both"/>
              <w:rPr>
                <w:rFonts w:hint="eastAsia"/>
                <w:lang w:val="en-US" w:eastAsia="zh-CN"/>
              </w:rPr>
            </w:pPr>
          </w:p>
          <w:p>
            <w:pPr>
              <w:rPr>
                <w:rFonts w:hint="eastAsia"/>
              </w:rPr>
            </w:pPr>
            <w:r>
              <w:rPr>
                <w:rFonts w:hint="eastAsia"/>
              </w:rPr>
              <w:t>注1：如产品为列入法定计量检测或强制检定目录的工作计量器具及其他计量器具，乙方则须于产品性能验收时，向甲方提供由第三方出具的检测合格报告。</w:t>
            </w:r>
          </w:p>
          <w:p>
            <w:r>
              <w:rPr>
                <w:rFonts w:hint="eastAsia"/>
              </w:rPr>
              <w:t>注2：设备通过双方开户银行进行结算。设备到货安装调试完成并经甲方验收合格后，乙方开具全额发票，并出具验收报告向采购人提出付款申请，甲方在收到发票后60日内向乙方支付全部货款。</w:t>
            </w:r>
          </w:p>
          <w:p>
            <w:r>
              <w:rPr>
                <w:rFonts w:hint="eastAsia"/>
              </w:rPr>
              <w:t>注3：耗材类，甲方在收到发票后60日内向乙方支付全部货款。</w:t>
            </w:r>
          </w:p>
          <w:p>
            <w:pPr>
              <w:rPr>
                <w:rFonts w:ascii="宋体" w:hAnsi="宋体" w:cs="宋体"/>
                <w:kern w:val="0"/>
                <w:sz w:val="24"/>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个</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1、报价截止时间：收到本询价通知书后3个日历日内。</w:t>
      </w:r>
    </w:p>
    <w:p>
      <w:pPr>
        <w:spacing w:line="360" w:lineRule="auto"/>
        <w:ind w:firstLine="396" w:firstLineChars="200"/>
        <w:rPr>
          <w:rFonts w:hint="eastAsia" w:ascii="宋体" w:hAnsi="宋体" w:cs="Arial"/>
          <w:color w:val="000000"/>
          <w:spacing w:val="-6"/>
          <w:szCs w:val="21"/>
          <w:lang w:val="en-US" w:eastAsia="zh-CN"/>
        </w:rPr>
      </w:pPr>
      <w:r>
        <w:rPr>
          <w:rFonts w:hint="eastAsia" w:ascii="宋体" w:hAnsi="宋体" w:cs="Arial"/>
          <w:color w:val="000000"/>
          <w:spacing w:val="-6"/>
          <w:szCs w:val="21"/>
        </w:rPr>
        <w:t>2、报</w:t>
      </w:r>
      <w:r>
        <w:rPr>
          <w:rFonts w:hint="eastAsia" w:ascii="宋体" w:hAnsi="宋体" w:cs="Arial"/>
          <w:color w:val="000000"/>
          <w:spacing w:val="-6"/>
          <w:szCs w:val="21"/>
          <w:lang w:val="en-US" w:eastAsia="zh-CN"/>
        </w:rPr>
        <w:t>名方式</w:t>
      </w:r>
      <w:r>
        <w:rPr>
          <w:rFonts w:hint="eastAsia" w:ascii="宋体" w:hAnsi="宋体" w:cs="Arial"/>
          <w:color w:val="000000"/>
          <w:spacing w:val="-6"/>
          <w:szCs w:val="21"/>
        </w:rPr>
        <w:t>：重庆医科大学附属儿童医院</w:t>
      </w:r>
      <w:r>
        <w:rPr>
          <w:rFonts w:hint="eastAsia" w:ascii="宋体" w:hAnsi="宋体" w:cs="Arial"/>
          <w:color w:val="000000"/>
          <w:spacing w:val="-6"/>
          <w:szCs w:val="21"/>
          <w:lang w:val="en-US" w:eastAsia="zh-CN"/>
        </w:rPr>
        <w:t>招采平台线上报名。</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3、如果以邮寄方式寄送投标书，</w:t>
      </w:r>
      <w:r>
        <w:rPr>
          <w:rFonts w:hint="eastAsia" w:ascii="宋体" w:hAnsi="宋体" w:cs="Arial"/>
          <w:color w:val="FF0000"/>
          <w:spacing w:val="-6"/>
          <w:szCs w:val="21"/>
        </w:rPr>
        <w:t>我院只接收EMS快递</w:t>
      </w:r>
      <w:r>
        <w:rPr>
          <w:rFonts w:hint="eastAsia" w:ascii="宋体" w:hAnsi="宋体" w:cs="Arial"/>
          <w:color w:val="000000"/>
          <w:spacing w:val="-6"/>
          <w:szCs w:val="21"/>
        </w:rPr>
        <w:t>，送达日期（以招标人实际收到时间为准）需在报价截止时间以内。</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ascii="宋体" w:hAnsi="宋体"/>
          <w:szCs w:val="21"/>
        </w:rPr>
      </w:pPr>
      <w:r>
        <w:rPr>
          <w:rFonts w:ascii="宋体" w:hAnsi="宋体"/>
          <w:szCs w:val="21"/>
        </w:rPr>
        <w:t>1.招标内容包括设备的制造、运输（含现场运输）、保险、安装（含安装人员现场住宿）、调试、税金、验收、培训及质保期服务。</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szCs w:val="21"/>
        </w:rPr>
      </w:pPr>
      <w:r>
        <w:rPr>
          <w:rFonts w:ascii="宋体" w:hAnsi="宋体"/>
          <w:szCs w:val="21"/>
        </w:rPr>
        <w:t>3.提供</w:t>
      </w:r>
      <w:r>
        <w:rPr>
          <w:rFonts w:ascii="宋体" w:hAnsi="宋体"/>
          <w:b/>
          <w:szCs w:val="21"/>
          <w:u w:val="single"/>
        </w:rPr>
        <w:t>参数对照偏离表格</w:t>
      </w:r>
      <w:r>
        <w:rPr>
          <w:rFonts w:ascii="宋体" w:hAnsi="宋体"/>
          <w:szCs w:val="21"/>
        </w:rPr>
        <w:t>。</w:t>
      </w:r>
    </w:p>
    <w:p>
      <w:pPr>
        <w:spacing w:line="276" w:lineRule="auto"/>
        <w:ind w:firstLine="422" w:firstLineChars="200"/>
        <w:rPr>
          <w:rFonts w:ascii="宋体" w:hAnsi="宋体"/>
          <w:szCs w:val="21"/>
        </w:rPr>
      </w:pPr>
      <w:r>
        <w:rPr>
          <w:rFonts w:hint="eastAsia" w:ascii="宋体" w:hAnsi="宋体"/>
          <w:b/>
          <w:bCs/>
          <w:szCs w:val="21"/>
          <w:highlight w:val="yellow"/>
        </w:rPr>
        <w:t>4.现场询价时尽量提供样品（耗材类）。</w:t>
      </w:r>
    </w:p>
    <w:p>
      <w:pPr>
        <w:spacing w:line="276" w:lineRule="auto"/>
        <w:ind w:firstLine="420" w:firstLineChars="200"/>
        <w:rPr>
          <w:rFonts w:ascii="宋体" w:hAnsi="宋体"/>
          <w:szCs w:val="21"/>
        </w:rPr>
      </w:pPr>
      <w:r>
        <w:rPr>
          <w:rFonts w:hint="eastAsia" w:ascii="宋体" w:hAnsi="宋体"/>
          <w:szCs w:val="21"/>
        </w:rPr>
        <w:t>5.</w:t>
      </w:r>
      <w:r>
        <w:rPr>
          <w:rFonts w:hint="eastAsia" w:ascii="宋体" w:hAnsi="宋体"/>
          <w:b/>
          <w:bCs/>
          <w:szCs w:val="21"/>
        </w:rPr>
        <w:t>若已挂网，需提供药交网价格截图。</w:t>
      </w:r>
    </w:p>
    <w:p>
      <w:pPr>
        <w:spacing w:line="276" w:lineRule="auto"/>
        <w:ind w:firstLine="420" w:firstLineChars="200"/>
        <w:rPr>
          <w:rFonts w:ascii="宋体" w:hAnsi="宋体"/>
          <w:szCs w:val="21"/>
        </w:rPr>
      </w:pPr>
      <w:r>
        <w:rPr>
          <w:rFonts w:hint="eastAsia" w:ascii="宋体" w:hAnsi="宋体"/>
          <w:szCs w:val="21"/>
        </w:rPr>
        <w:t>6.</w:t>
      </w:r>
      <w:r>
        <w:rPr>
          <w:rFonts w:hint="eastAsia" w:ascii="宋体" w:hAnsi="宋体"/>
          <w:b/>
          <w:bCs/>
          <w:szCs w:val="21"/>
        </w:rPr>
        <w:t>提供3家供给其他医疗机构的发票，最好为三甲医院。</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3"/>
        </w:numPr>
        <w:spacing w:line="360" w:lineRule="auto"/>
      </w:pPr>
      <w:r>
        <w:rPr>
          <w:rFonts w:hint="eastAsia" w:ascii="宋体" w:hAnsi="宋体"/>
          <w:szCs w:val="21"/>
        </w:rPr>
        <w:t>开标一览表（耗材招标不填此表）                              （格式见附件1）</w:t>
      </w:r>
    </w:p>
    <w:p>
      <w:pPr>
        <w:numPr>
          <w:ilvl w:val="0"/>
          <w:numId w:val="3"/>
        </w:numPr>
        <w:spacing w:line="360" w:lineRule="auto"/>
        <w:rPr>
          <w:rFonts w:ascii="宋体" w:hAnsi="宋体"/>
          <w:szCs w:val="21"/>
        </w:rPr>
      </w:pPr>
      <w:r>
        <w:rPr>
          <w:rFonts w:hint="eastAsia" w:ascii="宋体" w:hAnsi="宋体"/>
          <w:szCs w:val="21"/>
        </w:rPr>
        <w:t>所投各产品的技术参数（或技术指标）</w:t>
      </w:r>
    </w:p>
    <w:p>
      <w:pPr>
        <w:numPr>
          <w:ilvl w:val="0"/>
          <w:numId w:val="3"/>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rPr>
        <w:t>4   耗材招标专用报价表（设备招标不填此表）                        （格式见附件3）</w:t>
      </w:r>
    </w:p>
    <w:p>
      <w:pPr>
        <w:spacing w:line="360" w:lineRule="auto"/>
        <w:rPr>
          <w:rFonts w:ascii="宋体" w:hAnsi="宋体"/>
          <w:szCs w:val="21"/>
        </w:rPr>
      </w:pPr>
      <w:r>
        <w:rPr>
          <w:rFonts w:hint="eastAsia" w:ascii="宋体" w:hAnsi="宋体"/>
          <w:szCs w:val="21"/>
        </w:rPr>
        <w:t xml:space="preserve">5   产品彩页  </w:t>
      </w:r>
    </w:p>
    <w:p>
      <w:pPr>
        <w:spacing w:line="360" w:lineRule="auto"/>
        <w:rPr>
          <w:rFonts w:ascii="宋体" w:hAnsi="宋体"/>
          <w:szCs w:val="21"/>
        </w:rPr>
      </w:pPr>
      <w:r>
        <w:rPr>
          <w:rFonts w:hint="eastAsia" w:ascii="宋体" w:hAnsi="宋体"/>
          <w:szCs w:val="21"/>
        </w:rPr>
        <w:t xml:space="preserve">6   价格支撑文件（药交网开标当日价格截图或给其他医疗机构的供货发票）     </w:t>
      </w:r>
    </w:p>
    <w:p>
      <w:pPr>
        <w:spacing w:line="360" w:lineRule="auto"/>
        <w:rPr>
          <w:rFonts w:ascii="宋体" w:hAnsi="宋体"/>
          <w:b/>
          <w:szCs w:val="21"/>
        </w:rPr>
      </w:pPr>
      <w:r>
        <w:rPr>
          <w:rFonts w:hint="eastAsia" w:ascii="宋体" w:hAnsi="宋体"/>
          <w:b/>
          <w:szCs w:val="21"/>
        </w:rPr>
        <w:t>三、文件的式样和签署</w:t>
      </w:r>
    </w:p>
    <w:p>
      <w:pPr>
        <w:numPr>
          <w:ilvl w:val="0"/>
          <w:numId w:val="4"/>
        </w:numPr>
        <w:spacing w:line="360" w:lineRule="auto"/>
        <w:rPr>
          <w:rFonts w:ascii="宋体" w:hAnsi="宋体"/>
          <w:szCs w:val="21"/>
        </w:rPr>
      </w:pPr>
      <w:r>
        <w:rPr>
          <w:rFonts w:hint="eastAsia" w:ascii="宋体" w:hAnsi="宋体"/>
          <w:szCs w:val="21"/>
        </w:rPr>
        <w:t>报价文件需提交</w:t>
      </w:r>
      <w:r>
        <w:rPr>
          <w:rFonts w:ascii="宋体" w:hAnsi="宋体"/>
          <w:b/>
          <w:szCs w:val="21"/>
        </w:rPr>
        <w:t>一正</w:t>
      </w:r>
      <w:r>
        <w:rPr>
          <w:rFonts w:hint="eastAsia" w:ascii="宋体" w:hAnsi="宋体"/>
          <w:b/>
          <w:szCs w:val="21"/>
        </w:rPr>
        <w:t>两副</w:t>
      </w:r>
      <w:r>
        <w:rPr>
          <w:rFonts w:hint="eastAsia" w:ascii="宋体" w:hAnsi="宋体"/>
          <w:szCs w:val="21"/>
        </w:rPr>
        <w:t>；并在投标文件封面分别注明“正本”和“副本”字样。</w:t>
      </w:r>
    </w:p>
    <w:p>
      <w:pPr>
        <w:numPr>
          <w:ilvl w:val="0"/>
          <w:numId w:val="4"/>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4"/>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ascii="宋体" w:hAnsi="宋体"/>
          <w:szCs w:val="21"/>
        </w:rPr>
      </w:pPr>
      <w:r>
        <w:rPr>
          <w:rFonts w:hint="eastAsia" w:ascii="宋体" w:hAnsi="宋体"/>
          <w:color w:val="000000"/>
          <w:szCs w:val="21"/>
        </w:rPr>
        <w:t>附件3-</w:t>
      </w:r>
      <w:r>
        <w:rPr>
          <w:rFonts w:hint="eastAsia" w:ascii="宋体" w:hAnsi="宋体"/>
          <w:szCs w:val="21"/>
        </w:rPr>
        <w:t>耗材招标专用报价表</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2174"/>
        <w:gridCol w:w="1850"/>
        <w:gridCol w:w="776"/>
        <w:gridCol w:w="701"/>
        <w:gridCol w:w="1462"/>
        <w:gridCol w:w="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vAlign w:val="center"/>
          </w:tcPr>
          <w:p>
            <w:pPr>
              <w:jc w:val="center"/>
              <w:rPr>
                <w:rFonts w:ascii="宋体" w:hAnsi="宋体"/>
                <w:b/>
                <w:color w:val="000000"/>
                <w:szCs w:val="21"/>
              </w:rPr>
            </w:pPr>
            <w:r>
              <w:rPr>
                <w:rFonts w:hint="eastAsia" w:ascii="宋体" w:hAnsi="宋体"/>
                <w:b/>
                <w:color w:val="000000"/>
                <w:szCs w:val="21"/>
              </w:rPr>
              <w:t>医疗器械注册证号/有效期</w:t>
            </w:r>
          </w:p>
        </w:tc>
        <w:tc>
          <w:tcPr>
            <w:tcW w:w="1340" w:type="dxa"/>
            <w:vAlign w:val="center"/>
          </w:tcPr>
          <w:p>
            <w:pPr>
              <w:jc w:val="center"/>
              <w:rPr>
                <w:rFonts w:ascii="宋体" w:hAnsi="宋体"/>
                <w:b/>
                <w:color w:val="000000"/>
                <w:szCs w:val="21"/>
              </w:rPr>
            </w:pPr>
            <w:r>
              <w:rPr>
                <w:rFonts w:hint="eastAsia" w:ascii="宋体" w:hAnsi="宋体"/>
                <w:b/>
                <w:color w:val="000000"/>
                <w:szCs w:val="21"/>
              </w:rPr>
              <w:t>规格型号</w:t>
            </w:r>
          </w:p>
        </w:tc>
        <w:tc>
          <w:tcPr>
            <w:tcW w:w="1091" w:type="dxa"/>
            <w:vAlign w:val="center"/>
          </w:tcPr>
          <w:p>
            <w:pPr>
              <w:jc w:val="center"/>
              <w:rPr>
                <w:rFonts w:ascii="宋体" w:hAnsi="宋体"/>
                <w:b/>
                <w:color w:val="000000"/>
                <w:szCs w:val="21"/>
              </w:rPr>
            </w:pPr>
            <w:r>
              <w:rPr>
                <w:rFonts w:hint="eastAsia" w:ascii="宋体" w:hAnsi="宋体"/>
                <w:b/>
                <w:color w:val="000000"/>
                <w:szCs w:val="21"/>
              </w:rPr>
              <w:t>生产厂家</w:t>
            </w:r>
          </w:p>
        </w:tc>
        <w:tc>
          <w:tcPr>
            <w:tcW w:w="709" w:type="dxa"/>
            <w:vAlign w:val="center"/>
          </w:tcPr>
          <w:p>
            <w:pPr>
              <w:ind w:right="-155" w:rightChars="-74"/>
              <w:jc w:val="center"/>
              <w:rPr>
                <w:rFonts w:ascii="宋体" w:hAnsi="宋体"/>
                <w:b/>
                <w:color w:val="000000"/>
                <w:szCs w:val="21"/>
              </w:rPr>
            </w:pPr>
            <w:r>
              <w:rPr>
                <w:rFonts w:hint="eastAsia" w:ascii="宋体" w:hAnsi="宋体"/>
                <w:b/>
                <w:color w:val="000000"/>
                <w:szCs w:val="21"/>
              </w:rPr>
              <w:t>产地</w:t>
            </w:r>
          </w:p>
        </w:tc>
        <w:tc>
          <w:tcPr>
            <w:tcW w:w="2174" w:type="dxa"/>
            <w:vAlign w:val="center"/>
          </w:tcPr>
          <w:p>
            <w:pPr>
              <w:jc w:val="center"/>
              <w:rPr>
                <w:rFonts w:ascii="宋体" w:hAnsi="宋体"/>
                <w:b/>
                <w:color w:val="000000"/>
                <w:szCs w:val="21"/>
              </w:rPr>
            </w:pPr>
            <w:r>
              <w:rPr>
                <w:rFonts w:hint="eastAsia" w:ascii="宋体" w:hAnsi="宋体"/>
                <w:b/>
                <w:color w:val="000000"/>
                <w:szCs w:val="21"/>
              </w:rPr>
              <w:t>药交所平台挂网最低价/计价单位</w:t>
            </w:r>
          </w:p>
        </w:tc>
        <w:tc>
          <w:tcPr>
            <w:tcW w:w="1850" w:type="dxa"/>
            <w:vAlign w:val="center"/>
          </w:tcPr>
          <w:p>
            <w:pPr>
              <w:jc w:val="center"/>
              <w:rPr>
                <w:rFonts w:ascii="宋体" w:hAnsi="宋体"/>
                <w:b/>
                <w:color w:val="000000"/>
                <w:szCs w:val="21"/>
              </w:rPr>
            </w:pPr>
            <w:r>
              <w:rPr>
                <w:rFonts w:hint="eastAsia" w:ascii="宋体" w:hAnsi="宋体"/>
                <w:b/>
                <w:color w:val="000000"/>
                <w:szCs w:val="21"/>
              </w:rPr>
              <w:t>药交所平台挂网最高价/计价单位</w:t>
            </w:r>
          </w:p>
        </w:tc>
        <w:tc>
          <w:tcPr>
            <w:tcW w:w="776" w:type="dxa"/>
            <w:vAlign w:val="center"/>
          </w:tcPr>
          <w:p>
            <w:pPr>
              <w:jc w:val="center"/>
              <w:rPr>
                <w:rFonts w:ascii="宋体" w:hAnsi="宋体"/>
                <w:b/>
                <w:color w:val="000000"/>
                <w:szCs w:val="21"/>
              </w:rPr>
            </w:pPr>
            <w:r>
              <w:rPr>
                <w:rFonts w:hint="eastAsia" w:ascii="宋体" w:hAnsi="宋体"/>
                <w:b/>
                <w:color w:val="000000"/>
                <w:szCs w:val="21"/>
              </w:rPr>
              <w:t>计数单位</w:t>
            </w:r>
          </w:p>
        </w:tc>
        <w:tc>
          <w:tcPr>
            <w:tcW w:w="701" w:type="dxa"/>
            <w:vAlign w:val="center"/>
          </w:tcPr>
          <w:p>
            <w:pPr>
              <w:jc w:val="center"/>
              <w:rPr>
                <w:rFonts w:ascii="宋体" w:hAnsi="宋体"/>
                <w:b/>
                <w:color w:val="000000"/>
                <w:szCs w:val="21"/>
              </w:rPr>
            </w:pPr>
            <w:r>
              <w:rPr>
                <w:rFonts w:hint="eastAsia" w:ascii="宋体" w:hAnsi="宋体"/>
                <w:b/>
                <w:color w:val="000000"/>
                <w:szCs w:val="21"/>
              </w:rPr>
              <w:t>采购数量</w:t>
            </w:r>
          </w:p>
        </w:tc>
        <w:tc>
          <w:tcPr>
            <w:tcW w:w="1462" w:type="dxa"/>
            <w:vAlign w:val="center"/>
          </w:tcPr>
          <w:p>
            <w:pPr>
              <w:jc w:val="center"/>
              <w:rPr>
                <w:rFonts w:ascii="宋体" w:hAnsi="宋体"/>
                <w:b/>
                <w:color w:val="000000"/>
                <w:szCs w:val="21"/>
              </w:rPr>
            </w:pPr>
            <w:r>
              <w:rPr>
                <w:rFonts w:hint="eastAsia" w:ascii="宋体" w:hAnsi="宋体"/>
                <w:b/>
                <w:color w:val="000000"/>
                <w:szCs w:val="21"/>
              </w:rPr>
              <w:t>投标价（元）</w:t>
            </w:r>
          </w:p>
        </w:tc>
        <w:tc>
          <w:tcPr>
            <w:tcW w:w="674" w:type="dxa"/>
            <w:vAlign w:val="center"/>
          </w:tcPr>
          <w:p>
            <w:pPr>
              <w:jc w:val="center"/>
              <w:rPr>
                <w:rFonts w:ascii="宋体" w:hAnsi="宋体"/>
                <w:b/>
                <w:color w:val="000000"/>
                <w:szCs w:val="21"/>
              </w:rPr>
            </w:pPr>
            <w:r>
              <w:rPr>
                <w:rFonts w:hint="eastAsia" w:ascii="宋体" w:hAnsi="宋体"/>
                <w:b/>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ascii="宋体" w:hAnsi="宋体"/>
                <w:szCs w:val="21"/>
                <w:lang w:val="de-DE"/>
              </w:rPr>
            </w:pPr>
          </w:p>
        </w:tc>
        <w:tc>
          <w:tcPr>
            <w:tcW w:w="2057" w:type="dxa"/>
            <w:vAlign w:val="center"/>
          </w:tcPr>
          <w:p>
            <w:pPr>
              <w:spacing w:line="480" w:lineRule="auto"/>
              <w:jc w:val="center"/>
              <w:rPr>
                <w:rFonts w:ascii="宋体" w:hAnsi="宋体"/>
                <w:color w:val="000000"/>
                <w:szCs w:val="21"/>
              </w:rPr>
            </w:pPr>
          </w:p>
        </w:tc>
        <w:tc>
          <w:tcPr>
            <w:tcW w:w="1340" w:type="dxa"/>
            <w:vAlign w:val="center"/>
          </w:tcPr>
          <w:p>
            <w:pPr>
              <w:spacing w:line="480" w:lineRule="auto"/>
              <w:jc w:val="center"/>
              <w:rPr>
                <w:rFonts w:ascii="宋体" w:hAnsi="宋体"/>
                <w:color w:val="000000"/>
                <w:szCs w:val="21"/>
              </w:rPr>
            </w:pPr>
          </w:p>
        </w:tc>
        <w:tc>
          <w:tcPr>
            <w:tcW w:w="1091" w:type="dxa"/>
            <w:vAlign w:val="center"/>
          </w:tcPr>
          <w:p>
            <w:pPr>
              <w:spacing w:line="480" w:lineRule="auto"/>
              <w:jc w:val="center"/>
              <w:rPr>
                <w:rFonts w:ascii="宋体" w:hAnsi="宋体"/>
                <w:color w:val="000000"/>
                <w:szCs w:val="21"/>
              </w:rPr>
            </w:pPr>
          </w:p>
        </w:tc>
        <w:tc>
          <w:tcPr>
            <w:tcW w:w="709" w:type="dxa"/>
            <w:vAlign w:val="center"/>
          </w:tcPr>
          <w:p>
            <w:pPr>
              <w:spacing w:line="480" w:lineRule="auto"/>
              <w:jc w:val="center"/>
              <w:rPr>
                <w:rFonts w:ascii="宋体" w:hAnsi="宋体"/>
                <w:color w:val="000000"/>
                <w:szCs w:val="21"/>
              </w:rPr>
            </w:pPr>
          </w:p>
        </w:tc>
        <w:tc>
          <w:tcPr>
            <w:tcW w:w="2174" w:type="dxa"/>
            <w:vAlign w:val="center"/>
          </w:tcPr>
          <w:p>
            <w:pPr>
              <w:spacing w:line="480" w:lineRule="auto"/>
              <w:jc w:val="center"/>
              <w:rPr>
                <w:rFonts w:ascii="宋体" w:hAnsi="宋体"/>
                <w:color w:val="000000"/>
                <w:szCs w:val="21"/>
              </w:rPr>
            </w:pPr>
          </w:p>
        </w:tc>
        <w:tc>
          <w:tcPr>
            <w:tcW w:w="1850" w:type="dxa"/>
            <w:vAlign w:val="center"/>
          </w:tcPr>
          <w:p>
            <w:pPr>
              <w:spacing w:line="480" w:lineRule="auto"/>
              <w:jc w:val="center"/>
              <w:rPr>
                <w:rFonts w:ascii="宋体" w:hAnsi="宋体"/>
                <w:color w:val="000000"/>
                <w:szCs w:val="21"/>
              </w:rPr>
            </w:pPr>
          </w:p>
        </w:tc>
        <w:tc>
          <w:tcPr>
            <w:tcW w:w="776" w:type="dxa"/>
            <w:vAlign w:val="center"/>
          </w:tcPr>
          <w:p>
            <w:pPr>
              <w:spacing w:line="480" w:lineRule="auto"/>
              <w:jc w:val="center"/>
              <w:rPr>
                <w:rFonts w:ascii="宋体" w:hAnsi="宋体"/>
                <w:color w:val="000000"/>
                <w:szCs w:val="21"/>
              </w:rPr>
            </w:pPr>
          </w:p>
        </w:tc>
        <w:tc>
          <w:tcPr>
            <w:tcW w:w="701" w:type="dxa"/>
            <w:vAlign w:val="center"/>
          </w:tcPr>
          <w:p>
            <w:pPr>
              <w:spacing w:line="480" w:lineRule="auto"/>
              <w:jc w:val="center"/>
              <w:rPr>
                <w:rFonts w:ascii="宋体" w:hAnsi="宋体"/>
                <w:color w:val="000000"/>
                <w:szCs w:val="21"/>
              </w:rPr>
            </w:pPr>
          </w:p>
        </w:tc>
        <w:tc>
          <w:tcPr>
            <w:tcW w:w="1462" w:type="dxa"/>
            <w:vAlign w:val="center"/>
          </w:tcPr>
          <w:p>
            <w:pPr>
              <w:spacing w:line="480" w:lineRule="auto"/>
              <w:jc w:val="center"/>
              <w:rPr>
                <w:rFonts w:ascii="宋体" w:hAnsi="宋体"/>
                <w:color w:val="000000"/>
                <w:szCs w:val="21"/>
              </w:rPr>
            </w:pPr>
          </w:p>
        </w:tc>
        <w:tc>
          <w:tcPr>
            <w:tcW w:w="674" w:type="dxa"/>
            <w:vAlign w:val="center"/>
          </w:tcPr>
          <w:p>
            <w:pPr>
              <w:spacing w:line="48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ascii="宋体" w:hAnsi="宋体"/>
                <w:szCs w:val="21"/>
                <w:lang w:val="de-DE"/>
              </w:rPr>
            </w:pPr>
          </w:p>
        </w:tc>
        <w:tc>
          <w:tcPr>
            <w:tcW w:w="2057" w:type="dxa"/>
            <w:vAlign w:val="center"/>
          </w:tcPr>
          <w:p>
            <w:pPr>
              <w:spacing w:line="480" w:lineRule="auto"/>
              <w:jc w:val="center"/>
              <w:rPr>
                <w:rFonts w:ascii="宋体" w:hAnsi="宋体"/>
                <w:color w:val="000000"/>
                <w:szCs w:val="21"/>
              </w:rPr>
            </w:pPr>
          </w:p>
        </w:tc>
        <w:tc>
          <w:tcPr>
            <w:tcW w:w="1340" w:type="dxa"/>
            <w:vAlign w:val="center"/>
          </w:tcPr>
          <w:p>
            <w:pPr>
              <w:spacing w:line="480" w:lineRule="auto"/>
              <w:jc w:val="center"/>
              <w:rPr>
                <w:rFonts w:ascii="宋体" w:hAnsi="宋体"/>
                <w:color w:val="000000"/>
                <w:szCs w:val="21"/>
              </w:rPr>
            </w:pPr>
          </w:p>
        </w:tc>
        <w:tc>
          <w:tcPr>
            <w:tcW w:w="1091" w:type="dxa"/>
            <w:vAlign w:val="center"/>
          </w:tcPr>
          <w:p>
            <w:pPr>
              <w:spacing w:line="480" w:lineRule="auto"/>
              <w:jc w:val="center"/>
              <w:rPr>
                <w:rFonts w:ascii="宋体" w:hAnsi="宋体"/>
                <w:color w:val="000000"/>
                <w:szCs w:val="21"/>
              </w:rPr>
            </w:pPr>
          </w:p>
        </w:tc>
        <w:tc>
          <w:tcPr>
            <w:tcW w:w="709" w:type="dxa"/>
            <w:vAlign w:val="center"/>
          </w:tcPr>
          <w:p>
            <w:pPr>
              <w:spacing w:line="480" w:lineRule="auto"/>
              <w:ind w:right="403" w:rightChars="192"/>
              <w:jc w:val="center"/>
              <w:rPr>
                <w:rFonts w:ascii="宋体" w:hAnsi="宋体"/>
                <w:color w:val="000000"/>
                <w:szCs w:val="21"/>
              </w:rPr>
            </w:pPr>
          </w:p>
        </w:tc>
        <w:tc>
          <w:tcPr>
            <w:tcW w:w="2174" w:type="dxa"/>
            <w:vAlign w:val="center"/>
          </w:tcPr>
          <w:p>
            <w:pPr>
              <w:spacing w:line="480" w:lineRule="auto"/>
              <w:jc w:val="center"/>
              <w:rPr>
                <w:rFonts w:ascii="宋体" w:hAnsi="宋体"/>
                <w:color w:val="000000"/>
                <w:szCs w:val="21"/>
              </w:rPr>
            </w:pPr>
            <w:r>
              <w:rPr>
                <w:rFonts w:hint="eastAsia" w:ascii="宋体" w:hAnsi="宋体"/>
                <w:color w:val="000000"/>
                <w:szCs w:val="21"/>
              </w:rPr>
              <w:t xml:space="preserve"> </w:t>
            </w:r>
          </w:p>
        </w:tc>
        <w:tc>
          <w:tcPr>
            <w:tcW w:w="1850" w:type="dxa"/>
            <w:vAlign w:val="center"/>
          </w:tcPr>
          <w:p>
            <w:pPr>
              <w:spacing w:line="480" w:lineRule="auto"/>
              <w:jc w:val="center"/>
              <w:rPr>
                <w:rFonts w:ascii="宋体" w:hAnsi="宋体"/>
                <w:color w:val="000000"/>
                <w:szCs w:val="21"/>
              </w:rPr>
            </w:pPr>
          </w:p>
        </w:tc>
        <w:tc>
          <w:tcPr>
            <w:tcW w:w="776" w:type="dxa"/>
            <w:vAlign w:val="center"/>
          </w:tcPr>
          <w:p>
            <w:pPr>
              <w:spacing w:line="480" w:lineRule="auto"/>
              <w:jc w:val="center"/>
              <w:rPr>
                <w:rFonts w:ascii="宋体" w:hAnsi="宋体"/>
                <w:color w:val="000000"/>
                <w:szCs w:val="21"/>
              </w:rPr>
            </w:pPr>
          </w:p>
        </w:tc>
        <w:tc>
          <w:tcPr>
            <w:tcW w:w="701" w:type="dxa"/>
            <w:vAlign w:val="center"/>
          </w:tcPr>
          <w:p>
            <w:pPr>
              <w:spacing w:line="480" w:lineRule="auto"/>
              <w:jc w:val="center"/>
              <w:rPr>
                <w:rFonts w:ascii="宋体" w:hAnsi="宋体"/>
                <w:color w:val="000000"/>
                <w:szCs w:val="21"/>
              </w:rPr>
            </w:pPr>
          </w:p>
        </w:tc>
        <w:tc>
          <w:tcPr>
            <w:tcW w:w="1462" w:type="dxa"/>
            <w:vAlign w:val="center"/>
          </w:tcPr>
          <w:p>
            <w:pPr>
              <w:spacing w:line="480" w:lineRule="auto"/>
              <w:jc w:val="center"/>
              <w:rPr>
                <w:rFonts w:ascii="宋体" w:hAnsi="宋体"/>
                <w:color w:val="000000"/>
                <w:szCs w:val="21"/>
              </w:rPr>
            </w:pPr>
          </w:p>
        </w:tc>
        <w:tc>
          <w:tcPr>
            <w:tcW w:w="674" w:type="dxa"/>
            <w:vAlign w:val="center"/>
          </w:tcPr>
          <w:p>
            <w:pPr>
              <w:spacing w:line="48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ascii="宋体" w:hAnsi="宋体"/>
                <w:szCs w:val="21"/>
                <w:lang w:val="de-DE"/>
              </w:rPr>
            </w:pPr>
          </w:p>
        </w:tc>
        <w:tc>
          <w:tcPr>
            <w:tcW w:w="2057" w:type="dxa"/>
            <w:vAlign w:val="center"/>
          </w:tcPr>
          <w:p>
            <w:pPr>
              <w:spacing w:line="480" w:lineRule="auto"/>
              <w:jc w:val="center"/>
              <w:rPr>
                <w:rFonts w:ascii="宋体" w:hAnsi="宋体"/>
                <w:color w:val="000000"/>
                <w:szCs w:val="21"/>
              </w:rPr>
            </w:pPr>
          </w:p>
        </w:tc>
        <w:tc>
          <w:tcPr>
            <w:tcW w:w="1340" w:type="dxa"/>
            <w:vAlign w:val="center"/>
          </w:tcPr>
          <w:p>
            <w:pPr>
              <w:spacing w:line="480" w:lineRule="auto"/>
              <w:jc w:val="center"/>
              <w:rPr>
                <w:rFonts w:ascii="宋体" w:hAnsi="宋体"/>
                <w:color w:val="000000"/>
                <w:szCs w:val="21"/>
              </w:rPr>
            </w:pPr>
          </w:p>
        </w:tc>
        <w:tc>
          <w:tcPr>
            <w:tcW w:w="1091" w:type="dxa"/>
            <w:vAlign w:val="center"/>
          </w:tcPr>
          <w:p>
            <w:pPr>
              <w:spacing w:line="480" w:lineRule="auto"/>
              <w:jc w:val="center"/>
              <w:rPr>
                <w:rFonts w:ascii="宋体" w:hAnsi="宋体"/>
                <w:color w:val="000000"/>
                <w:szCs w:val="21"/>
              </w:rPr>
            </w:pPr>
          </w:p>
        </w:tc>
        <w:tc>
          <w:tcPr>
            <w:tcW w:w="709" w:type="dxa"/>
            <w:vAlign w:val="center"/>
          </w:tcPr>
          <w:p>
            <w:pPr>
              <w:spacing w:line="480" w:lineRule="auto"/>
              <w:jc w:val="center"/>
              <w:rPr>
                <w:rFonts w:ascii="宋体" w:hAnsi="宋体"/>
                <w:color w:val="000000"/>
                <w:szCs w:val="21"/>
              </w:rPr>
            </w:pPr>
          </w:p>
        </w:tc>
        <w:tc>
          <w:tcPr>
            <w:tcW w:w="2174" w:type="dxa"/>
            <w:vAlign w:val="center"/>
          </w:tcPr>
          <w:p>
            <w:pPr>
              <w:spacing w:line="480" w:lineRule="auto"/>
              <w:jc w:val="center"/>
              <w:rPr>
                <w:rFonts w:ascii="宋体" w:hAnsi="宋体"/>
                <w:color w:val="000000"/>
                <w:szCs w:val="21"/>
              </w:rPr>
            </w:pPr>
          </w:p>
        </w:tc>
        <w:tc>
          <w:tcPr>
            <w:tcW w:w="1850" w:type="dxa"/>
            <w:vAlign w:val="center"/>
          </w:tcPr>
          <w:p>
            <w:pPr>
              <w:spacing w:line="480" w:lineRule="auto"/>
              <w:jc w:val="center"/>
              <w:rPr>
                <w:rFonts w:ascii="宋体" w:hAnsi="宋体"/>
                <w:color w:val="000000"/>
                <w:szCs w:val="21"/>
              </w:rPr>
            </w:pPr>
          </w:p>
        </w:tc>
        <w:tc>
          <w:tcPr>
            <w:tcW w:w="776" w:type="dxa"/>
            <w:vAlign w:val="center"/>
          </w:tcPr>
          <w:p>
            <w:pPr>
              <w:spacing w:line="480" w:lineRule="auto"/>
              <w:jc w:val="center"/>
              <w:rPr>
                <w:rFonts w:ascii="宋体" w:hAnsi="宋体"/>
                <w:color w:val="000000"/>
                <w:szCs w:val="21"/>
              </w:rPr>
            </w:pPr>
          </w:p>
        </w:tc>
        <w:tc>
          <w:tcPr>
            <w:tcW w:w="701" w:type="dxa"/>
            <w:vAlign w:val="center"/>
          </w:tcPr>
          <w:p>
            <w:pPr>
              <w:spacing w:line="480" w:lineRule="auto"/>
              <w:jc w:val="center"/>
              <w:rPr>
                <w:rFonts w:ascii="宋体" w:hAnsi="宋体"/>
                <w:color w:val="000000"/>
                <w:szCs w:val="21"/>
              </w:rPr>
            </w:pPr>
          </w:p>
        </w:tc>
        <w:tc>
          <w:tcPr>
            <w:tcW w:w="1462" w:type="dxa"/>
            <w:vAlign w:val="center"/>
          </w:tcPr>
          <w:p>
            <w:pPr>
              <w:spacing w:line="480" w:lineRule="auto"/>
              <w:jc w:val="center"/>
              <w:rPr>
                <w:rFonts w:ascii="宋体" w:hAnsi="宋体"/>
                <w:color w:val="000000"/>
                <w:szCs w:val="21"/>
              </w:rPr>
            </w:pPr>
          </w:p>
        </w:tc>
        <w:tc>
          <w:tcPr>
            <w:tcW w:w="674" w:type="dxa"/>
            <w:vAlign w:val="center"/>
          </w:tcPr>
          <w:p>
            <w:pPr>
              <w:spacing w:line="48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ascii="宋体" w:hAnsi="宋体"/>
                <w:szCs w:val="21"/>
                <w:lang w:val="de-DE"/>
              </w:rPr>
            </w:pPr>
          </w:p>
        </w:tc>
        <w:tc>
          <w:tcPr>
            <w:tcW w:w="2057" w:type="dxa"/>
            <w:vAlign w:val="center"/>
          </w:tcPr>
          <w:p>
            <w:pPr>
              <w:spacing w:line="480" w:lineRule="auto"/>
              <w:jc w:val="center"/>
              <w:rPr>
                <w:rFonts w:ascii="宋体" w:hAnsi="宋体"/>
                <w:color w:val="000000"/>
                <w:szCs w:val="21"/>
              </w:rPr>
            </w:pPr>
          </w:p>
        </w:tc>
        <w:tc>
          <w:tcPr>
            <w:tcW w:w="1340" w:type="dxa"/>
            <w:vAlign w:val="center"/>
          </w:tcPr>
          <w:p>
            <w:pPr>
              <w:spacing w:line="480" w:lineRule="auto"/>
              <w:jc w:val="center"/>
              <w:rPr>
                <w:rFonts w:ascii="宋体" w:hAnsi="宋体"/>
                <w:color w:val="000000"/>
                <w:szCs w:val="21"/>
              </w:rPr>
            </w:pPr>
          </w:p>
        </w:tc>
        <w:tc>
          <w:tcPr>
            <w:tcW w:w="1091" w:type="dxa"/>
            <w:vAlign w:val="center"/>
          </w:tcPr>
          <w:p>
            <w:pPr>
              <w:spacing w:line="480" w:lineRule="auto"/>
              <w:jc w:val="center"/>
              <w:rPr>
                <w:rFonts w:ascii="宋体" w:hAnsi="宋体"/>
                <w:color w:val="000000"/>
                <w:szCs w:val="21"/>
              </w:rPr>
            </w:pPr>
          </w:p>
        </w:tc>
        <w:tc>
          <w:tcPr>
            <w:tcW w:w="709" w:type="dxa"/>
            <w:vAlign w:val="center"/>
          </w:tcPr>
          <w:p>
            <w:pPr>
              <w:spacing w:line="480" w:lineRule="auto"/>
              <w:jc w:val="center"/>
              <w:rPr>
                <w:rFonts w:ascii="宋体" w:hAnsi="宋体"/>
                <w:color w:val="000000"/>
                <w:szCs w:val="21"/>
              </w:rPr>
            </w:pPr>
          </w:p>
        </w:tc>
        <w:tc>
          <w:tcPr>
            <w:tcW w:w="2174" w:type="dxa"/>
            <w:vAlign w:val="center"/>
          </w:tcPr>
          <w:p>
            <w:pPr>
              <w:spacing w:line="480" w:lineRule="auto"/>
              <w:jc w:val="center"/>
              <w:rPr>
                <w:rFonts w:ascii="宋体" w:hAnsi="宋体"/>
                <w:color w:val="000000"/>
                <w:szCs w:val="21"/>
              </w:rPr>
            </w:pPr>
          </w:p>
        </w:tc>
        <w:tc>
          <w:tcPr>
            <w:tcW w:w="1850" w:type="dxa"/>
            <w:vAlign w:val="center"/>
          </w:tcPr>
          <w:p>
            <w:pPr>
              <w:spacing w:line="480" w:lineRule="auto"/>
              <w:jc w:val="center"/>
              <w:rPr>
                <w:rFonts w:ascii="宋体" w:hAnsi="宋体"/>
                <w:color w:val="000000"/>
                <w:szCs w:val="21"/>
              </w:rPr>
            </w:pPr>
          </w:p>
        </w:tc>
        <w:tc>
          <w:tcPr>
            <w:tcW w:w="776" w:type="dxa"/>
            <w:vAlign w:val="center"/>
          </w:tcPr>
          <w:p>
            <w:pPr>
              <w:spacing w:line="480" w:lineRule="auto"/>
              <w:jc w:val="center"/>
              <w:rPr>
                <w:rFonts w:ascii="宋体" w:hAnsi="宋体"/>
                <w:color w:val="000000"/>
                <w:szCs w:val="21"/>
              </w:rPr>
            </w:pPr>
          </w:p>
        </w:tc>
        <w:tc>
          <w:tcPr>
            <w:tcW w:w="701" w:type="dxa"/>
            <w:vAlign w:val="center"/>
          </w:tcPr>
          <w:p>
            <w:pPr>
              <w:spacing w:line="480" w:lineRule="auto"/>
              <w:jc w:val="center"/>
              <w:rPr>
                <w:rFonts w:ascii="宋体" w:hAnsi="宋体"/>
                <w:color w:val="000000"/>
                <w:szCs w:val="21"/>
              </w:rPr>
            </w:pPr>
          </w:p>
        </w:tc>
        <w:tc>
          <w:tcPr>
            <w:tcW w:w="1462" w:type="dxa"/>
            <w:vAlign w:val="center"/>
          </w:tcPr>
          <w:p>
            <w:pPr>
              <w:spacing w:line="480" w:lineRule="auto"/>
              <w:jc w:val="center"/>
              <w:rPr>
                <w:rFonts w:ascii="宋体" w:hAnsi="宋体"/>
                <w:color w:val="000000"/>
                <w:szCs w:val="21"/>
              </w:rPr>
            </w:pPr>
          </w:p>
        </w:tc>
        <w:tc>
          <w:tcPr>
            <w:tcW w:w="674" w:type="dxa"/>
            <w:vAlign w:val="center"/>
          </w:tcPr>
          <w:p>
            <w:pPr>
              <w:spacing w:line="480" w:lineRule="auto"/>
              <w:jc w:val="center"/>
              <w:rPr>
                <w:rFonts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FAFBD80"/>
    <w:multiLevelType w:val="singleLevel"/>
    <w:tmpl w:val="2FAFBD80"/>
    <w:lvl w:ilvl="0" w:tentative="0">
      <w:start w:val="1"/>
      <w:numFmt w:val="decimal"/>
      <w:lvlText w:val="%1."/>
      <w:lvlJc w:val="left"/>
      <w:pPr>
        <w:tabs>
          <w:tab w:val="left" w:pos="312"/>
        </w:tabs>
      </w:pPr>
    </w:lvl>
  </w:abstractNum>
  <w:abstractNum w:abstractNumId="3">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3472E"/>
    <w:rsid w:val="000C160C"/>
    <w:rsid w:val="000C751B"/>
    <w:rsid w:val="000E2543"/>
    <w:rsid w:val="00133951"/>
    <w:rsid w:val="001B6110"/>
    <w:rsid w:val="001E1464"/>
    <w:rsid w:val="00226328"/>
    <w:rsid w:val="00362FDA"/>
    <w:rsid w:val="00370439"/>
    <w:rsid w:val="0037790A"/>
    <w:rsid w:val="003D3002"/>
    <w:rsid w:val="003D55B9"/>
    <w:rsid w:val="003D78FB"/>
    <w:rsid w:val="00463A2D"/>
    <w:rsid w:val="00472857"/>
    <w:rsid w:val="004A693F"/>
    <w:rsid w:val="004B15AA"/>
    <w:rsid w:val="004E2DCF"/>
    <w:rsid w:val="004E46CC"/>
    <w:rsid w:val="004E59FC"/>
    <w:rsid w:val="005313FE"/>
    <w:rsid w:val="00551330"/>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D01B4"/>
    <w:rsid w:val="00DF4133"/>
    <w:rsid w:val="00E47CA0"/>
    <w:rsid w:val="00EA45EF"/>
    <w:rsid w:val="00F04FDB"/>
    <w:rsid w:val="00F5783D"/>
    <w:rsid w:val="00FC7102"/>
    <w:rsid w:val="02970717"/>
    <w:rsid w:val="02FB6036"/>
    <w:rsid w:val="0369215B"/>
    <w:rsid w:val="046F7A98"/>
    <w:rsid w:val="057E5032"/>
    <w:rsid w:val="067303FE"/>
    <w:rsid w:val="07FB3123"/>
    <w:rsid w:val="08AD49CF"/>
    <w:rsid w:val="09556B0B"/>
    <w:rsid w:val="09C471FF"/>
    <w:rsid w:val="0B457234"/>
    <w:rsid w:val="0B4A2110"/>
    <w:rsid w:val="0C623003"/>
    <w:rsid w:val="0DD9318F"/>
    <w:rsid w:val="0DF97300"/>
    <w:rsid w:val="0E243920"/>
    <w:rsid w:val="0E9018A4"/>
    <w:rsid w:val="0FC73D02"/>
    <w:rsid w:val="0FDA2A25"/>
    <w:rsid w:val="107D5F7C"/>
    <w:rsid w:val="10D80E45"/>
    <w:rsid w:val="1148374D"/>
    <w:rsid w:val="11A30F9C"/>
    <w:rsid w:val="134B47D4"/>
    <w:rsid w:val="153D1AC9"/>
    <w:rsid w:val="17B636B4"/>
    <w:rsid w:val="181F1488"/>
    <w:rsid w:val="18233802"/>
    <w:rsid w:val="18A202F3"/>
    <w:rsid w:val="18D04BA4"/>
    <w:rsid w:val="1970259E"/>
    <w:rsid w:val="19B60E38"/>
    <w:rsid w:val="1A601846"/>
    <w:rsid w:val="1C583A78"/>
    <w:rsid w:val="1C9B7146"/>
    <w:rsid w:val="1CF6202E"/>
    <w:rsid w:val="1FC73ADF"/>
    <w:rsid w:val="1FED73A1"/>
    <w:rsid w:val="20776ADF"/>
    <w:rsid w:val="221C0900"/>
    <w:rsid w:val="22B510C8"/>
    <w:rsid w:val="24C03E32"/>
    <w:rsid w:val="262F36DE"/>
    <w:rsid w:val="26882BE4"/>
    <w:rsid w:val="26EC752B"/>
    <w:rsid w:val="27856134"/>
    <w:rsid w:val="27895B92"/>
    <w:rsid w:val="292A6F5C"/>
    <w:rsid w:val="293B64C8"/>
    <w:rsid w:val="29913381"/>
    <w:rsid w:val="2A64557B"/>
    <w:rsid w:val="2B7E69C5"/>
    <w:rsid w:val="2CCD5E73"/>
    <w:rsid w:val="2CEF6CF1"/>
    <w:rsid w:val="2D5C3356"/>
    <w:rsid w:val="300A36A6"/>
    <w:rsid w:val="303A15A5"/>
    <w:rsid w:val="30E31625"/>
    <w:rsid w:val="33C74F01"/>
    <w:rsid w:val="33D42C62"/>
    <w:rsid w:val="35777FB5"/>
    <w:rsid w:val="3777299E"/>
    <w:rsid w:val="37B23BD6"/>
    <w:rsid w:val="381A7864"/>
    <w:rsid w:val="39C21466"/>
    <w:rsid w:val="3A8D4836"/>
    <w:rsid w:val="3C24523B"/>
    <w:rsid w:val="3C696035"/>
    <w:rsid w:val="3D026E69"/>
    <w:rsid w:val="3E126089"/>
    <w:rsid w:val="3E564821"/>
    <w:rsid w:val="3FFF6E94"/>
    <w:rsid w:val="4067080D"/>
    <w:rsid w:val="40790B0A"/>
    <w:rsid w:val="41EE2368"/>
    <w:rsid w:val="429138C7"/>
    <w:rsid w:val="4472681D"/>
    <w:rsid w:val="44F05E87"/>
    <w:rsid w:val="46436B1A"/>
    <w:rsid w:val="475F61AA"/>
    <w:rsid w:val="47FE5550"/>
    <w:rsid w:val="48BE5133"/>
    <w:rsid w:val="4A5A644E"/>
    <w:rsid w:val="4B4E1BF0"/>
    <w:rsid w:val="4BAA7074"/>
    <w:rsid w:val="4D5D7223"/>
    <w:rsid w:val="4FDB256B"/>
    <w:rsid w:val="540104E3"/>
    <w:rsid w:val="54012368"/>
    <w:rsid w:val="540E3EFF"/>
    <w:rsid w:val="543C448D"/>
    <w:rsid w:val="54D05873"/>
    <w:rsid w:val="58A7251E"/>
    <w:rsid w:val="58F15916"/>
    <w:rsid w:val="58F56821"/>
    <w:rsid w:val="5AA71C56"/>
    <w:rsid w:val="5C734502"/>
    <w:rsid w:val="5C8C1F0C"/>
    <w:rsid w:val="5F313840"/>
    <w:rsid w:val="62D253CA"/>
    <w:rsid w:val="63393604"/>
    <w:rsid w:val="6374635B"/>
    <w:rsid w:val="6466418A"/>
    <w:rsid w:val="64A13C91"/>
    <w:rsid w:val="667652EC"/>
    <w:rsid w:val="66DB27BE"/>
    <w:rsid w:val="68783396"/>
    <w:rsid w:val="68F22B58"/>
    <w:rsid w:val="6A346AFC"/>
    <w:rsid w:val="6BF66CF1"/>
    <w:rsid w:val="6CB35EBE"/>
    <w:rsid w:val="711B58DE"/>
    <w:rsid w:val="717633F9"/>
    <w:rsid w:val="71D91BD0"/>
    <w:rsid w:val="73580410"/>
    <w:rsid w:val="763B3228"/>
    <w:rsid w:val="766A5624"/>
    <w:rsid w:val="77296268"/>
    <w:rsid w:val="772D1C81"/>
    <w:rsid w:val="778A766C"/>
    <w:rsid w:val="789308EF"/>
    <w:rsid w:val="78B5798B"/>
    <w:rsid w:val="796C4D70"/>
    <w:rsid w:val="79E179FA"/>
    <w:rsid w:val="7AAD1380"/>
    <w:rsid w:val="7C7E2438"/>
    <w:rsid w:val="7CAA7D53"/>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Pages>
  <Words>407</Words>
  <Characters>2325</Characters>
  <Lines>19</Lines>
  <Paragraphs>5</Paragraphs>
  <TotalTime>2</TotalTime>
  <ScaleCrop>false</ScaleCrop>
  <LinksUpToDate>false</LinksUpToDate>
  <CharactersWithSpaces>2727</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Admin</cp:lastModifiedBy>
  <cp:lastPrinted>2022-03-24T01:05:00Z</cp:lastPrinted>
  <dcterms:modified xsi:type="dcterms:W3CDTF">2023-04-04T03:02:40Z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