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7"/>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68"/>
        <w:rPr>
          <w:rFonts w:hint="eastAsia" w:ascii="微软雅黑" w:hAnsi="微软雅黑" w:eastAsia="微软雅黑" w:cs="微软雅黑"/>
          <w:b w:val="0"/>
          <w:kern w:val="2"/>
          <w:sz w:val="44"/>
          <w:szCs w:val="44"/>
          <w:lang w:val="en-US" w:eastAsia="zh-CN" w:bidi="ar-SA"/>
        </w:rPr>
      </w:pPr>
    </w:p>
    <w:p>
      <w:pPr>
        <w:pStyle w:val="68"/>
        <w:rPr>
          <w:rFonts w:hint="eastAsia" w:ascii="微软雅黑" w:hAnsi="微软雅黑" w:eastAsia="微软雅黑" w:cs="微软雅黑"/>
          <w:b w:val="0"/>
          <w:kern w:val="2"/>
          <w:sz w:val="44"/>
          <w:szCs w:val="44"/>
          <w:lang w:val="en-US" w:eastAsia="zh-CN" w:bidi="ar-SA"/>
        </w:rPr>
      </w:pPr>
    </w:p>
    <w:p>
      <w:pPr>
        <w:spacing w:line="360" w:lineRule="auto"/>
        <w:ind w:firstLine="1440" w:firstLineChars="400"/>
        <w:outlineLvl w:val="0"/>
        <w:rPr>
          <w:rFonts w:hint="default"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p>
    <w:p>
      <w:pPr>
        <w:pStyle w:val="50"/>
        <w:keepNext w:val="0"/>
        <w:keepLines w:val="0"/>
        <w:widowControl/>
        <w:suppressLineNumbers w:val="0"/>
        <w:spacing w:before="0" w:beforeAutospacing="0" w:after="0" w:afterAutospacing="0"/>
        <w:ind w:left="0" w:right="0" w:firstLine="1440" w:firstLineChars="400"/>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kern w:val="2"/>
          <w:sz w:val="36"/>
          <w:szCs w:val="36"/>
          <w:lang w:val="en-US" w:eastAsia="zh-CN" w:bidi="ar-SA"/>
        </w:rPr>
        <w:t>两江院区动物中心供氧管道新增改造</w:t>
      </w:r>
    </w:p>
    <w:p>
      <w:pPr>
        <w:spacing w:line="360" w:lineRule="auto"/>
        <w:ind w:firstLine="1440" w:firstLineChars="400"/>
        <w:jc w:val="center"/>
        <w:outlineLvl w:val="0"/>
        <w:rPr>
          <w:rFonts w:hint="eastAsia" w:ascii="微软雅黑" w:hAnsi="微软雅黑" w:eastAsia="微软雅黑" w:cs="微软雅黑"/>
          <w:sz w:val="36"/>
          <w:szCs w:val="36"/>
          <w:u w:val="single"/>
          <w:lang w:val="en-US" w:eastAsia="zh-CN"/>
        </w:rPr>
      </w:pPr>
    </w:p>
    <w:p>
      <w:pPr>
        <w:spacing w:line="500" w:lineRule="exact"/>
        <w:jc w:val="both"/>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pStyle w:val="2"/>
        <w:rPr>
          <w:rFonts w:hint="eastAsia"/>
        </w:rPr>
      </w:pPr>
    </w:p>
    <w:p>
      <w:pPr>
        <w:spacing w:line="500" w:lineRule="exact"/>
        <w:jc w:val="center"/>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2025</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_Toc5540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_Toc5540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_Toc20167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_Toc20167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_Toc27279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_Toc2459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_Toc8368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_Toc8368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_Toc19109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_Toc19109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_Toc4247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项目服务需求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_Toc4247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_Toc4069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_Toc12791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_Toc12791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_Toc21007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_Toc21007 \h </w:instrText>
      </w:r>
      <w:r>
        <w:rPr>
          <w:rFonts w:hint="eastAsia" w:ascii="微软雅黑" w:hAnsi="微软雅黑" w:eastAsia="微软雅黑" w:cs="微软雅黑"/>
          <w:sz w:val="24"/>
          <w:szCs w:val="24"/>
        </w:rPr>
        <w:fldChar w:fldCharType="separate"/>
      </w:r>
      <w:r>
        <w:rPr>
          <w:b/>
        </w:rPr>
        <w:t>错误！未定义书签。</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_Toc4495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二、报价方式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_Toc4495 \h </w:instrText>
      </w:r>
      <w:r>
        <w:rPr>
          <w:rFonts w:hint="eastAsia" w:ascii="微软雅黑" w:hAnsi="微软雅黑" w:eastAsia="微软雅黑" w:cs="微软雅黑"/>
          <w:sz w:val="24"/>
          <w:szCs w:val="24"/>
        </w:rPr>
        <w:fldChar w:fldCharType="separate"/>
      </w:r>
      <w:r>
        <w:rPr>
          <w:b/>
        </w:rPr>
        <w:t>错误！未定义书签。</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_Toc27607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_Toc27607 \h </w:instrText>
      </w:r>
      <w:r>
        <w:rPr>
          <w:rFonts w:hint="eastAsia" w:ascii="微软雅黑" w:hAnsi="微软雅黑" w:eastAsia="微软雅黑" w:cs="微软雅黑"/>
          <w:sz w:val="24"/>
          <w:szCs w:val="24"/>
        </w:rPr>
        <w:fldChar w:fldCharType="separate"/>
      </w:r>
      <w:r>
        <w:rPr>
          <w:b/>
        </w:rPr>
        <w:t>错误！未定义书签。</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_Toc5973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_Toc5973 \h </w:instrText>
      </w:r>
      <w:r>
        <w:rPr>
          <w:rFonts w:hint="eastAsia" w:ascii="微软雅黑" w:hAnsi="微软雅黑" w:eastAsia="微软雅黑" w:cs="微软雅黑"/>
          <w:sz w:val="24"/>
          <w:szCs w:val="24"/>
        </w:rPr>
        <w:fldChar w:fldCharType="separate"/>
      </w:r>
      <w:r>
        <w:rPr>
          <w:b/>
        </w:rPr>
        <w:t>错误！未定义书签。</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_Toc19015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_Toc19015 \h </w:instrText>
      </w:r>
      <w:r>
        <w:rPr>
          <w:rFonts w:hint="eastAsia" w:ascii="微软雅黑" w:hAnsi="微软雅黑" w:eastAsia="微软雅黑" w:cs="微软雅黑"/>
          <w:sz w:val="24"/>
          <w:szCs w:val="24"/>
        </w:rPr>
        <w:fldChar w:fldCharType="separate"/>
      </w:r>
      <w:r>
        <w:rPr>
          <w:b/>
        </w:rPr>
        <w:t>错误！未定义书签。</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_Toc13342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_Toc13342 \h </w:instrText>
      </w:r>
      <w:r>
        <w:rPr>
          <w:rFonts w:hint="eastAsia" w:ascii="微软雅黑" w:hAnsi="微软雅黑" w:eastAsia="微软雅黑" w:cs="微软雅黑"/>
          <w:sz w:val="24"/>
          <w:szCs w:val="24"/>
        </w:rPr>
        <w:fldChar w:fldCharType="separate"/>
      </w:r>
      <w:r>
        <w:rPr>
          <w:b/>
        </w:rPr>
        <w:t>错误！未定义书签。</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_Toc17861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_Toc17861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_Toc23995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_Toc23995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_Toc16325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_Toc16325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_Toc10711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_Toc10711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_Toc20801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_Toc10130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_Toc10130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_Toc11343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_Toc11343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_Toc30685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_Toc30685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_Toc4080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_Toc7138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_Toc5526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_Toc19376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_Toc19376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3"/>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3"/>
        <w:spacing w:before="200" w:after="200" w:line="240" w:lineRule="auto"/>
        <w:jc w:val="center"/>
        <w:rPr>
          <w:rFonts w:hint="eastAsia" w:ascii="微软雅黑" w:hAnsi="微软雅黑" w:eastAsia="微软雅黑" w:cs="微软雅黑"/>
          <w:b/>
          <w:sz w:val="44"/>
          <w:szCs w:val="20"/>
        </w:rPr>
      </w:pPr>
      <w:bookmarkStart w:id="0" w:name="_Toc5540"/>
      <w:bookmarkStart w:id="1" w:name="_Toc24037"/>
      <w:bookmarkStart w:id="2" w:name="_Toc106030870"/>
      <w:bookmarkStart w:id="3" w:name="_Toc76462316"/>
      <w:bookmarkStart w:id="4" w:name="_Toc11641050"/>
      <w:bookmarkStart w:id="5" w:name="_Toc12789052"/>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pStyle w:val="50"/>
        <w:keepNext w:val="0"/>
        <w:keepLines w:val="0"/>
        <w:widowControl/>
        <w:suppressLineNumbers w:val="0"/>
        <w:spacing w:before="0" w:beforeAutospacing="0" w:after="0" w:afterAutospacing="0"/>
        <w:ind w:right="0" w:firstLine="480" w:firstLineChars="200"/>
        <w:rPr>
          <w:rFonts w:hint="eastAsia" w:ascii="微软雅黑" w:hAnsi="微软雅黑" w:eastAsia="微软雅黑" w:cs="微软雅黑"/>
          <w:sz w:val="28"/>
          <w:szCs w:val="20"/>
        </w:rPr>
      </w:pP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sz w:val="24"/>
          <w:szCs w:val="24"/>
          <w:lang w:val="en-US" w:eastAsia="zh-CN"/>
        </w:rPr>
        <w:t>两江院区动物中心供氧管道新增改造</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106030871"/>
      <w:bookmarkStart w:id="7" w:name="_Toc76462317"/>
      <w:bookmarkStart w:id="8" w:name="_Toc317775175"/>
      <w:bookmarkStart w:id="9" w:name="_Toc3856"/>
      <w:bookmarkStart w:id="10" w:name="_Toc313893526"/>
      <w:bookmarkStart w:id="11" w:name="_Toc20167"/>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7"/>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2670"/>
        <w:gridCol w:w="1320"/>
        <w:gridCol w:w="1125"/>
        <w:gridCol w:w="1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61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9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val="en-US" w:eastAsia="zh-CN"/>
              </w:rPr>
              <w:t>最高限价（元）</w:t>
            </w:r>
          </w:p>
        </w:tc>
        <w:tc>
          <w:tcPr>
            <w:tcW w:w="68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43"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86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4"/>
                <w:lang w:val="en-US" w:eastAsia="zh-CN"/>
              </w:rPr>
            </w:pPr>
          </w:p>
        </w:tc>
        <w:tc>
          <w:tcPr>
            <w:tcW w:w="16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4"/>
                <w:szCs w:val="24"/>
                <w:lang w:val="en-US" w:eastAsia="zh-CN"/>
              </w:rPr>
              <w:t>两江院区动物中心供氧管道新增改造</w:t>
            </w:r>
          </w:p>
        </w:tc>
        <w:tc>
          <w:tcPr>
            <w:tcW w:w="79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30000</w:t>
            </w:r>
          </w:p>
        </w:tc>
        <w:tc>
          <w:tcPr>
            <w:tcW w:w="6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无</w:t>
            </w:r>
          </w:p>
        </w:tc>
        <w:tc>
          <w:tcPr>
            <w:tcW w:w="10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27279"/>
      <w:r>
        <w:rPr>
          <w:rFonts w:hint="eastAsia" w:ascii="微软雅黑" w:hAnsi="微软雅黑" w:eastAsia="微软雅黑" w:cs="微软雅黑"/>
          <w:sz w:val="24"/>
        </w:rPr>
        <w:t>二、</w:t>
      </w:r>
      <w:bookmarkEnd w:id="12"/>
      <w:bookmarkEnd w:id="13"/>
      <w:bookmarkEnd w:id="16"/>
      <w:bookmarkStart w:id="18" w:name="_Toc106030873"/>
      <w:bookmarkStart w:id="19" w:name="_Toc76462319"/>
      <w:bookmarkStart w:id="20" w:name="_Toc4480"/>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pacing w:line="400" w:lineRule="exact"/>
        <w:ind w:firstLine="480" w:firstLineChars="200"/>
      </w:pPr>
      <w:r>
        <w:rPr>
          <w:rFonts w:hint="eastAsia" w:ascii="微软雅黑" w:hAnsi="微软雅黑" w:eastAsia="微软雅黑" w:cs="微软雅黑"/>
          <w:sz w:val="24"/>
          <w:szCs w:val="24"/>
        </w:rPr>
        <w:t>（一）满足《中华人民共和国政府采购法》第二十二条规定；</w:t>
      </w:r>
    </w:p>
    <w:p>
      <w:pPr>
        <w:pStyle w:val="50"/>
        <w:keepNext w:val="0"/>
        <w:keepLines w:val="0"/>
        <w:widowControl/>
        <w:suppressLineNumbers w:val="0"/>
        <w:pBdr>
          <w:top w:val="none" w:color="auto" w:sz="0" w:space="0"/>
          <w:bottom w:val="none" w:color="auto" w:sz="0" w:space="0"/>
        </w:pBdr>
        <w:shd w:val="clear" w:fill="FFFFFF"/>
        <w:spacing w:before="0" w:beforeAutospacing="0" w:after="0" w:afterAutospacing="0" w:line="27" w:lineRule="atLeast"/>
        <w:ind w:left="0" w:firstLine="420"/>
        <w:jc w:val="left"/>
        <w:rPr>
          <w:rFonts w:hint="eastAsia" w:ascii="微软雅黑" w:hAnsi="微软雅黑" w:eastAsia="微软雅黑" w:cs="微软雅黑"/>
          <w:b w:val="0"/>
          <w:bCs w:val="0"/>
          <w:i w:val="0"/>
          <w:iCs w:val="0"/>
          <w:caps w:val="0"/>
          <w:spacing w:val="0"/>
          <w:kern w:val="2"/>
          <w:sz w:val="24"/>
          <w:szCs w:val="24"/>
        </w:rPr>
      </w:pPr>
      <w:r>
        <w:rPr>
          <w:rFonts w:hint="eastAsia" w:ascii="微软雅黑" w:hAnsi="微软雅黑" w:eastAsia="微软雅黑" w:cs="微软雅黑"/>
          <w:b w:val="0"/>
          <w:bCs w:val="0"/>
          <w:i w:val="0"/>
          <w:iCs w:val="0"/>
          <w:caps w:val="0"/>
          <w:spacing w:val="0"/>
          <w:kern w:val="2"/>
          <w:sz w:val="24"/>
          <w:szCs w:val="24"/>
          <w:shd w:val="clear"/>
        </w:rPr>
        <w:t>1. 具有独立承担民事责任的能力；</w:t>
      </w:r>
    </w:p>
    <w:p>
      <w:pPr>
        <w:pStyle w:val="50"/>
        <w:keepNext w:val="0"/>
        <w:keepLines w:val="0"/>
        <w:widowControl/>
        <w:suppressLineNumbers w:val="0"/>
        <w:pBdr>
          <w:top w:val="none" w:color="auto" w:sz="0" w:space="0"/>
          <w:bottom w:val="none" w:color="auto" w:sz="0" w:space="0"/>
        </w:pBdr>
        <w:shd w:val="clear" w:fill="FFFFFF"/>
        <w:spacing w:before="0" w:beforeAutospacing="0" w:after="0" w:afterAutospacing="0" w:line="27" w:lineRule="atLeast"/>
        <w:ind w:left="0" w:firstLine="420"/>
        <w:jc w:val="left"/>
        <w:rPr>
          <w:rFonts w:hint="eastAsia" w:ascii="微软雅黑" w:hAnsi="微软雅黑" w:eastAsia="微软雅黑" w:cs="微软雅黑"/>
          <w:b w:val="0"/>
          <w:bCs w:val="0"/>
          <w:i w:val="0"/>
          <w:iCs w:val="0"/>
          <w:caps w:val="0"/>
          <w:spacing w:val="0"/>
          <w:kern w:val="2"/>
          <w:sz w:val="24"/>
          <w:szCs w:val="24"/>
        </w:rPr>
      </w:pPr>
      <w:r>
        <w:rPr>
          <w:rFonts w:hint="eastAsia" w:ascii="微软雅黑" w:hAnsi="微软雅黑" w:eastAsia="微软雅黑" w:cs="微软雅黑"/>
          <w:b w:val="0"/>
          <w:bCs w:val="0"/>
          <w:i w:val="0"/>
          <w:iCs w:val="0"/>
          <w:caps w:val="0"/>
          <w:spacing w:val="0"/>
          <w:kern w:val="2"/>
          <w:sz w:val="24"/>
          <w:szCs w:val="24"/>
          <w:shd w:val="clear"/>
        </w:rPr>
        <w:t>2. 具有良好的商业信誉和健全的财务会计制度；</w:t>
      </w:r>
    </w:p>
    <w:p>
      <w:pPr>
        <w:pStyle w:val="50"/>
        <w:keepNext w:val="0"/>
        <w:keepLines w:val="0"/>
        <w:widowControl/>
        <w:suppressLineNumbers w:val="0"/>
        <w:pBdr>
          <w:top w:val="none" w:color="auto" w:sz="0" w:space="0"/>
          <w:bottom w:val="none" w:color="auto" w:sz="0" w:space="0"/>
        </w:pBdr>
        <w:shd w:val="clear" w:fill="FFFFFF"/>
        <w:spacing w:before="0" w:beforeAutospacing="0" w:after="0" w:afterAutospacing="0" w:line="27" w:lineRule="atLeast"/>
        <w:ind w:left="0" w:firstLine="420"/>
        <w:jc w:val="left"/>
        <w:rPr>
          <w:rFonts w:hint="eastAsia" w:ascii="微软雅黑" w:hAnsi="微软雅黑" w:eastAsia="微软雅黑" w:cs="微软雅黑"/>
          <w:b w:val="0"/>
          <w:bCs w:val="0"/>
          <w:i w:val="0"/>
          <w:iCs w:val="0"/>
          <w:caps w:val="0"/>
          <w:spacing w:val="0"/>
          <w:kern w:val="2"/>
          <w:sz w:val="24"/>
          <w:szCs w:val="24"/>
        </w:rPr>
      </w:pPr>
      <w:r>
        <w:rPr>
          <w:rFonts w:hint="eastAsia" w:ascii="微软雅黑" w:hAnsi="微软雅黑" w:eastAsia="微软雅黑" w:cs="微软雅黑"/>
          <w:b w:val="0"/>
          <w:bCs w:val="0"/>
          <w:i w:val="0"/>
          <w:iCs w:val="0"/>
          <w:caps w:val="0"/>
          <w:spacing w:val="0"/>
          <w:kern w:val="2"/>
          <w:sz w:val="24"/>
          <w:szCs w:val="24"/>
          <w:shd w:val="clear"/>
        </w:rPr>
        <w:t>3. 具有履行合同所必需的设备和专业技术能力；</w:t>
      </w:r>
    </w:p>
    <w:p>
      <w:pPr>
        <w:pStyle w:val="50"/>
        <w:keepNext w:val="0"/>
        <w:keepLines w:val="0"/>
        <w:widowControl/>
        <w:suppressLineNumbers w:val="0"/>
        <w:pBdr>
          <w:top w:val="none" w:color="auto" w:sz="0" w:space="0"/>
          <w:bottom w:val="none" w:color="auto" w:sz="0" w:space="0"/>
        </w:pBdr>
        <w:shd w:val="clear" w:fill="FFFFFF"/>
        <w:spacing w:before="0" w:beforeAutospacing="0" w:after="0" w:afterAutospacing="0" w:line="27" w:lineRule="atLeast"/>
        <w:ind w:left="0" w:firstLine="420"/>
        <w:jc w:val="left"/>
        <w:rPr>
          <w:rFonts w:hint="eastAsia" w:ascii="微软雅黑" w:hAnsi="微软雅黑" w:eastAsia="微软雅黑" w:cs="微软雅黑"/>
          <w:b w:val="0"/>
          <w:bCs w:val="0"/>
          <w:i w:val="0"/>
          <w:iCs w:val="0"/>
          <w:caps w:val="0"/>
          <w:spacing w:val="0"/>
          <w:kern w:val="2"/>
          <w:sz w:val="24"/>
          <w:szCs w:val="24"/>
        </w:rPr>
      </w:pPr>
      <w:r>
        <w:rPr>
          <w:rFonts w:hint="eastAsia" w:ascii="微软雅黑" w:hAnsi="微软雅黑" w:eastAsia="微软雅黑" w:cs="微软雅黑"/>
          <w:b w:val="0"/>
          <w:bCs w:val="0"/>
          <w:i w:val="0"/>
          <w:iCs w:val="0"/>
          <w:caps w:val="0"/>
          <w:spacing w:val="0"/>
          <w:kern w:val="2"/>
          <w:sz w:val="24"/>
          <w:szCs w:val="24"/>
          <w:shd w:val="clear"/>
        </w:rPr>
        <w:t>4. 有依法缴纳税收和社会保障资金的良好记录；</w:t>
      </w:r>
    </w:p>
    <w:p>
      <w:pPr>
        <w:pStyle w:val="50"/>
        <w:keepNext w:val="0"/>
        <w:keepLines w:val="0"/>
        <w:widowControl/>
        <w:suppressLineNumbers w:val="0"/>
        <w:pBdr>
          <w:top w:val="none" w:color="auto" w:sz="0" w:space="0"/>
          <w:bottom w:val="none" w:color="auto" w:sz="0" w:space="0"/>
        </w:pBdr>
        <w:shd w:val="clear" w:fill="FFFFFF"/>
        <w:spacing w:before="0" w:beforeAutospacing="0" w:after="0" w:afterAutospacing="0" w:line="27" w:lineRule="atLeast"/>
        <w:ind w:left="0" w:firstLine="420"/>
        <w:jc w:val="left"/>
        <w:rPr>
          <w:rFonts w:hint="eastAsia" w:ascii="微软雅黑" w:hAnsi="微软雅黑" w:eastAsia="微软雅黑" w:cs="微软雅黑"/>
          <w:b w:val="0"/>
          <w:bCs w:val="0"/>
          <w:i w:val="0"/>
          <w:iCs w:val="0"/>
          <w:caps w:val="0"/>
          <w:spacing w:val="0"/>
          <w:kern w:val="2"/>
          <w:sz w:val="24"/>
          <w:szCs w:val="24"/>
        </w:rPr>
      </w:pPr>
      <w:r>
        <w:rPr>
          <w:rFonts w:hint="eastAsia" w:ascii="微软雅黑" w:hAnsi="微软雅黑" w:eastAsia="微软雅黑" w:cs="微软雅黑"/>
          <w:b w:val="0"/>
          <w:bCs w:val="0"/>
          <w:i w:val="0"/>
          <w:iCs w:val="0"/>
          <w:caps w:val="0"/>
          <w:spacing w:val="0"/>
          <w:kern w:val="2"/>
          <w:sz w:val="24"/>
          <w:szCs w:val="24"/>
          <w:shd w:val="clear"/>
        </w:rPr>
        <w:t>5. 参加政府采购活动前三年内，在经营活动中没有重大违法记录；</w:t>
      </w:r>
    </w:p>
    <w:p>
      <w:pPr>
        <w:pStyle w:val="50"/>
        <w:keepNext w:val="0"/>
        <w:keepLines w:val="0"/>
        <w:widowControl/>
        <w:suppressLineNumbers w:val="0"/>
        <w:pBdr>
          <w:top w:val="none" w:color="auto" w:sz="0" w:space="0"/>
          <w:bottom w:val="none" w:color="auto" w:sz="0" w:space="0"/>
        </w:pBdr>
        <w:shd w:val="clear" w:fill="FFFFFF"/>
        <w:spacing w:before="0" w:beforeAutospacing="0" w:after="0" w:afterAutospacing="0" w:line="27" w:lineRule="atLeast"/>
        <w:ind w:left="0" w:firstLine="420"/>
        <w:jc w:val="left"/>
        <w:rPr>
          <w:rFonts w:hint="eastAsia"/>
        </w:rPr>
      </w:pPr>
      <w:r>
        <w:rPr>
          <w:rFonts w:hint="eastAsia" w:ascii="微软雅黑" w:hAnsi="微软雅黑" w:eastAsia="微软雅黑" w:cs="微软雅黑"/>
          <w:b w:val="0"/>
          <w:bCs w:val="0"/>
          <w:i w:val="0"/>
          <w:iCs w:val="0"/>
          <w:caps w:val="0"/>
          <w:spacing w:val="0"/>
          <w:kern w:val="2"/>
          <w:sz w:val="24"/>
          <w:szCs w:val="24"/>
          <w:shd w:val="clear"/>
        </w:rPr>
        <w:t>6. 法律、行政法规规定的其他条件。</w:t>
      </w:r>
    </w:p>
    <w:bookmarkEnd w:id="14"/>
    <w:p>
      <w:pPr>
        <w:numPr>
          <w:ilvl w:val="0"/>
          <w:numId w:val="14"/>
        </w:num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本项目的</w:t>
      </w:r>
      <w:r>
        <w:rPr>
          <w:rFonts w:hint="eastAsia" w:ascii="微软雅黑" w:hAnsi="微软雅黑" w:eastAsia="微软雅黑" w:cs="微软雅黑"/>
          <w:sz w:val="24"/>
          <w:szCs w:val="24"/>
          <w:lang w:val="en-US" w:eastAsia="zh-CN"/>
        </w:rPr>
        <w:t>特定资格要求：</w:t>
      </w:r>
    </w:p>
    <w:p>
      <w:pPr>
        <w:numPr>
          <w:ilvl w:val="-1"/>
          <w:numId w:val="0"/>
        </w:numPr>
        <w:spacing w:line="400" w:lineRule="exact"/>
        <w:ind w:firstLine="480" w:firstLineChars="200"/>
        <w:rPr>
          <w:rFonts w:hint="eastAsia" w:ascii="微软雅黑" w:hAnsi="微软雅黑" w:eastAsia="微软雅黑" w:cs="微软雅黑"/>
          <w:b w:val="0"/>
          <w:bCs w:val="0"/>
          <w:i w:val="0"/>
          <w:iCs w:val="0"/>
          <w:caps w:val="0"/>
          <w:spacing w:val="0"/>
          <w:kern w:val="2"/>
          <w:sz w:val="24"/>
          <w:szCs w:val="24"/>
          <w:shd w:val="clear"/>
          <w:lang w:val="en-US" w:eastAsia="zh-CN" w:bidi="ar-SA"/>
        </w:rPr>
      </w:pPr>
      <w:r>
        <w:rPr>
          <w:rFonts w:hint="eastAsia" w:ascii="微软雅黑" w:hAnsi="微软雅黑" w:eastAsia="微软雅黑" w:cs="微软雅黑"/>
          <w:b w:val="0"/>
          <w:bCs w:val="0"/>
          <w:i w:val="0"/>
          <w:iCs w:val="0"/>
          <w:caps w:val="0"/>
          <w:spacing w:val="0"/>
          <w:kern w:val="2"/>
          <w:sz w:val="24"/>
          <w:szCs w:val="24"/>
          <w:shd w:val="clear"/>
          <w:lang w:val="en-US" w:eastAsia="zh-CN" w:bidi="ar-SA"/>
        </w:rPr>
        <w:t>1.具有行政主管部门颁发的中华人民共和国特种设备安装改造维修许可证（或中华人民共和国特种设备生产许可证）（压力管道GC2级及以上）（提供有效期内的证书复印件）。</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21" w:name="_Toc20500"/>
      <w:bookmarkStart w:id="22" w:name="_Toc106030874"/>
      <w:bookmarkStart w:id="23" w:name="_Toc76462320"/>
      <w:bookmarkStart w:id="24" w:name="_Toc27954"/>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（一）投标人应</w:t>
      </w:r>
      <w:r>
        <w:rPr>
          <w:rFonts w:hint="eastAsia" w:ascii="微软雅黑" w:hAnsi="微软雅黑" w:eastAsia="微软雅黑" w:cs="微软雅黑"/>
          <w:sz w:val="24"/>
          <w:szCs w:val="24"/>
        </w:rPr>
        <w:t>通过重庆医科大学附属儿童医院电子招投标平台（zbb.chcmu.com）进行注册和报名。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default" w:ascii="微软雅黑" w:hAnsi="微软雅黑" w:eastAsia="微软雅黑" w:cs="微软雅黑"/>
          <w:color w:val="auto"/>
          <w:sz w:val="24"/>
          <w:szCs w:val="24"/>
          <w:lang w:val="en-US"/>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重庆医科大学附属儿童医院电子招投标平台按要求上传电子版响应文件后才视为完成项目报名；投标人上传的电子版响应文件即为最终版投标文件。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w:t>
      </w:r>
      <w:r>
        <w:rPr>
          <w:rFonts w:hint="eastAsia" w:ascii="微软雅黑" w:hAnsi="微软雅黑" w:eastAsia="微软雅黑" w:cs="微软雅黑"/>
          <w:sz w:val="24"/>
          <w:szCs w:val="24"/>
          <w:lang w:val="en-US" w:eastAsia="zh-CN"/>
        </w:rPr>
        <w:t>采用</w:t>
      </w:r>
      <w:r>
        <w:rPr>
          <w:rFonts w:hint="eastAsia" w:ascii="微软雅黑" w:hAnsi="微软雅黑" w:eastAsia="微软雅黑" w:cs="微软雅黑"/>
          <w:color w:val="auto"/>
          <w:sz w:val="24"/>
          <w:szCs w:val="24"/>
          <w:lang w:val="en-US" w:eastAsia="zh-CN"/>
        </w:rPr>
        <w:t>电子招投标平台线上开标方式，无需现场投标</w:t>
      </w:r>
      <w:r>
        <w:rPr>
          <w:rFonts w:hint="eastAsia" w:ascii="微软雅黑" w:hAnsi="微软雅黑" w:eastAsia="微软雅黑" w:cs="微软雅黑"/>
          <w:b/>
          <w:bCs/>
          <w:color w:val="auto"/>
          <w:sz w:val="24"/>
          <w:szCs w:val="24"/>
          <w:lang w:val="en-US" w:eastAsia="zh-CN"/>
        </w:rPr>
        <w:t>（本项目投标采用一次性报价，满足招标要求，最低价中标）</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65660334"/>
      <w:bookmarkStart w:id="26" w:name="_Toc106034625"/>
      <w:bookmarkStart w:id="27" w:name="_Toc2459"/>
      <w:bookmarkStart w:id="28" w:name="_Toc11956"/>
      <w:bookmarkStart w:id="29" w:name="_Toc6178"/>
      <w:bookmarkStart w:id="30" w:name="_Toc521053053"/>
      <w:bookmarkStart w:id="31" w:name="_Toc525047161"/>
      <w:bookmarkStart w:id="32" w:name="_Toc12841"/>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rPr>
          <w:rFonts w:hint="default" w:eastAsia="微软雅黑"/>
          <w:lang w:val="en-US" w:eastAsia="zh-CN"/>
        </w:rPr>
      </w:pPr>
      <w:r>
        <w:rPr>
          <w:rFonts w:hint="eastAsia" w:ascii="微软雅黑" w:hAnsi="微软雅黑" w:eastAsia="微软雅黑" w:cs="微软雅黑"/>
          <w:sz w:val="24"/>
          <w:lang w:val="en-US" w:eastAsia="zh-CN"/>
        </w:rPr>
        <w:t xml:space="preserve">     无</w:t>
      </w:r>
    </w:p>
    <w:bookmarkEnd w:id="15"/>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4355"/>
      <w:bookmarkStart w:id="34" w:name="_Toc2945"/>
      <w:bookmarkStart w:id="35" w:name="_Toc106034626"/>
      <w:bookmarkStart w:id="36" w:name="_Toc521053054"/>
      <w:bookmarkStart w:id="37" w:name="_Toc525047162"/>
      <w:bookmarkStart w:id="38" w:name="_Toc65660335"/>
      <w:bookmarkStart w:id="39" w:name="_Toc1546"/>
      <w:bookmarkStart w:id="40" w:name="_Toc8368"/>
      <w:bookmarkStart w:id="41" w:name="_Toc725"/>
      <w:bookmarkStart w:id="42" w:name="_Toc2422"/>
      <w:bookmarkStart w:id="43" w:name="_Toc2070"/>
      <w:bookmarkStart w:id="44" w:name="_Toc32686"/>
      <w:bookmarkStart w:id="45" w:name="_Toc75793504"/>
      <w:bookmarkStart w:id="46" w:name="_Toc1492"/>
      <w:bookmarkStart w:id="47" w:name="_Toc11017"/>
      <w:bookmarkStart w:id="48" w:name="_Toc1625"/>
      <w:bookmarkStart w:id="49" w:name="_Toc25639"/>
      <w:bookmarkStart w:id="50" w:name="_Toc5461"/>
      <w:bookmarkStart w:id="51" w:name="_Toc8649"/>
      <w:bookmarkStart w:id="52" w:name="_Toc12959"/>
      <w:bookmarkStart w:id="53" w:name="_Toc26176"/>
      <w:bookmarkStart w:id="54" w:name="_Toc19886"/>
      <w:bookmarkStart w:id="55" w:name="_Toc23143"/>
      <w:bookmarkStart w:id="56" w:name="_Toc106030380"/>
      <w:bookmarkStart w:id="57" w:name="_Toc4247"/>
      <w:bookmarkStart w:id="58" w:name="_Toc12789058"/>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59" w:name="_Toc65660336"/>
      <w:bookmarkStart w:id="60" w:name="_Toc6563"/>
      <w:bookmarkStart w:id="61" w:name="_Toc521053055"/>
      <w:bookmarkStart w:id="62" w:name="_Toc16269"/>
      <w:bookmarkStart w:id="63" w:name="_Toc106034627"/>
      <w:bookmarkStart w:id="64" w:name="_Toc525047163"/>
      <w:r>
        <w:rPr>
          <w:rFonts w:hint="eastAsia" w:ascii="微软雅黑" w:hAnsi="微软雅黑" w:eastAsia="微软雅黑" w:cs="微软雅黑"/>
          <w:sz w:val="24"/>
        </w:rPr>
        <w:t>其它</w:t>
      </w:r>
      <w:bookmarkEnd w:id="39"/>
      <w:bookmarkEnd w:id="40"/>
      <w:bookmarkEnd w:id="59"/>
      <w:bookmarkEnd w:id="60"/>
      <w:bookmarkEnd w:id="61"/>
      <w:bookmarkEnd w:id="62"/>
      <w:bookmarkEnd w:id="63"/>
      <w:bookmarkEnd w:id="6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（一）重庆医科大学附属儿童医院招标办公室所作出的一切书面通知、修改、补充说明、答疑等内容，都是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文件有任何实质性疑问，应当以书面形式向招标方提出质疑，并须将该质疑文件纸质版（须加盖提出质疑单位的公章确认）在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投标截止时间前（开标前1天）</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val="en-US" w:eastAsia="zh-CN"/>
        </w:rPr>
        <w:t>物业管理科</w:t>
      </w:r>
      <w:r>
        <w:rPr>
          <w:rFonts w:hint="eastAsia" w:ascii="微软雅黑" w:hAnsi="微软雅黑" w:eastAsia="微软雅黑" w:cs="微软雅黑"/>
          <w:sz w:val="24"/>
          <w:szCs w:val="24"/>
        </w:rPr>
        <w:t>办公室</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519</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文件的质疑权利。如招标人认为上述质疑有回复必要，将以书面形式将回复内容通知所有投标方。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65" w:name="_Toc65660337"/>
      <w:bookmarkStart w:id="66" w:name="_Toc521053056"/>
      <w:bookmarkStart w:id="67" w:name="_Toc24901"/>
      <w:bookmarkStart w:id="68" w:name="_Toc10415"/>
      <w:bookmarkStart w:id="69" w:name="_Toc1733"/>
      <w:bookmarkStart w:id="70" w:name="_Toc19109"/>
      <w:bookmarkStart w:id="71" w:name="_Toc525047164"/>
      <w:bookmarkStart w:id="72" w:name="_Toc106034628"/>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65"/>
      <w:bookmarkEnd w:id="66"/>
      <w:bookmarkEnd w:id="67"/>
      <w:bookmarkEnd w:id="68"/>
      <w:bookmarkEnd w:id="69"/>
      <w:bookmarkEnd w:id="70"/>
      <w:bookmarkEnd w:id="71"/>
      <w:bookmarkEnd w:id="72"/>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叶老师</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电  话：023-</w:t>
      </w:r>
      <w:r>
        <w:rPr>
          <w:rFonts w:hint="eastAsia" w:ascii="微软雅黑" w:hAnsi="微软雅黑" w:eastAsia="微软雅黑" w:cs="微软雅黑"/>
          <w:sz w:val="24"/>
          <w:szCs w:val="24"/>
          <w:lang w:val="en-US" w:eastAsia="zh-CN"/>
        </w:rPr>
        <w:t>68370052</w:t>
      </w:r>
    </w:p>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r>
        <w:rPr>
          <w:rFonts w:hint="eastAsia" w:ascii="微软雅黑" w:hAnsi="微软雅黑" w:eastAsia="微软雅黑" w:cs="微软雅黑"/>
          <w:sz w:val="24"/>
          <w:szCs w:val="24"/>
        </w:rPr>
        <w:t>邮  箱：</w:t>
      </w:r>
      <w:r>
        <w:rPr>
          <w:rFonts w:hint="eastAsia" w:ascii="微软雅黑" w:hAnsi="微软雅黑" w:eastAsia="微软雅黑" w:cs="微软雅黑"/>
          <w:sz w:val="24"/>
          <w:szCs w:val="24"/>
          <w:lang w:val="en-US" w:eastAsia="zh-CN"/>
        </w:rPr>
        <w:t>无</w:t>
      </w:r>
    </w:p>
    <w:p>
      <w:pPr>
        <w:pStyle w:val="2"/>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r>
        <w:rPr>
          <w:rFonts w:hint="eastAsia" w:ascii="微软雅黑" w:hAnsi="微软雅黑" w:eastAsia="微软雅黑" w:cs="微软雅黑"/>
          <w:b/>
          <w:kern w:val="2"/>
          <w:sz w:val="44"/>
          <w:szCs w:val="20"/>
          <w:lang w:val="en-US" w:eastAsia="zh-CN" w:bidi="ar-SA"/>
        </w:rPr>
        <w:t xml:space="preserve">第二篇 </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Pr>
          <w:rFonts w:hint="eastAsia" w:ascii="微软雅黑" w:hAnsi="微软雅黑" w:eastAsia="微软雅黑" w:cs="微软雅黑"/>
          <w:b/>
          <w:kern w:val="2"/>
          <w:sz w:val="44"/>
          <w:szCs w:val="20"/>
          <w:lang w:val="en-US" w:eastAsia="zh-CN" w:bidi="ar-SA"/>
        </w:rPr>
        <w:t>项目服务需求</w:t>
      </w:r>
      <w:bookmarkEnd w:id="56"/>
      <w:bookmarkEnd w:id="57"/>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106030879"/>
      <w:bookmarkStart w:id="74" w:name="_Toc1866"/>
      <w:bookmarkStart w:id="75" w:name="_Toc18470"/>
      <w:bookmarkStart w:id="76" w:name="_Toc32516"/>
      <w:bookmarkStart w:id="77" w:name="_Toc76462325"/>
      <w:bookmarkStart w:id="78" w:name="_Toc106030882"/>
      <w:bookmarkStart w:id="79" w:name="_Toc7791"/>
      <w:bookmarkStart w:id="80" w:name="_Toc76462327"/>
      <w:r>
        <w:rPr>
          <w:rFonts w:hint="eastAsia" w:ascii="微软雅黑" w:hAnsi="微软雅黑" w:eastAsia="微软雅黑" w:cs="微软雅黑"/>
          <w:sz w:val="24"/>
        </w:rPr>
        <w:t>一、项目基本概况介绍</w:t>
      </w:r>
      <w:bookmarkEnd w:id="73"/>
      <w:bookmarkEnd w:id="74"/>
      <w:bookmarkEnd w:id="75"/>
      <w:bookmarkEnd w:id="76"/>
      <w:bookmarkEnd w:id="77"/>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58"/>
        <w:gridCol w:w="2955"/>
        <w:gridCol w:w="1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470"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c>
        <w:tc>
          <w:tcPr>
            <w:tcW w:w="1534"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更换施工期限</w:t>
            </w:r>
          </w:p>
        </w:tc>
        <w:tc>
          <w:tcPr>
            <w:tcW w:w="994"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0" w:type="pct"/>
            <w:noWrap w:val="0"/>
            <w:vAlign w:val="center"/>
          </w:tcPr>
          <w:p>
            <w:pPr>
              <w:pStyle w:val="50"/>
              <w:keepNext w:val="0"/>
              <w:keepLines w:val="0"/>
              <w:widowControl/>
              <w:suppressLineNumbers w:val="0"/>
              <w:spacing w:before="0" w:beforeAutospacing="0" w:after="0" w:afterAutospacing="0"/>
              <w:ind w:left="0" w:right="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两江院区动物中心供氧管道新增改造</w:t>
            </w:r>
          </w:p>
        </w:tc>
        <w:tc>
          <w:tcPr>
            <w:tcW w:w="1534"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20个日历日</w:t>
            </w:r>
          </w:p>
        </w:tc>
        <w:tc>
          <w:tcPr>
            <w:tcW w:w="994"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质保期不少于2年</w:t>
            </w:r>
          </w:p>
        </w:tc>
      </w:tr>
    </w:tbl>
    <w:p>
      <w:pPr>
        <w:spacing w:line="400" w:lineRule="exact"/>
        <w:ind w:firstLine="480" w:firstLineChars="200"/>
        <w:rPr>
          <w:rFonts w:hint="eastAsia" w:ascii="微软雅黑" w:hAnsi="微软雅黑" w:eastAsia="微软雅黑" w:cs="微软雅黑"/>
          <w:b/>
          <w:bCs/>
          <w:sz w:val="24"/>
          <w:szCs w:val="24"/>
          <w:lang w:val="en-US" w:eastAsia="zh-CN"/>
        </w:rPr>
      </w:pPr>
      <w:bookmarkStart w:id="81" w:name="_Toc12384"/>
      <w:bookmarkStart w:id="82" w:name="_Toc106030880"/>
      <w:bookmarkStart w:id="83" w:name="_Toc25495"/>
      <w:r>
        <w:rPr>
          <w:rFonts w:hint="eastAsia" w:ascii="微软雅黑" w:hAnsi="微软雅黑" w:eastAsia="微软雅黑" w:cs="微软雅黑"/>
          <w:b/>
          <w:bCs/>
          <w:sz w:val="24"/>
          <w:szCs w:val="24"/>
        </w:rPr>
        <w:t>二、</w:t>
      </w:r>
      <w:bookmarkEnd w:id="81"/>
      <w:bookmarkEnd w:id="82"/>
      <w:bookmarkEnd w:id="83"/>
      <w:r>
        <w:rPr>
          <w:rFonts w:hint="eastAsia" w:ascii="微软雅黑" w:hAnsi="微软雅黑" w:eastAsia="微软雅黑" w:cs="微软雅黑"/>
          <w:b/>
          <w:bCs/>
          <w:sz w:val="24"/>
          <w:szCs w:val="24"/>
          <w:lang w:val="en-US" w:eastAsia="zh-CN"/>
        </w:rPr>
        <w:t>项目内容</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一</w:t>
      </w:r>
      <w:r>
        <w:rPr>
          <w:rFonts w:hint="eastAsia" w:ascii="微软雅黑" w:hAnsi="微软雅黑" w:eastAsia="微软雅黑" w:cs="微软雅黑"/>
          <w:sz w:val="24"/>
          <w:szCs w:val="24"/>
          <w:lang w:eastAsia="zh-CN"/>
        </w:rPr>
        <w:t>）项目服务需求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两江院区动物中心的气体汇流排，有5台氧气汇流排，但目前未接入中心供氧（液氧站集中供氧）。本改造项目需从科教楼负一楼车库的氧气管道上新增三通、阀门、不锈钢管道等，连接到动物中心1楼气体汇流排间中（1根主管进入后分别连接至5个氧气汇流排，中间涉及到土建开孔），并再新增三通和阀门，让5个氧气汇流排可在氧气瓶供氧或集中供氧两种模式中切换。</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2.根据GB50751-2012《医用气体工程技术规范》、GB/T 14976-2012《流体输送用不锈钢无缝钢管》等相关规范要求，完成供氧管道新增改造，并满足采购人管理部门和使用科室的需求。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3.施工过程中需做好安全防护，不得有氧气泄漏、消防等安全事件发生；</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4.氧气管道、阀门、弯头等最高承压不低于1.6MPa；</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5.碰管时，对采购人现场氧气停供影响时间不高于40分钟，且作业时间可能为节假日或晚上。</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6.本项目工程量清单包含但不限于下表内容。本项目为交钥匙改造工程，具体所耗的改造材料，以满足改造需求为目的，须据实变动。</w:t>
      </w:r>
    </w:p>
    <w:tbl>
      <w:tblPr>
        <w:tblStyle w:val="57"/>
        <w:tblW w:w="940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2893"/>
        <w:gridCol w:w="1500"/>
        <w:gridCol w:w="1834"/>
        <w:gridCol w:w="2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2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设备名称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规格型号</w:t>
            </w:r>
          </w:p>
        </w:tc>
        <w:tc>
          <w:tcPr>
            <w:tcW w:w="18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不锈钢管</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φ18×2</w:t>
            </w:r>
          </w:p>
        </w:tc>
        <w:tc>
          <w:tcPr>
            <w:tcW w:w="18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不锈钢球阀</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DN18</w:t>
            </w:r>
          </w:p>
        </w:tc>
        <w:tc>
          <w:tcPr>
            <w:tcW w:w="18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不锈钢管三通</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φ18×2</w:t>
            </w:r>
          </w:p>
        </w:tc>
        <w:tc>
          <w:tcPr>
            <w:tcW w:w="18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不锈钢管弯头</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φ18×2</w:t>
            </w:r>
          </w:p>
        </w:tc>
        <w:tc>
          <w:tcPr>
            <w:tcW w:w="18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不锈钢管直接</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φ18×2</w:t>
            </w:r>
          </w:p>
        </w:tc>
        <w:tc>
          <w:tcPr>
            <w:tcW w:w="18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角铁支架</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18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开槽、开孔、打洞、管道、支架等安装和除渣</w:t>
            </w:r>
            <w:r>
              <w:rPr>
                <w:rFonts w:hint="eastAsia" w:ascii="宋体" w:hAnsi="宋体" w:cs="宋体"/>
                <w:i w:val="0"/>
                <w:iCs w:val="0"/>
                <w:color w:val="000000"/>
                <w:kern w:val="0"/>
                <w:sz w:val="24"/>
                <w:szCs w:val="24"/>
                <w:u w:val="none"/>
                <w:lang w:val="en-US" w:eastAsia="zh-CN" w:bidi="ar"/>
              </w:rPr>
              <w:t>等</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8"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8</w:t>
            </w:r>
          </w:p>
        </w:tc>
        <w:tc>
          <w:tcPr>
            <w:tcW w:w="2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税金</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r>
    </w:tbl>
    <w:p>
      <w:pPr>
        <w:snapToGrid w:val="0"/>
        <w:spacing w:line="400" w:lineRule="exact"/>
        <w:ind w:firstLine="480" w:firstLineChars="200"/>
        <w:rPr>
          <w:rFonts w:hint="eastAsia" w:ascii="微软雅黑" w:hAnsi="微软雅黑" w:eastAsia="微软雅黑" w:cs="微软雅黑"/>
          <w:sz w:val="24"/>
          <w:szCs w:val="24"/>
          <w:lang w:eastAsia="zh-CN"/>
        </w:rPr>
      </w:pP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7.本项目改造加装的管道尺寸最低尺寸为</w:t>
      </w:r>
      <w:r>
        <w:rPr>
          <w:rFonts w:hint="eastAsia" w:ascii="宋体" w:hAnsi="宋体" w:eastAsia="宋体" w:cs="宋体"/>
          <w:i w:val="0"/>
          <w:iCs w:val="0"/>
          <w:color w:val="000000"/>
          <w:kern w:val="0"/>
          <w:sz w:val="24"/>
          <w:szCs w:val="24"/>
          <w:u w:val="none"/>
          <w:lang w:val="en-US" w:eastAsia="zh-CN" w:bidi="ar"/>
        </w:rPr>
        <w:t>φ</w:t>
      </w:r>
      <w:r>
        <w:rPr>
          <w:rFonts w:hint="eastAsia" w:ascii="微软雅黑" w:hAnsi="微软雅黑" w:eastAsia="微软雅黑" w:cs="微软雅黑"/>
          <w:sz w:val="24"/>
          <w:szCs w:val="24"/>
          <w:lang w:val="en-US" w:eastAsia="zh-CN"/>
        </w:rPr>
        <w:t>18，可根据现场情况适当增加尺寸（尺寸只能增加，不能减少），管道尺寸务必满足采购使用科室对氧气流量、压力等需求。若改造后因管道尺寸偏小，导致供氧压力或流量不足且不满足科室需求，则由投标人负责整改，并承担相应费用。</w:t>
      </w:r>
    </w:p>
    <w:p>
      <w:pPr>
        <w:snapToGrid w:val="0"/>
        <w:spacing w:line="400" w:lineRule="exact"/>
        <w:ind w:firstLine="480" w:firstLineChars="200"/>
        <w:rPr>
          <w:rFonts w:hint="eastAsia" w:ascii="微软雅黑" w:hAnsi="微软雅黑" w:eastAsia="微软雅黑" w:cs="微软雅黑"/>
          <w:sz w:val="24"/>
          <w:szCs w:val="24"/>
          <w:lang w:eastAsia="zh-CN"/>
        </w:rPr>
      </w:pP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有关安全生产和防火的约定</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提供的施工图纸或作法说明，应符合相关施工即质量验收规范和有关防火设计规范。</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在施工期间应严格遵守《建筑安装工程安全技术规程》、《建筑安装工人安全操作规程》、《中华人民共和国消防条例》和其它相关的法规、规范。</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3.由于</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在施工过程中违反安全操作规程、消防条例和防火规范而发生的一切安全伤亡事故，概由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负责。</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4.对于</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违反安全、消防和防火规定的指令，</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有权拒绝，如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强制执行而导致安全和火灾事故，</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应承担一切责任。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需安全文明施工，根据</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现场需求，现场布置施工隔离带（区）。</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施工人员入场施工前办理相关入场手续（根据</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要求），施工过程中遵守</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的各项规章制度要求。</w:t>
      </w:r>
      <w:r>
        <w:rPr>
          <w:rFonts w:hint="eastAsia" w:ascii="微软雅黑" w:hAnsi="微软雅黑" w:eastAsia="微软雅黑" w:cs="微软雅黑"/>
          <w:sz w:val="24"/>
          <w:szCs w:val="24"/>
          <w:lang w:val="en-US" w:eastAsia="zh-CN"/>
        </w:rPr>
        <w:t>动火动焊作业前务必根据采购人要求完成动火证办理。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7.</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特种作业人员必须持相关作业有效证件上岗。</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8.</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作业时间按照</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规定，不得随意随时施工。</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 xml:space="preserve"> 违约责任</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1.投标人未完成或违反本项目招标文件或合同约定，如超过工期，未满足改造需求等，采购人有权终止合同，投标人承担全部的法律责任与采购人的经济损失，且采购人有权终止合同。</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2.投标人须确保用于本项目的配件为高品质合格配件，配件运输安全且不遗漏，否则采购人有权终止合同，投标人承担全部的法律责任与采购人的经济损失。</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3.投标人若未按照招标文件与合同要求，采购人有权扣除500元的违约金，其投标人未限期整改完成，投标人承担全部的法律责任与采购人的经济损失，采购人有权终止合同。</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5.投标人违反现行国家法律法规，所有产生的法律责任及经济责任均由投标人自行承担。</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6.因投标人原因造成的消防或安全事故或不良事件，所有产生的法律责任及经济责任均由投标人自行承担。</w:t>
      </w:r>
      <w:bookmarkStart w:id="204" w:name="_GoBack"/>
      <w:bookmarkEnd w:id="204"/>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7.因投标人原因造成投标人人员工伤或人身损害或财产损失、造成采购人或第三方人员伤害或财产损失等事故均由投标人负责解决，并由投标人承担全部经济与法律责任。</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8.因投标人原因发生设施设备损坏，如投标人未安全防护施工与调试等，造成现场设备损坏等，由投标人负责修复或更换。</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9.质保期内若投标人未在4小时内完成修复，采购人有权邀请第三方修复，费用从投标人质保金中扣除，且采购人有权再扣除300元的质保金。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10.</w:t>
      </w:r>
      <w:r>
        <w:rPr>
          <w:rFonts w:hint="default" w:ascii="微软雅黑" w:hAnsi="微软雅黑" w:eastAsia="微软雅黑" w:cs="微软雅黑"/>
          <w:sz w:val="24"/>
          <w:szCs w:val="24"/>
          <w:lang w:val="en-US" w:eastAsia="zh-CN"/>
        </w:rPr>
        <w:t>如一方违约，另一方为维护合法权益所产生的费用（包括但不限于：鉴定费、公证费、律师费、差旅费、诉讼费、保全费</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val="en-US" w:eastAsia="zh-Hans"/>
        </w:rPr>
        <w:t>仲裁费</w:t>
      </w:r>
      <w:r>
        <w:rPr>
          <w:rFonts w:hint="default" w:ascii="微软雅黑" w:hAnsi="微软雅黑" w:eastAsia="微软雅黑" w:cs="微软雅黑"/>
          <w:sz w:val="24"/>
          <w:szCs w:val="24"/>
          <w:lang w:val="en-US" w:eastAsia="zh-Hans"/>
        </w:rPr>
        <w:t>、</w:t>
      </w:r>
      <w:r>
        <w:rPr>
          <w:rFonts w:hint="eastAsia" w:ascii="微软雅黑" w:hAnsi="微软雅黑" w:eastAsia="微软雅黑" w:cs="微软雅黑"/>
          <w:sz w:val="24"/>
          <w:szCs w:val="24"/>
          <w:lang w:val="en-US" w:eastAsia="zh-CN"/>
        </w:rPr>
        <w:t>保全担保费</w:t>
      </w:r>
      <w:r>
        <w:rPr>
          <w:rFonts w:hint="default" w:ascii="微软雅黑" w:hAnsi="微软雅黑" w:eastAsia="微软雅黑" w:cs="微软雅黑"/>
          <w:sz w:val="24"/>
          <w:szCs w:val="24"/>
          <w:lang w:val="en-US" w:eastAsia="zh-CN"/>
        </w:rPr>
        <w:t>等）均由违约方承担</w:t>
      </w:r>
      <w:r>
        <w:rPr>
          <w:rFonts w:hint="eastAsia" w:ascii="微软雅黑" w:hAnsi="微软雅黑" w:eastAsia="微软雅黑" w:cs="微软雅黑"/>
          <w:sz w:val="24"/>
          <w:szCs w:val="24"/>
          <w:lang w:val="en-US"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现场踏勘</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招标人不组织集中踏勘，各潜在</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于本公告发布之日起5个工作日内（工作时间）自行前往项目现场踏勘，踏勘费用自理，其余时间恕不接受踏勘。踏勘人员不超过2人，请携带本人身份证，自觉遵守招标人项目地的秩序、安全、保密、防疫管理等相关规定。潜在</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自行负责在踏勘现场中所发生的人员伤亡和财产损失。招标人在踏勘现场中介绍的相关情况，仅供潜在</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参考，招标人不对潜在</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据此做出的判断和决策负责。通过勘查现场，说明</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对本项目的风险和义务已经十分了解，并在其投标文件中已充分考虑了现场和环境条件。</w:t>
      </w:r>
      <w:r>
        <w:rPr>
          <w:rFonts w:hint="eastAsia" w:ascii="微软雅黑" w:hAnsi="微软雅黑" w:eastAsia="微软雅黑" w:cs="微软雅黑"/>
          <w:sz w:val="24"/>
          <w:szCs w:val="24"/>
          <w:lang w:val="en-US" w:eastAsia="zh-CN"/>
        </w:rPr>
        <w:t>投标人后续参与投标，则无论是否进行现场勘察，均视为已现场勘察，若有问题，则由投标人承担责任。</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 xml:space="preserve">踏勘联系人：  </w:t>
      </w:r>
      <w:r>
        <w:rPr>
          <w:rFonts w:hint="eastAsia" w:ascii="微软雅黑" w:hAnsi="微软雅黑" w:eastAsia="微软雅黑" w:cs="微软雅黑"/>
          <w:sz w:val="24"/>
          <w:szCs w:val="24"/>
          <w:lang w:val="en-US" w:eastAsia="zh-CN"/>
        </w:rPr>
        <w:t>叶老师</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踏勘联系电话：</w:t>
      </w:r>
      <w:r>
        <w:rPr>
          <w:rFonts w:hint="eastAsia" w:ascii="微软雅黑" w:hAnsi="微软雅黑" w:eastAsia="微软雅黑" w:cs="微软雅黑"/>
          <w:sz w:val="24"/>
          <w:szCs w:val="24"/>
          <w:lang w:val="en-US" w:eastAsia="zh-CN"/>
        </w:rPr>
        <w:t>68370052</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踏勘地点：重庆市</w:t>
      </w:r>
      <w:r>
        <w:rPr>
          <w:rFonts w:hint="eastAsia" w:ascii="微软雅黑" w:hAnsi="微软雅黑" w:eastAsia="微软雅黑" w:cs="微软雅黑"/>
          <w:sz w:val="24"/>
          <w:szCs w:val="24"/>
          <w:lang w:val="en-US" w:eastAsia="zh-CN"/>
        </w:rPr>
        <w:t>两江院区金渝大道20号儿童医院两江院区</w:t>
      </w:r>
    </w:p>
    <w:p>
      <w:pPr>
        <w:pStyle w:val="3"/>
        <w:spacing w:before="200" w:after="200" w:line="240" w:lineRule="auto"/>
        <w:ind w:firstLine="2641" w:firstLineChars="600"/>
        <w:jc w:val="both"/>
        <w:rPr>
          <w:rFonts w:hint="eastAsia" w:ascii="微软雅黑" w:hAnsi="微软雅黑" w:eastAsia="微软雅黑" w:cs="微软雅黑"/>
          <w:b/>
          <w:sz w:val="44"/>
          <w:szCs w:val="20"/>
        </w:rPr>
      </w:pPr>
      <w:bookmarkStart w:id="84" w:name="_Toc4069"/>
    </w:p>
    <w:p>
      <w:pPr>
        <w:pStyle w:val="3"/>
        <w:spacing w:before="200" w:after="200" w:line="240" w:lineRule="auto"/>
        <w:ind w:firstLine="2641" w:firstLineChars="600"/>
        <w:jc w:val="both"/>
        <w:rPr>
          <w:rFonts w:hint="eastAsia" w:ascii="微软雅黑" w:hAnsi="微软雅黑" w:eastAsia="微软雅黑" w:cs="微软雅黑"/>
          <w:b/>
          <w:sz w:val="44"/>
          <w:szCs w:val="20"/>
        </w:rPr>
      </w:pPr>
    </w:p>
    <w:p>
      <w:pPr>
        <w:pStyle w:val="3"/>
        <w:spacing w:before="200" w:after="200" w:line="240" w:lineRule="auto"/>
        <w:jc w:val="both"/>
        <w:rPr>
          <w:rFonts w:hint="eastAsia" w:ascii="微软雅黑" w:hAnsi="微软雅黑" w:eastAsia="微软雅黑" w:cs="微软雅黑"/>
          <w:b/>
          <w:sz w:val="44"/>
          <w:szCs w:val="20"/>
        </w:rPr>
      </w:pPr>
    </w:p>
    <w:p>
      <w:pPr>
        <w:rPr>
          <w:rFonts w:hint="eastAsia"/>
        </w:rPr>
      </w:pPr>
    </w:p>
    <w:p>
      <w:pPr>
        <w:pStyle w:val="3"/>
        <w:spacing w:before="200" w:after="200" w:line="240" w:lineRule="auto"/>
        <w:ind w:firstLine="2641" w:firstLineChars="600"/>
        <w:jc w:val="both"/>
        <w:rPr>
          <w:rFonts w:hint="eastAsia" w:ascii="微软雅黑" w:hAnsi="微软雅黑" w:eastAsia="微软雅黑" w:cs="微软雅黑"/>
          <w:b/>
          <w:sz w:val="44"/>
          <w:szCs w:val="20"/>
        </w:rPr>
      </w:pPr>
    </w:p>
    <w:p>
      <w:pPr>
        <w:pStyle w:val="3"/>
        <w:spacing w:before="200" w:after="200" w:line="240" w:lineRule="auto"/>
        <w:ind w:firstLine="2641" w:firstLineChars="600"/>
        <w:jc w:val="both"/>
        <w:rPr>
          <w:rFonts w:hint="eastAsia" w:ascii="微软雅黑" w:hAnsi="微软雅黑" w:eastAsia="微软雅黑" w:cs="微软雅黑"/>
          <w:b/>
          <w:sz w:val="44"/>
          <w:szCs w:val="20"/>
        </w:rPr>
      </w:pPr>
    </w:p>
    <w:p>
      <w:pPr>
        <w:pStyle w:val="3"/>
        <w:spacing w:before="200" w:after="200" w:line="240" w:lineRule="auto"/>
        <w:ind w:firstLine="2641" w:firstLineChars="600"/>
        <w:jc w:val="both"/>
        <w:rPr>
          <w:rFonts w:hint="eastAsia" w:ascii="微软雅黑" w:hAnsi="微软雅黑" w:eastAsia="微软雅黑" w:cs="微软雅黑"/>
          <w:b/>
          <w:sz w:val="44"/>
          <w:szCs w:val="20"/>
        </w:rPr>
      </w:pPr>
    </w:p>
    <w:p>
      <w:pPr>
        <w:pStyle w:val="3"/>
        <w:spacing w:before="200" w:after="200" w:line="240" w:lineRule="auto"/>
        <w:jc w:val="both"/>
        <w:rPr>
          <w:rFonts w:hint="eastAsia" w:ascii="微软雅黑" w:hAnsi="微软雅黑" w:eastAsia="微软雅黑" w:cs="微软雅黑"/>
          <w:b/>
          <w:sz w:val="44"/>
          <w:szCs w:val="20"/>
        </w:rPr>
      </w:pPr>
    </w:p>
    <w:p>
      <w:pPr>
        <w:rPr>
          <w:rFonts w:hint="eastAsia"/>
        </w:rPr>
      </w:pPr>
    </w:p>
    <w:p>
      <w:pPr>
        <w:pStyle w:val="3"/>
        <w:spacing w:before="200" w:after="200" w:line="240" w:lineRule="auto"/>
        <w:ind w:firstLine="2641" w:firstLineChars="600"/>
        <w:jc w:val="both"/>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第三篇  </w:t>
      </w:r>
      <w:bookmarkEnd w:id="58"/>
      <w:r>
        <w:rPr>
          <w:rFonts w:hint="eastAsia" w:ascii="微软雅黑" w:hAnsi="微软雅黑" w:eastAsia="微软雅黑" w:cs="微软雅黑"/>
          <w:b/>
          <w:sz w:val="44"/>
          <w:szCs w:val="20"/>
        </w:rPr>
        <w:t>项目商务需求</w:t>
      </w:r>
      <w:bookmarkEnd w:id="78"/>
      <w:bookmarkEnd w:id="79"/>
      <w:bookmarkEnd w:id="80"/>
      <w:bookmarkEnd w:id="84"/>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施工期限、施工地点及验收方式</w:t>
            </w:r>
          </w:p>
        </w:tc>
        <w:tc>
          <w:tcPr>
            <w:tcW w:w="4271"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施工期限：20个日历日内</w:t>
            </w:r>
          </w:p>
          <w:p>
            <w:pPr>
              <w:pStyle w:val="143"/>
              <w:keepNext w:val="0"/>
              <w:keepLines w:val="0"/>
              <w:suppressLineNumbers w:val="0"/>
              <w:snapToGrid w:val="0"/>
              <w:spacing w:before="0" w:beforeAutospacing="0" w:after="0" w:afterAutospacing="0" w:line="400" w:lineRule="exact"/>
              <w:ind w:left="0" w:right="0" w:firstLine="0" w:firstLineChars="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施工地点：重庆医科大学附属儿童医院两江院区</w:t>
            </w:r>
          </w:p>
          <w:p>
            <w:pPr>
              <w:pStyle w:val="143"/>
              <w:keepNext w:val="0"/>
              <w:keepLines w:val="0"/>
              <w:suppressLineNumbers w:val="0"/>
              <w:snapToGrid w:val="0"/>
              <w:spacing w:before="0" w:beforeAutospacing="0" w:after="0" w:afterAutospacing="0" w:line="400" w:lineRule="exact"/>
              <w:ind w:left="0" w:right="0" w:firstLine="0" w:firstLineChars="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验收方式：更换</w:t>
            </w:r>
            <w:r>
              <w:rPr>
                <w:rFonts w:hint="eastAsia" w:ascii="微软雅黑" w:hAnsi="微软雅黑" w:eastAsia="微软雅黑" w:cs="微软雅黑"/>
                <w:sz w:val="24"/>
                <w:szCs w:val="20"/>
              </w:rPr>
              <w:t>施工完毕由采购人组织，</w:t>
            </w:r>
            <w:r>
              <w:rPr>
                <w:rFonts w:hint="eastAsia" w:ascii="微软雅黑" w:hAnsi="微软雅黑" w:eastAsia="微软雅黑" w:cs="微软雅黑"/>
                <w:sz w:val="24"/>
                <w:szCs w:val="24"/>
                <w:lang w:val="en-US" w:eastAsia="zh-CN"/>
              </w:rPr>
              <w:t>GB50751-2012《医用气体工程技术规范》、GB/T 14976-2012《流体输送用不锈钢无缝钢管》</w:t>
            </w:r>
            <w:r>
              <w:rPr>
                <w:rFonts w:hint="eastAsia" w:ascii="微软雅黑" w:hAnsi="微软雅黑" w:eastAsia="微软雅黑" w:cs="微软雅黑"/>
                <w:kern w:val="2"/>
                <w:sz w:val="24"/>
                <w:szCs w:val="24"/>
                <w:lang w:val="en-US" w:eastAsia="zh-CN" w:bidi="ar-SA"/>
              </w:rPr>
              <w:t>等</w:t>
            </w:r>
            <w:r>
              <w:rPr>
                <w:rFonts w:hint="eastAsia" w:ascii="微软雅黑" w:hAnsi="微软雅黑" w:eastAsia="微软雅黑" w:cs="微软雅黑"/>
                <w:color w:val="000000" w:themeColor="text1"/>
                <w:sz w:val="24"/>
                <w:szCs w:val="20"/>
                <w14:textFill>
                  <w14:solidFill>
                    <w14:schemeClr w14:val="tx1"/>
                  </w14:solidFill>
                </w14:textFill>
              </w:rPr>
              <w:t>标准进行验收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bookmarkStart w:id="85" w:name="_Toc76462332"/>
            <w:bookmarkStart w:id="86" w:name="_Toc106030887"/>
            <w:bookmarkStart w:id="87" w:name="_Toc6692"/>
            <w:r>
              <w:rPr>
                <w:rFonts w:hint="eastAsia" w:ascii="微软雅黑" w:hAnsi="微软雅黑" w:eastAsia="微软雅黑" w:cs="微软雅黑"/>
                <w:b/>
                <w:bCs/>
                <w:kern w:val="2"/>
                <w:sz w:val="24"/>
                <w:szCs w:val="24"/>
                <w:lang w:val="en-US" w:eastAsia="zh-CN"/>
              </w:rPr>
              <w:t>质量保证及售后服务</w:t>
            </w:r>
          </w:p>
        </w:tc>
        <w:tc>
          <w:tcPr>
            <w:tcW w:w="4271"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default" w:ascii="微软雅黑" w:hAnsi="微软雅黑" w:eastAsia="微软雅黑" w:cs="微软雅黑"/>
                <w:sz w:val="24"/>
                <w:szCs w:val="24"/>
                <w:lang w:val="en-US" w:eastAsia="zh-CN"/>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不低于2年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1" w:type="pct"/>
            <w:vAlign w:val="center"/>
          </w:tcPr>
          <w:p>
            <w:pPr>
              <w:pStyle w:val="143"/>
              <w:keepNext w:val="0"/>
              <w:keepLines w:val="0"/>
              <w:numPr>
                <w:ilvl w:val="0"/>
                <w:numId w:val="15"/>
              </w:numPr>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本次报价为一次性报价，以投标人响应文件中的报价为准，现场不再进行报价环节。</w:t>
            </w:r>
          </w:p>
          <w:p>
            <w:pPr>
              <w:pStyle w:val="143"/>
              <w:keepNext w:val="0"/>
              <w:keepLines w:val="0"/>
              <w:numPr>
                <w:ilvl w:val="0"/>
                <w:numId w:val="0"/>
              </w:numPr>
              <w:suppressLineNumbers w:val="0"/>
              <w:snapToGrid w:val="0"/>
              <w:spacing w:before="0" w:beforeAutospacing="0" w:after="0" w:afterAutospacing="0" w:line="400" w:lineRule="exact"/>
              <w:ind w:left="0" w:leftChars="0" w:right="0" w:right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color w:val="000000" w:themeColor="text1"/>
                <w:sz w:val="24"/>
                <w:szCs w:val="20"/>
                <w:lang w:val="en-US" w:eastAsia="zh-CN"/>
                <w14:textFill>
                  <w14:solidFill>
                    <w14:schemeClr w14:val="tx1"/>
                  </w14:solidFill>
                </w14:textFill>
              </w:rPr>
              <w:t>本</w:t>
            </w:r>
            <w:r>
              <w:rPr>
                <w:rFonts w:hint="eastAsia" w:ascii="微软雅黑" w:hAnsi="微软雅黑" w:eastAsia="微软雅黑" w:cs="微软雅黑"/>
                <w:color w:val="000000" w:themeColor="text1"/>
                <w:sz w:val="24"/>
                <w:szCs w:val="20"/>
                <w14:textFill>
                  <w14:solidFill>
                    <w14:schemeClr w14:val="tx1"/>
                  </w14:solidFill>
                </w14:textFill>
              </w:rPr>
              <w:t>项目报价须为总价包干报价，</w:t>
            </w:r>
            <w:r>
              <w:rPr>
                <w:rFonts w:hint="eastAsia" w:ascii="微软雅黑" w:hAnsi="微软雅黑" w:eastAsia="微软雅黑" w:cs="微软雅黑"/>
                <w:color w:val="000000" w:themeColor="text1"/>
                <w:sz w:val="24"/>
                <w:szCs w:val="20"/>
                <w:lang w:val="en-US" w:eastAsia="zh-CN"/>
                <w14:textFill>
                  <w14:solidFill>
                    <w14:schemeClr w14:val="tx1"/>
                  </w14:solidFill>
                </w14:textFill>
              </w:rPr>
              <w:t>项目报价配件采购、配送、现场施工保护、土建开孔、安装人工，调试等涉及本项目的全部采购施工费用。</w:t>
            </w:r>
            <w:r>
              <w:rPr>
                <w:rFonts w:hint="eastAsia" w:ascii="微软雅黑" w:hAnsi="微软雅黑" w:eastAsia="微软雅黑" w:cs="微软雅黑"/>
                <w:color w:val="000000" w:themeColor="text1"/>
                <w:sz w:val="24"/>
                <w:szCs w:val="20"/>
                <w14:textFill>
                  <w14:solidFill>
                    <w14:schemeClr w14:val="tx1"/>
                  </w14:solidFill>
                </w14:textFill>
              </w:rPr>
              <w:t>因</w:t>
            </w:r>
            <w:r>
              <w:rPr>
                <w:rFonts w:hint="eastAsia" w:ascii="微软雅黑" w:hAnsi="微软雅黑" w:eastAsia="微软雅黑" w:cs="微软雅黑"/>
                <w:color w:val="000000" w:themeColor="text1"/>
                <w:sz w:val="24"/>
                <w:szCs w:val="20"/>
                <w:lang w:eastAsia="zh-CN"/>
                <w14:textFill>
                  <w14:solidFill>
                    <w14:schemeClr w14:val="tx1"/>
                  </w14:solidFill>
                </w14:textFill>
              </w:rPr>
              <w:t>投标人</w:t>
            </w:r>
            <w:r>
              <w:rPr>
                <w:rFonts w:hint="eastAsia" w:ascii="微软雅黑" w:hAnsi="微软雅黑" w:eastAsia="微软雅黑" w:cs="微软雅黑"/>
                <w:color w:val="000000" w:themeColor="text1"/>
                <w:sz w:val="24"/>
                <w:szCs w:val="20"/>
                <w14:textFill>
                  <w14:solidFill>
                    <w14:schemeClr w14:val="tx1"/>
                  </w14:solidFill>
                </w14:textFill>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1" w:type="pct"/>
            <w:vAlign w:val="center"/>
          </w:tcPr>
          <w:p>
            <w:pPr>
              <w:keepNext w:val="0"/>
              <w:keepLines w:val="0"/>
              <w:numPr>
                <w:ilvl w:val="0"/>
                <w:numId w:val="0"/>
              </w:numPr>
              <w:suppressLineNumbers w:val="0"/>
              <w:spacing w:before="0" w:beforeAutospacing="0" w:after="0" w:afterAutospacing="0"/>
              <w:ind w:left="0" w:right="0"/>
              <w:jc w:val="left"/>
              <w:rPr>
                <w:rFonts w:hint="default" w:ascii="微软雅黑" w:hAnsi="微软雅黑" w:eastAsia="微软雅黑" w:cs="微软雅黑"/>
                <w:color w:val="000000" w:themeColor="text1"/>
                <w:sz w:val="24"/>
                <w:szCs w:val="20"/>
                <w:lang w:val="en-US" w:eastAsia="zh-CN"/>
                <w14:textFill>
                  <w14:solidFill>
                    <w14:schemeClr w14:val="tx1"/>
                  </w14:solidFill>
                </w14:textFill>
              </w:rPr>
            </w:pPr>
            <w:r>
              <w:rPr>
                <w:rFonts w:hint="eastAsia" w:ascii="微软雅黑" w:hAnsi="微软雅黑" w:eastAsia="微软雅黑" w:cs="微软雅黑"/>
                <w:color w:val="000000" w:themeColor="text1"/>
                <w:sz w:val="24"/>
                <w:szCs w:val="20"/>
                <w14:textFill>
                  <w14:solidFill>
                    <w14:schemeClr w14:val="tx1"/>
                  </w14:solidFill>
                </w14:textFill>
              </w:rPr>
              <w:t>项目验收合格并收到</w:t>
            </w:r>
            <w:r>
              <w:rPr>
                <w:rFonts w:hint="eastAsia" w:ascii="微软雅黑" w:hAnsi="微软雅黑" w:eastAsia="微软雅黑" w:cs="微软雅黑"/>
                <w:color w:val="000000" w:themeColor="text1"/>
                <w:sz w:val="24"/>
                <w:szCs w:val="20"/>
                <w:lang w:eastAsia="zh-CN"/>
                <w14:textFill>
                  <w14:solidFill>
                    <w14:schemeClr w14:val="tx1"/>
                  </w14:solidFill>
                </w14:textFill>
              </w:rPr>
              <w:t>中标人</w:t>
            </w:r>
            <w:r>
              <w:rPr>
                <w:rFonts w:hint="eastAsia" w:ascii="微软雅黑" w:hAnsi="微软雅黑" w:eastAsia="微软雅黑" w:cs="微软雅黑"/>
                <w:color w:val="000000" w:themeColor="text1"/>
                <w:sz w:val="24"/>
                <w:szCs w:val="20"/>
                <w14:textFill>
                  <w14:solidFill>
                    <w14:schemeClr w14:val="tx1"/>
                  </w14:solidFill>
                </w14:textFill>
              </w:rPr>
              <w:t>开具的发票后2个月内支付合同总价的95%，质保期结束经</w:t>
            </w:r>
            <w:r>
              <w:rPr>
                <w:rFonts w:hint="eastAsia" w:ascii="微软雅黑" w:hAnsi="微软雅黑" w:eastAsia="微软雅黑" w:cs="微软雅黑"/>
                <w:color w:val="000000" w:themeColor="text1"/>
                <w:sz w:val="24"/>
                <w:szCs w:val="20"/>
                <w:lang w:val="en-US" w:eastAsia="zh-CN"/>
                <w14:textFill>
                  <w14:solidFill>
                    <w14:schemeClr w14:val="tx1"/>
                  </w14:solidFill>
                </w14:textFill>
              </w:rPr>
              <w:t>采购人</w:t>
            </w:r>
            <w:r>
              <w:rPr>
                <w:rFonts w:hint="eastAsia" w:ascii="微软雅黑" w:hAnsi="微软雅黑" w:eastAsia="微软雅黑" w:cs="微软雅黑"/>
                <w:color w:val="000000" w:themeColor="text1"/>
                <w:sz w:val="24"/>
                <w:szCs w:val="20"/>
                <w14:textFill>
                  <w14:solidFill>
                    <w14:schemeClr w14:val="tx1"/>
                  </w14:solidFill>
                </w14:textFill>
              </w:rPr>
              <w:t>验收设备运行正常，并收到</w:t>
            </w:r>
            <w:r>
              <w:rPr>
                <w:rFonts w:hint="eastAsia" w:ascii="微软雅黑" w:hAnsi="微软雅黑" w:eastAsia="微软雅黑" w:cs="微软雅黑"/>
                <w:color w:val="000000" w:themeColor="text1"/>
                <w:sz w:val="24"/>
                <w:szCs w:val="20"/>
                <w:lang w:eastAsia="zh-CN"/>
                <w14:textFill>
                  <w14:solidFill>
                    <w14:schemeClr w14:val="tx1"/>
                  </w14:solidFill>
                </w14:textFill>
              </w:rPr>
              <w:t>中标人</w:t>
            </w:r>
            <w:r>
              <w:rPr>
                <w:rFonts w:hint="eastAsia" w:ascii="微软雅黑" w:hAnsi="微软雅黑" w:eastAsia="微软雅黑" w:cs="微软雅黑"/>
                <w:color w:val="000000" w:themeColor="text1"/>
                <w:sz w:val="24"/>
                <w:szCs w:val="20"/>
                <w14:textFill>
                  <w14:solidFill>
                    <w14:schemeClr w14:val="tx1"/>
                  </w14:solidFill>
                </w14:textFill>
              </w:rPr>
              <w:t>开具的发票后10个工作日内支付剩余的5%。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1"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1投标人必须在响应文件中对以上条款和服务承诺明确列出，承诺内容必须达到本篇及采购文件其他条款的要求。</w:t>
            </w:r>
          </w:p>
          <w:p>
            <w:pPr>
              <w:pStyle w:val="143"/>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2.若投标人需按照技术文件要求勘查现场，并向勘查现场组织人员索要签字版勘察现场证明文件，作为有效投标依据。</w:t>
            </w:r>
          </w:p>
          <w:p>
            <w:pPr>
              <w:pStyle w:val="143"/>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3.其他未尽事宜由供需双方在采购合同中详细约定。</w:t>
            </w:r>
          </w:p>
          <w:p>
            <w:pPr>
              <w:pStyle w:val="143"/>
              <w:keepNext w:val="0"/>
              <w:keepLines w:val="0"/>
              <w:suppressLineNumbers w:val="0"/>
              <w:snapToGrid w:val="0"/>
              <w:spacing w:before="0" w:beforeAutospacing="0" w:after="0" w:afterAutospacing="0" w:line="400" w:lineRule="exact"/>
              <w:ind w:left="0" w:right="0" w:firstLine="0" w:firstLineChars="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4.付款条件：</w:t>
            </w:r>
          </w:p>
          <w:p>
            <w:pPr>
              <w:pStyle w:val="143"/>
              <w:keepNext w:val="0"/>
              <w:keepLines w:val="0"/>
              <w:suppressLineNumbers w:val="0"/>
              <w:snapToGrid w:val="0"/>
              <w:spacing w:before="0" w:beforeAutospacing="0" w:after="0" w:afterAutospacing="0" w:line="400" w:lineRule="exact"/>
              <w:ind w:left="0" w:right="0" w:firstLine="0" w:firstLineChars="0"/>
              <w:rPr>
                <w:rFonts w:hint="eastAsia" w:eastAsia="微软雅黑"/>
                <w:szCs w:val="20"/>
                <w:lang w:val="en-US" w:eastAsia="zh-CN"/>
              </w:rPr>
            </w:pPr>
            <w:r>
              <w:rPr>
                <w:rFonts w:hint="eastAsia" w:ascii="微软雅黑" w:hAnsi="微软雅黑" w:eastAsia="微软雅黑" w:cs="微软雅黑"/>
                <w:sz w:val="24"/>
                <w:szCs w:val="24"/>
                <w:lang w:val="en-US" w:eastAsia="zh-CN"/>
              </w:rPr>
              <w:t>按照GB50751-2012《医用气体工程技术规范》、GB/T 14976-2012《流体输送用不锈钢无缝钢管》</w:t>
            </w:r>
            <w:r>
              <w:rPr>
                <w:rFonts w:hint="eastAsia" w:ascii="微软雅黑" w:hAnsi="微软雅黑" w:eastAsia="微软雅黑" w:cs="微软雅黑"/>
                <w:kern w:val="2"/>
                <w:sz w:val="24"/>
                <w:szCs w:val="24"/>
                <w:lang w:val="en-US" w:eastAsia="zh-CN" w:bidi="ar-SA"/>
              </w:rPr>
              <w:t>等</w:t>
            </w:r>
            <w:r>
              <w:rPr>
                <w:rFonts w:hint="eastAsia" w:ascii="微软雅黑" w:hAnsi="微软雅黑" w:eastAsia="微软雅黑" w:cs="微软雅黑"/>
                <w:color w:val="000000" w:themeColor="text1"/>
                <w:sz w:val="24"/>
                <w:szCs w:val="20"/>
                <w14:textFill>
                  <w14:solidFill>
                    <w14:schemeClr w14:val="tx1"/>
                  </w14:solidFill>
                </w14:textFill>
              </w:rPr>
              <w:t>标准进行验收</w:t>
            </w:r>
            <w:r>
              <w:rPr>
                <w:rFonts w:hint="eastAsia" w:ascii="微软雅黑" w:hAnsi="微软雅黑" w:eastAsia="微软雅黑" w:cs="微软雅黑"/>
                <w:color w:val="000000" w:themeColor="text1"/>
                <w:sz w:val="24"/>
                <w:szCs w:val="20"/>
                <w:lang w:val="en-US" w:eastAsia="zh-CN"/>
                <w14:textFill>
                  <w14:solidFill>
                    <w14:schemeClr w14:val="tx1"/>
                  </w14:solidFill>
                </w14:textFill>
              </w:rPr>
              <w:t>合格。</w:t>
            </w:r>
          </w:p>
        </w:tc>
      </w:tr>
    </w:tbl>
    <w:p>
      <w:pP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br w:type="page"/>
      </w:r>
    </w:p>
    <w:bookmarkEnd w:id="85"/>
    <w:bookmarkEnd w:id="86"/>
    <w:bookmarkEnd w:id="87"/>
    <w:p>
      <w:pPr>
        <w:pStyle w:val="3"/>
        <w:pageBreakBefore w:val="0"/>
        <w:spacing w:before="200" w:after="200" w:line="240" w:lineRule="auto"/>
        <w:jc w:val="center"/>
        <w:rPr>
          <w:rFonts w:hint="eastAsia" w:ascii="微软雅黑" w:hAnsi="微软雅黑" w:eastAsia="微软雅黑" w:cs="微软雅黑"/>
          <w:sz w:val="24"/>
        </w:rPr>
      </w:pPr>
      <w:bookmarkStart w:id="88" w:name="_Toc12791"/>
      <w:bookmarkStart w:id="89" w:name="_Toc641"/>
      <w:bookmarkStart w:id="90" w:name="_Toc5379"/>
      <w:bookmarkStart w:id="91" w:name="_Toc106030888"/>
      <w:bookmarkStart w:id="92" w:name="_Toc14958"/>
      <w:bookmarkStart w:id="93" w:name="_Toc76462333"/>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88"/>
      <w:bookmarkEnd w:id="89"/>
    </w:p>
    <w:p>
      <w:pPr>
        <w:pStyle w:val="3"/>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0"/>
      <w:bookmarkEnd w:id="91"/>
      <w:bookmarkEnd w:id="92"/>
      <w:bookmarkEnd w:id="93"/>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w:t>
      </w:r>
      <w:r>
        <w:rPr>
          <w:rFonts w:hint="eastAsia" w:ascii="微软雅黑" w:hAnsi="微软雅黑" w:eastAsia="微软雅黑" w:cs="微软雅黑"/>
          <w:sz w:val="24"/>
          <w:szCs w:val="24"/>
          <w:lang w:val="en-US" w:eastAsia="zh-CN"/>
        </w:rPr>
        <w:t>进行线上开标，投标人无需到场。</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按“第一篇三、</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资格要求（三）本项目的特定资格要求”的要求提交（如果有）。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四</w:t>
            </w:r>
            <w:r>
              <w:rPr>
                <w:rFonts w:hint="eastAsia" w:ascii="微软雅黑" w:hAnsi="微软雅黑" w:eastAsia="微软雅黑" w:cs="微软雅黑"/>
                <w:sz w:val="21"/>
                <w:szCs w:val="21"/>
                <w:lang w:eastAsia="zh-CN"/>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踏勘现场证明文件</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center"/>
          </w:tcPr>
          <w:p>
            <w:pPr>
              <w:pStyle w:val="143"/>
              <w:keepNext w:val="0"/>
              <w:keepLines w:val="0"/>
              <w:suppressLineNumbers w:val="0"/>
              <w:spacing w:before="0" w:beforeAutospacing="0" w:after="0" w:afterAutospacing="0" w:line="400" w:lineRule="exact"/>
              <w:ind w:left="0" w:right="0"/>
              <w:jc w:val="both"/>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投标人提供采购人开具的踏勘现场证明文件。</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可于响应文件递交截止时间前通过 “信用中国”网站(www.creditchina.gov.cn)、"中国政府采购网"(www.ccgp.gov.cn)等渠道查询信用记录。</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94" w:name="_Toc3023"/>
      <w:r>
        <w:rPr>
          <w:rFonts w:hint="eastAsia" w:ascii="微软雅黑" w:hAnsi="微软雅黑" w:eastAsia="微软雅黑" w:cs="微软雅黑"/>
          <w:sz w:val="24"/>
          <w:lang w:val="en-US" w:eastAsia="zh-CN"/>
        </w:rPr>
        <w:t>二、评标方法</w:t>
      </w:r>
      <w:bookmarkEnd w:id="94"/>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w:t>
      </w:r>
      <w:r>
        <w:rPr>
          <w:rFonts w:hint="eastAsia" w:ascii="微软雅黑" w:hAnsi="微软雅黑" w:eastAsia="微软雅黑" w:cs="微软雅黑"/>
          <w:kern w:val="0"/>
          <w:sz w:val="24"/>
          <w:szCs w:val="24"/>
          <w:lang w:val="en-US" w:eastAsia="zh-CN"/>
        </w:rPr>
        <w:t>响应</w:t>
      </w:r>
      <w:r>
        <w:rPr>
          <w:rFonts w:hint="eastAsia" w:ascii="微软雅黑" w:hAnsi="微软雅黑" w:eastAsia="微软雅黑" w:cs="微软雅黑"/>
          <w:kern w:val="0"/>
          <w:sz w:val="24"/>
          <w:szCs w:val="24"/>
        </w:rPr>
        <w:t>文件满足</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文件全部实质性要求且投标报价最低的</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为中标候选人的评标方法。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（一）比较与评价。按</w:t>
      </w:r>
      <w:r>
        <w:rPr>
          <w:rFonts w:hint="eastAsia" w:ascii="微软雅黑" w:hAnsi="微软雅黑" w:eastAsia="微软雅黑" w:cs="微软雅黑"/>
          <w:sz w:val="24"/>
          <w:szCs w:val="24"/>
          <w:lang w:val="en-US" w:eastAsia="zh-CN"/>
        </w:rPr>
        <w:t>比选采购</w:t>
      </w:r>
      <w:r>
        <w:rPr>
          <w:rFonts w:hint="eastAsia" w:ascii="微软雅黑" w:hAnsi="微软雅黑" w:eastAsia="微软雅黑" w:cs="微软雅黑"/>
          <w:sz w:val="24"/>
          <w:szCs w:val="24"/>
        </w:rPr>
        <w:t>文件中规定的评标方法和标准，对资格审查和符合性审查合格的</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进行商务和技术评估。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shd w:val="clear" w:color="auto" w:fill="auto"/>
        </w:rPr>
        <w:t>提供相同品牌产品且通过资格审查、符合性审查的不同</w:t>
      </w:r>
      <w:r>
        <w:rPr>
          <w:rFonts w:hint="eastAsia" w:ascii="微软雅黑" w:hAnsi="微软雅黑" w:eastAsia="微软雅黑" w:cs="微软雅黑"/>
          <w:color w:val="auto"/>
          <w:sz w:val="24"/>
          <w:szCs w:val="24"/>
          <w:shd w:val="clear" w:color="auto" w:fill="auto"/>
          <w:lang w:eastAsia="zh-CN"/>
        </w:rPr>
        <w:t>投标人</w:t>
      </w:r>
      <w:r>
        <w:rPr>
          <w:rFonts w:hint="eastAsia" w:ascii="微软雅黑" w:hAnsi="微软雅黑" w:eastAsia="微软雅黑" w:cs="微软雅黑"/>
          <w:color w:val="auto"/>
          <w:sz w:val="24"/>
          <w:szCs w:val="24"/>
          <w:shd w:val="clear" w:color="auto" w:fill="auto"/>
        </w:rPr>
        <w:t>参加的，按一家</w:t>
      </w:r>
      <w:r>
        <w:rPr>
          <w:rFonts w:hint="eastAsia" w:ascii="微软雅黑" w:hAnsi="微软雅黑" w:eastAsia="微软雅黑" w:cs="微软雅黑"/>
          <w:color w:val="auto"/>
          <w:sz w:val="24"/>
          <w:szCs w:val="24"/>
          <w:shd w:val="clear" w:color="auto" w:fill="auto"/>
          <w:lang w:eastAsia="zh-CN"/>
        </w:rPr>
        <w:t>投标人</w:t>
      </w:r>
      <w:r>
        <w:rPr>
          <w:rFonts w:hint="eastAsia" w:ascii="微软雅黑" w:hAnsi="微软雅黑" w:eastAsia="微软雅黑" w:cs="微软雅黑"/>
          <w:color w:val="auto"/>
          <w:sz w:val="24"/>
          <w:szCs w:val="24"/>
          <w:shd w:val="clear" w:color="auto" w:fill="auto"/>
        </w:rPr>
        <w:t>计算</w:t>
      </w:r>
      <w:r>
        <w:rPr>
          <w:rFonts w:hint="eastAsia" w:ascii="微软雅黑" w:hAnsi="微软雅黑" w:eastAsia="微软雅黑" w:cs="微软雅黑"/>
          <w:sz w:val="24"/>
          <w:szCs w:val="24"/>
        </w:rPr>
        <w:t xml:space="preserve">。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推荐</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满足</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全部实质性要求，依据</w:t>
      </w:r>
      <w:r>
        <w:rPr>
          <w:rFonts w:hint="eastAsia" w:ascii="微软雅黑" w:hAnsi="微软雅黑" w:eastAsia="微软雅黑" w:cs="微软雅黑"/>
          <w:sz w:val="24"/>
          <w:szCs w:val="24"/>
          <w:lang w:val="en-US" w:eastAsia="zh-CN"/>
        </w:rPr>
        <w:t>投标</w:t>
      </w:r>
      <w:r>
        <w:rPr>
          <w:rFonts w:hint="eastAsia" w:ascii="微软雅黑" w:hAnsi="微软雅黑" w:eastAsia="微软雅黑" w:cs="微软雅黑"/>
          <w:sz w:val="24"/>
          <w:szCs w:val="24"/>
        </w:rPr>
        <w:t>价格按照由低到高的顺序排名前三的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为中标候选人，其中排名第一的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为第一中标候选人。</w:t>
      </w:r>
    </w:p>
    <w:p>
      <w:pPr>
        <w:snapToGrid w:val="0"/>
        <w:spacing w:line="400" w:lineRule="exact"/>
        <w:ind w:firstLine="480" w:firstLineChars="200"/>
        <w:rPr>
          <w:rFonts w:hint="eastAsia" w:ascii="微软雅黑" w:hAnsi="微软雅黑" w:eastAsia="微软雅黑" w:cs="微软雅黑"/>
        </w:rPr>
      </w:pPr>
      <w:r>
        <w:rPr>
          <w:rFonts w:hint="eastAsia" w:ascii="微软雅黑" w:hAnsi="微软雅黑" w:eastAsia="微软雅黑" w:cs="微软雅黑"/>
          <w:sz w:val="24"/>
          <w:szCs w:val="24"/>
        </w:rPr>
        <w:t>评标结果按投标报价由低到高顺序排列，若投标报价相同的</w:t>
      </w:r>
      <w:r>
        <w:rPr>
          <w:rFonts w:hint="eastAsia" w:ascii="微软雅黑" w:hAnsi="微软雅黑" w:eastAsia="微软雅黑" w:cs="微软雅黑"/>
          <w:sz w:val="24"/>
          <w:szCs w:val="24"/>
          <w:lang w:val="en-US" w:eastAsia="zh-CN"/>
        </w:rPr>
        <w:t>由评标小组推荐中标候选人</w:t>
      </w:r>
      <w:r>
        <w:rPr>
          <w:rFonts w:hint="eastAsia" w:ascii="微软雅黑" w:hAnsi="微软雅黑" w:eastAsia="微软雅黑" w:cs="微软雅黑"/>
          <w:sz w:val="24"/>
          <w:szCs w:val="24"/>
        </w:rPr>
        <w:t>。</w:t>
      </w:r>
    </w:p>
    <w:p>
      <w:pPr>
        <w:pStyle w:val="3"/>
        <w:numPr>
          <w:ilvl w:val="0"/>
          <w:numId w:val="0"/>
        </w:numPr>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bookmarkStart w:id="95" w:name="_Toc8004"/>
      <w:bookmarkStart w:id="96" w:name="_Toc76462334"/>
      <w:bookmarkStart w:id="97" w:name="_Toc30944"/>
      <w:bookmarkStart w:id="98" w:name="_Toc106030889"/>
      <w:bookmarkStart w:id="99" w:name="_Toc342913394"/>
      <w:bookmarkStart w:id="100" w:name="_Toc102227320"/>
      <w:r>
        <w:rPr>
          <w:rFonts w:hint="eastAsia" w:ascii="微软雅黑" w:hAnsi="微软雅黑" w:eastAsia="微软雅黑" w:cs="微软雅黑"/>
          <w:sz w:val="24"/>
          <w:lang w:val="en-US" w:eastAsia="zh-CN"/>
        </w:rPr>
        <w:t>三、报价方式</w:t>
      </w:r>
      <w:bookmarkEnd w:id="95"/>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480" w:firstLineChars="200"/>
        <w:jc w:val="left"/>
        <w:textAlignment w:val="auto"/>
        <w:rPr>
          <w:rFonts w:hint="default" w:ascii="微软雅黑" w:hAnsi="微软雅黑" w:eastAsia="微软雅黑" w:cs="微软雅黑"/>
          <w:sz w:val="24"/>
          <w:u w:val="single"/>
          <w:lang w:val="en-US" w:eastAsia="zh-CN"/>
        </w:rPr>
      </w:pPr>
      <w:r>
        <w:rPr>
          <w:rFonts w:hint="eastAsia" w:ascii="微软雅黑" w:hAnsi="微软雅黑" w:eastAsia="微软雅黑" w:cs="微软雅黑"/>
          <w:sz w:val="24"/>
          <w:szCs w:val="24"/>
          <w:u w:val="single"/>
          <w:lang w:val="en-US" w:eastAsia="zh-CN"/>
        </w:rPr>
        <w:t>本项目报价为一次性报价，以投标人响应文件中的报价为准，后续不再进行报价环节。</w:t>
      </w:r>
    </w:p>
    <w:p>
      <w:pPr>
        <w:pStyle w:val="3"/>
        <w:numPr>
          <w:ilvl w:val="0"/>
          <w:numId w:val="0"/>
        </w:numPr>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bookmarkStart w:id="101" w:name="_Toc3621"/>
      <w:r>
        <w:rPr>
          <w:rFonts w:hint="eastAsia" w:ascii="微软雅黑" w:hAnsi="微软雅黑" w:eastAsia="微软雅黑" w:cs="微软雅黑"/>
          <w:sz w:val="24"/>
          <w:lang w:val="en-US" w:eastAsia="zh-CN"/>
        </w:rPr>
        <w:t>四、评审标准</w:t>
      </w:r>
      <w:bookmarkEnd w:id="96"/>
      <w:bookmarkEnd w:id="97"/>
      <w:bookmarkEnd w:id="98"/>
      <w:bookmarkEnd w:id="101"/>
    </w:p>
    <w:p>
      <w:pPr>
        <w:snapToGrid w:val="0"/>
        <w:spacing w:line="400" w:lineRule="exact"/>
        <w:ind w:firstLine="480" w:firstLineChars="200"/>
        <w:rPr>
          <w:rFonts w:hint="eastAsia" w:ascii="微软雅黑" w:hAnsi="微软雅黑" w:eastAsia="微软雅黑" w:cs="微软雅黑"/>
          <w:sz w:val="24"/>
          <w:szCs w:val="24"/>
        </w:rPr>
      </w:pPr>
      <w:bookmarkStart w:id="102" w:name="_Toc106030890"/>
      <w:bookmarkStart w:id="103" w:name="_Toc31497"/>
      <w:bookmarkStart w:id="104" w:name="_Toc76462335"/>
      <w:r>
        <w:rPr>
          <w:rFonts w:hint="eastAsia" w:ascii="微软雅黑" w:hAnsi="微软雅黑" w:eastAsia="微软雅黑" w:cs="微软雅黑"/>
          <w:sz w:val="24"/>
          <w:szCs w:val="24"/>
        </w:rPr>
        <w:t>（一）关于</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投标应答有一条及以上不满足</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“第二篇 项目</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需求”要求的，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投标应答有一条及以上不满足</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“第三篇 项目商务需求”要求的，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将失去成为</w:t>
      </w:r>
      <w:r>
        <w:rPr>
          <w:rFonts w:hint="eastAsia" w:ascii="微软雅黑" w:hAnsi="微软雅黑" w:eastAsia="微软雅黑" w:cs="微软雅黑"/>
          <w:sz w:val="24"/>
          <w:szCs w:val="24"/>
          <w:lang w:val="en-US" w:eastAsia="zh-CN"/>
        </w:rPr>
        <w:t>合格投标人</w:t>
      </w:r>
      <w:r>
        <w:rPr>
          <w:rFonts w:hint="eastAsia" w:ascii="微软雅黑" w:hAnsi="微软雅黑" w:eastAsia="微软雅黑" w:cs="微软雅黑"/>
          <w:sz w:val="24"/>
          <w:szCs w:val="24"/>
        </w:rPr>
        <w:t>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的报价明显低于其他通过符合性审查</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的报价，有可能影响产品质量或者不能诚信履约的，应当要求其在评标现场合理的时间内提供书面说明，必要时提交相关证明材料；</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不能证明其报价合理性的，评标委员会应当将其作为无效投标处理。</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05" w:name="_Toc29489"/>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102"/>
      <w:bookmarkEnd w:id="103"/>
      <w:bookmarkEnd w:id="104"/>
      <w:bookmarkEnd w:id="105"/>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投标</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u w:val="single"/>
          <w:lang w:eastAsia="zh-CN"/>
        </w:rPr>
        <w:t>十）</w:t>
      </w:r>
      <w:r>
        <w:rPr>
          <w:rFonts w:hint="eastAsia" w:ascii="微软雅黑" w:hAnsi="微软雅黑" w:eastAsia="微软雅黑" w:cs="微软雅黑"/>
          <w:sz w:val="24"/>
          <w:szCs w:val="24"/>
          <w:u w:val="single"/>
          <w:lang w:val="en-US" w:eastAsia="zh-CN"/>
        </w:rPr>
        <w:t>投标人上传至医院电子招投标平台的响应文件为最终版招标文件；</w:t>
      </w:r>
    </w:p>
    <w:p>
      <w:pPr>
        <w:snapToGrid w:val="0"/>
        <w:spacing w:line="400" w:lineRule="exact"/>
        <w:ind w:firstLine="465"/>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十一</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投标人未在响应文件中编入踏勘现场证明文件的。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十二</w:t>
      </w:r>
      <w:r>
        <w:rPr>
          <w:rFonts w:hint="eastAsia" w:ascii="微软雅黑" w:hAnsi="微软雅黑" w:eastAsia="微软雅黑" w:cs="微软雅黑"/>
          <w:sz w:val="24"/>
          <w:szCs w:val="24"/>
          <w:lang w:eastAsia="zh-CN"/>
        </w:rPr>
        <w:t>）法律、法规和</w:t>
      </w:r>
      <w:r>
        <w:rPr>
          <w:rFonts w:hint="eastAsia" w:ascii="微软雅黑" w:hAnsi="微软雅黑" w:eastAsia="微软雅黑" w:cs="微软雅黑"/>
          <w:sz w:val="24"/>
          <w:szCs w:val="24"/>
          <w:lang w:val="en-US" w:eastAsia="zh-CN"/>
        </w:rPr>
        <w:t>采购</w:t>
      </w:r>
      <w:r>
        <w:rPr>
          <w:rFonts w:hint="eastAsia" w:ascii="微软雅黑" w:hAnsi="微软雅黑" w:eastAsia="微软雅黑" w:cs="微软雅黑"/>
          <w:sz w:val="24"/>
          <w:szCs w:val="24"/>
          <w:lang w:eastAsia="zh-CN"/>
        </w:rPr>
        <w:t>文件规定的其他无效情形。</w:t>
      </w:r>
    </w:p>
    <w:p>
      <w:pPr>
        <w:pStyle w:val="3"/>
        <w:adjustRightInd w:val="0"/>
        <w:snapToGrid w:val="0"/>
        <w:spacing w:before="0" w:after="0" w:line="400" w:lineRule="exact"/>
        <w:ind w:firstLine="480" w:firstLineChars="200"/>
        <w:rPr>
          <w:rFonts w:hint="eastAsia" w:ascii="微软雅黑" w:hAnsi="微软雅黑" w:eastAsia="微软雅黑" w:cs="微软雅黑"/>
          <w:sz w:val="24"/>
          <w:lang w:eastAsia="zh-CN"/>
        </w:rPr>
      </w:pPr>
      <w:bookmarkStart w:id="106" w:name="_Toc76462336"/>
      <w:bookmarkStart w:id="107" w:name="_Toc106030891"/>
      <w:bookmarkStart w:id="108" w:name="_Toc10687"/>
      <w:bookmarkStart w:id="109" w:name="_Toc29702"/>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99"/>
      <w:bookmarkEnd w:id="100"/>
      <w:bookmarkEnd w:id="106"/>
      <w:bookmarkEnd w:id="107"/>
      <w:bookmarkEnd w:id="108"/>
      <w:r>
        <w:rPr>
          <w:rFonts w:hint="eastAsia" w:ascii="微软雅黑" w:hAnsi="微软雅黑" w:eastAsia="微软雅黑" w:cs="微软雅黑"/>
          <w:sz w:val="24"/>
          <w:lang w:val="en-US" w:eastAsia="zh-CN"/>
        </w:rPr>
        <w:t>废标条款</w:t>
      </w:r>
      <w:bookmarkEnd w:id="109"/>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（三）在采购过程中符合要求的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或者报价未超过采购预算的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不足3家的</w:t>
      </w:r>
      <w:r>
        <w:rPr>
          <w:rFonts w:hint="eastAsia" w:ascii="微软雅黑" w:hAnsi="微软雅黑" w:eastAsia="微软雅黑" w:cs="微软雅黑"/>
          <w:sz w:val="24"/>
          <w:szCs w:val="24"/>
          <w:lang w:eastAsia="zh-CN"/>
        </w:rPr>
        <w:t>；</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采购任务变更或取消的。</w:t>
      </w:r>
    </w:p>
    <w:p>
      <w:pPr>
        <w:spacing w:line="400" w:lineRule="exact"/>
        <w:ind w:firstLine="480" w:firstLineChars="200"/>
        <w:rPr>
          <w:rFonts w:hint="eastAsia" w:ascii="微软雅黑" w:hAnsi="微软雅黑" w:eastAsia="微软雅黑" w:cs="微软雅黑"/>
          <w:sz w:val="24"/>
          <w:szCs w:val="24"/>
        </w:rPr>
      </w:pPr>
    </w:p>
    <w:p>
      <w:pPr>
        <w:pStyle w:val="2"/>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pStyle w:val="2"/>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pStyle w:val="2"/>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pStyle w:val="2"/>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rPr>
          <w:rFonts w:hint="eastAsia"/>
        </w:rPr>
        <w:sectPr>
          <w:footerReference r:id="rId8" w:type="default"/>
          <w:pgSz w:w="11907" w:h="16840"/>
          <w:pgMar w:top="1134" w:right="1191" w:bottom="1134" w:left="1304" w:header="964" w:footer="992" w:gutter="0"/>
          <w:pgNumType w:fmt="numberInDash"/>
          <w:cols w:space="720" w:num="1"/>
          <w:docGrid w:linePitch="312" w:charSpace="0"/>
        </w:sectPr>
      </w:pPr>
    </w:p>
    <w:p>
      <w:pPr>
        <w:pStyle w:val="3"/>
        <w:pageBreakBefore w:val="0"/>
        <w:spacing w:before="200" w:after="200" w:line="240" w:lineRule="auto"/>
        <w:jc w:val="center"/>
        <w:rPr>
          <w:rFonts w:hint="eastAsia" w:ascii="微软雅黑" w:hAnsi="微软雅黑" w:eastAsia="微软雅黑" w:cs="微软雅黑"/>
          <w:b/>
          <w:bCs w:val="0"/>
          <w:sz w:val="44"/>
          <w:szCs w:val="20"/>
        </w:rPr>
      </w:pPr>
      <w:bookmarkStart w:id="110" w:name="_Toc102227313"/>
      <w:bookmarkStart w:id="111" w:name="_Toc76462337"/>
      <w:bookmarkStart w:id="112" w:name="_Toc106030892"/>
      <w:bookmarkStart w:id="113" w:name="_Toc29948"/>
      <w:bookmarkStart w:id="114" w:name="_Toc17861"/>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10"/>
      <w:bookmarkEnd w:id="111"/>
      <w:bookmarkEnd w:id="112"/>
      <w:bookmarkEnd w:id="113"/>
      <w:bookmarkEnd w:id="114"/>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15" w:name="_Toc342913389"/>
      <w:bookmarkStart w:id="116" w:name="_Toc23995"/>
      <w:bookmarkStart w:id="117" w:name="_Toc76462338"/>
      <w:bookmarkStart w:id="118" w:name="_Toc26717"/>
      <w:bookmarkStart w:id="119" w:name="_Toc106030893"/>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15"/>
      <w:bookmarkEnd w:id="116"/>
      <w:bookmarkEnd w:id="117"/>
      <w:bookmarkEnd w:id="118"/>
      <w:bookmarkEnd w:id="119"/>
    </w:p>
    <w:p>
      <w:pPr>
        <w:pStyle w:val="143"/>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20" w:name="_Toc76462339"/>
      <w:bookmarkStart w:id="121" w:name="_Toc106030894"/>
      <w:bookmarkStart w:id="122" w:name="_Toc342913391"/>
      <w:bookmarkStart w:id="123" w:name="_Toc15712"/>
      <w:bookmarkStart w:id="124" w:name="_Toc16325"/>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20"/>
      <w:bookmarkEnd w:id="121"/>
      <w:bookmarkEnd w:id="122"/>
      <w:bookmarkEnd w:id="123"/>
      <w:bookmarkEnd w:id="1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25" w:name="_Toc318159780"/>
      <w:bookmarkStart w:id="126" w:name="_Toc318159349"/>
      <w:bookmarkStart w:id="127" w:name="_Toc318159160"/>
      <w:bookmarkStart w:id="128" w:name="_Toc318166429"/>
    </w:p>
    <w:bookmarkEnd w:id="125"/>
    <w:bookmarkEnd w:id="126"/>
    <w:bookmarkEnd w:id="127"/>
    <w:bookmarkEnd w:id="128"/>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342913392"/>
      <w:bookmarkStart w:id="130" w:name="_Toc26007"/>
      <w:bookmarkStart w:id="131" w:name="_Toc106030895"/>
      <w:bookmarkStart w:id="132" w:name="_Toc76462340"/>
      <w:bookmarkStart w:id="133" w:name="_Toc102227318"/>
      <w:bookmarkStart w:id="134" w:name="_Toc179714297"/>
      <w:bookmarkStart w:id="135" w:name="_Toc10711"/>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29"/>
      <w:bookmarkEnd w:id="130"/>
      <w:bookmarkEnd w:id="131"/>
      <w:bookmarkEnd w:id="132"/>
      <w:bookmarkEnd w:id="133"/>
      <w:bookmarkEnd w:id="134"/>
      <w:bookmarkEnd w:id="13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1.响应文件电子文档（</w:t>
      </w:r>
      <w:r>
        <w:rPr>
          <w:rFonts w:hint="eastAsia" w:ascii="微软雅黑" w:hAnsi="微软雅黑" w:eastAsia="微软雅黑" w:cs="微软雅黑"/>
          <w:sz w:val="24"/>
          <w:szCs w:val="24"/>
          <w:lang w:val="en-US" w:eastAsia="zh-CN"/>
        </w:rPr>
        <w:t>正本PDF版上传到电子招投标平台，无需在开标现场提交</w:t>
      </w:r>
      <w:r>
        <w:rPr>
          <w:rFonts w:hint="eastAsia" w:ascii="微软雅黑" w:hAnsi="微软雅黑" w:eastAsia="微软雅黑" w:cs="微软雅黑"/>
          <w:sz w:val="24"/>
          <w:szCs w:val="24"/>
        </w:rPr>
        <w:t>）一份。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电子文档应在报名截止之前上传至电子招投标平台。</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36" w:name="_Toc6435"/>
      <w:bookmarkStart w:id="137" w:name="_Toc106030896"/>
      <w:bookmarkStart w:id="138" w:name="_Toc76462341"/>
      <w:bookmarkStart w:id="139" w:name="_Toc20801"/>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36"/>
      <w:bookmarkEnd w:id="137"/>
      <w:bookmarkEnd w:id="138"/>
      <w:bookmarkEnd w:id="139"/>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40" w:name="_Toc342913395"/>
      <w:bookmarkStart w:id="141" w:name="_Toc102227321"/>
      <w:bookmarkStart w:id="142" w:name="_Toc106030897"/>
      <w:bookmarkStart w:id="143" w:name="_Toc76462342"/>
      <w:bookmarkStart w:id="144" w:name="_Toc10130"/>
      <w:bookmarkStart w:id="145" w:name="_Toc21532"/>
      <w:r>
        <w:rPr>
          <w:rFonts w:hint="eastAsia" w:ascii="微软雅黑" w:hAnsi="微软雅黑" w:eastAsia="微软雅黑" w:cs="微软雅黑"/>
          <w:sz w:val="24"/>
        </w:rPr>
        <w:t>五、成交通知</w:t>
      </w:r>
      <w:bookmarkEnd w:id="140"/>
      <w:bookmarkEnd w:id="141"/>
      <w:bookmarkEnd w:id="142"/>
      <w:bookmarkEnd w:id="143"/>
      <w:bookmarkEnd w:id="144"/>
      <w:bookmarkEnd w:id="14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确定后，招标办将在重庆医科大学附属儿童医院电子招投标平台（zbb.chcmu.com）上发布成交结果公告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val="en-US" w:eastAsia="zh-CN"/>
        </w:rPr>
        <w:t>采购科室</w:t>
      </w:r>
      <w:r>
        <w:rPr>
          <w:rFonts w:hint="eastAsia" w:ascii="微软雅黑" w:hAnsi="微软雅黑" w:eastAsia="微软雅黑" w:cs="微软雅黑"/>
          <w:sz w:val="24"/>
          <w:szCs w:val="24"/>
        </w:rPr>
        <w:t>将平台内发出《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106030898"/>
      <w:bookmarkStart w:id="147" w:name="_Toc1699"/>
      <w:bookmarkStart w:id="148" w:name="_Toc76462343"/>
      <w:bookmarkStart w:id="149" w:name="_Toc21448"/>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46"/>
      <w:bookmarkEnd w:id="147"/>
      <w:bookmarkEnd w:id="148"/>
      <w:bookmarkEnd w:id="14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50" w:name="_Toc106030899"/>
      <w:bookmarkStart w:id="151" w:name="_Toc76462344"/>
      <w:bookmarkStart w:id="152" w:name="_Toc28334"/>
    </w:p>
    <w:p>
      <w:pPr>
        <w:pStyle w:val="3"/>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3" w:name="_Toc11343"/>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50"/>
      <w:bookmarkEnd w:id="151"/>
      <w:bookmarkEnd w:id="152"/>
      <w:bookmarkStart w:id="154" w:name="_Toc102227322"/>
      <w:bookmarkStart w:id="155" w:name="_Toc3372"/>
      <w:bookmarkStart w:id="156" w:name="_Toc342913396"/>
      <w:bookmarkStart w:id="157" w:name="_Toc76462346"/>
      <w:bookmarkStart w:id="158" w:name="_Toc106030901"/>
      <w:bookmarkStart w:id="159" w:name="_Toc12789059"/>
      <w:bookmarkStart w:id="160" w:name="_Toc11641055"/>
      <w:r>
        <w:rPr>
          <w:rFonts w:hint="eastAsia" w:ascii="微软雅黑" w:hAnsi="微软雅黑" w:eastAsia="微软雅黑" w:cs="微软雅黑"/>
          <w:color w:val="auto"/>
          <w:sz w:val="24"/>
        </w:rPr>
        <w:t>签订</w:t>
      </w:r>
      <w:bookmarkEnd w:id="154"/>
      <w:r>
        <w:rPr>
          <w:rFonts w:hint="eastAsia" w:ascii="微软雅黑" w:hAnsi="微软雅黑" w:eastAsia="微软雅黑" w:cs="微软雅黑"/>
          <w:color w:val="auto"/>
          <w:sz w:val="24"/>
        </w:rPr>
        <w:t>合同</w:t>
      </w:r>
      <w:bookmarkEnd w:id="153"/>
      <w:bookmarkEnd w:id="155"/>
      <w:bookmarkEnd w:id="156"/>
      <w:bookmarkEnd w:id="157"/>
      <w:bookmarkEnd w:id="158"/>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（二）中标人未在规定时间内递交合同或放弃中标资格，则招标人将有充分的理由废除授标，将中标人纳入</w:t>
      </w:r>
      <w:r>
        <w:rPr>
          <w:rFonts w:hint="eastAsia" w:ascii="微软雅黑" w:hAnsi="微软雅黑" w:eastAsia="微软雅黑" w:cs="微软雅黑"/>
          <w:color w:val="auto"/>
          <w:sz w:val="24"/>
          <w:lang w:val="en-US" w:eastAsia="zh-CN"/>
        </w:rPr>
        <w:t>招标人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招标人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59"/>
      <w:bookmarkEnd w:id="160"/>
    </w:p>
    <w:p>
      <w:pPr>
        <w:pStyle w:val="3"/>
        <w:spacing w:before="200" w:after="200" w:line="240" w:lineRule="auto"/>
        <w:jc w:val="center"/>
        <w:rPr>
          <w:rFonts w:hint="eastAsia" w:ascii="微软雅黑" w:hAnsi="微软雅黑" w:eastAsia="微软雅黑" w:cs="微软雅黑"/>
          <w:b/>
          <w:sz w:val="44"/>
          <w:szCs w:val="20"/>
        </w:rPr>
      </w:pPr>
      <w:bookmarkStart w:id="161" w:name="_Hlt41879464"/>
      <w:bookmarkEnd w:id="161"/>
      <w:bookmarkStart w:id="162" w:name="_Toc76462349"/>
      <w:bookmarkStart w:id="163" w:name="_Toc30685"/>
      <w:bookmarkStart w:id="164" w:name="_Toc27984"/>
      <w:bookmarkStart w:id="165" w:name="_Toc106030905"/>
      <w:r>
        <w:rPr>
          <w:rFonts w:hint="eastAsia" w:ascii="微软雅黑" w:hAnsi="微软雅黑" w:eastAsia="微软雅黑" w:cs="微软雅黑"/>
          <w:b/>
          <w:sz w:val="44"/>
          <w:szCs w:val="20"/>
        </w:rPr>
        <w:t>第六篇  响应文件编制要求</w:t>
      </w:r>
      <w:bookmarkEnd w:id="162"/>
      <w:bookmarkEnd w:id="163"/>
      <w:bookmarkEnd w:id="164"/>
      <w:bookmarkEnd w:id="16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（二）明细报价表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二、服务部分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其他资料（</w:t>
      </w:r>
      <w:r>
        <w:rPr>
          <w:rFonts w:hint="eastAsia" w:ascii="微软雅黑" w:hAnsi="微软雅黑" w:eastAsia="微软雅黑" w:cs="微软雅黑"/>
          <w:sz w:val="24"/>
          <w:szCs w:val="24"/>
          <w:lang w:val="en-US" w:eastAsia="zh-CN"/>
        </w:rPr>
        <w:t>格式内容自拟</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商务响应承诺函（格式内容自拟）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其它优惠服务承诺（格式</w:t>
      </w:r>
      <w:r>
        <w:rPr>
          <w:rFonts w:hint="eastAsia" w:ascii="微软雅黑" w:hAnsi="微软雅黑" w:eastAsia="微软雅黑" w:cs="微软雅黑"/>
          <w:sz w:val="24"/>
          <w:szCs w:val="24"/>
          <w:lang w:val="en-US" w:eastAsia="zh-CN"/>
        </w:rPr>
        <w:t>内容自拟</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单位负责人</w:t>
      </w:r>
      <w:r>
        <w:rPr>
          <w:rFonts w:hint="eastAsia" w:ascii="微软雅黑" w:hAnsi="微软雅黑" w:eastAsia="微软雅黑" w:cs="微软雅黑"/>
          <w:sz w:val="24"/>
          <w:szCs w:val="24"/>
          <w:lang w:val="en-US" w:eastAsia="zh-CN"/>
        </w:rPr>
        <w:t>或单位负责人</w:t>
      </w:r>
      <w:r>
        <w:rPr>
          <w:rFonts w:hint="eastAsia" w:ascii="微软雅黑" w:hAnsi="微软雅黑" w:eastAsia="微软雅黑" w:cs="微软雅黑"/>
          <w:sz w:val="24"/>
          <w:szCs w:val="24"/>
        </w:rPr>
        <w:t>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单位负责人</w:t>
      </w:r>
      <w:r>
        <w:rPr>
          <w:rFonts w:hint="eastAsia" w:ascii="微软雅黑" w:hAnsi="微软雅黑" w:eastAsia="微软雅黑" w:cs="微软雅黑"/>
          <w:sz w:val="24"/>
          <w:szCs w:val="24"/>
          <w:lang w:val="en-US" w:eastAsia="zh-CN"/>
        </w:rPr>
        <w:t>或单位负责人</w:t>
      </w:r>
      <w:r>
        <w:rPr>
          <w:rFonts w:hint="eastAsia" w:ascii="微软雅黑" w:hAnsi="微软雅黑" w:eastAsia="微软雅黑" w:cs="微软雅黑"/>
          <w:sz w:val="24"/>
          <w:szCs w:val="24"/>
        </w:rPr>
        <w:t>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微软雅黑" w:hAnsi="微软雅黑" w:eastAsia="微软雅黑" w:cs="微软雅黑"/>
          <w:sz w:val="24"/>
          <w:szCs w:val="24"/>
          <w:lang w:val="en-US" w:eastAsia="zh-CN"/>
        </w:rPr>
      </w:pPr>
      <w:bookmarkStart w:id="166" w:name="_Toc106030906"/>
      <w:bookmarkStart w:id="167" w:name="_Toc15994"/>
      <w:bookmarkStart w:id="168" w:name="_Toc76462350"/>
      <w:bookmarkStart w:id="169" w:name="_Toc342913419"/>
      <w:bookmarkStart w:id="170" w:name="_Toc313008356"/>
      <w:bookmarkStart w:id="171" w:name="_Toc313888360"/>
      <w:bookmarkStart w:id="172" w:name="_Toc283382454"/>
      <w:bookmarkStart w:id="173" w:name="_Toc12789073"/>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公开比选采购</w:t>
      </w: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响应文件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 xml:space="preserve">投标人法定代表人（或授权代理人）： </w:t>
      </w:r>
      <w:r>
        <w:rPr>
          <w:rFonts w:hint="eastAsia" w:ascii="微软雅黑" w:hAnsi="微软雅黑" w:eastAsia="微软雅黑" w:cs="微软雅黑"/>
          <w:sz w:val="28"/>
          <w:szCs w:val="28"/>
          <w:u w:val="single"/>
          <w:lang w:val="en-US" w:eastAsia="zh-CN"/>
        </w:rPr>
        <w:t xml:space="preserve">         </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hint="eastAsia" w:ascii="微软雅黑" w:hAnsi="微软雅黑" w:eastAsia="微软雅黑" w:cs="微软雅黑"/>
          <w:sz w:val="36"/>
          <w:szCs w:val="36"/>
        </w:rPr>
        <w:t>二〇二X年X月</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74" w:name="_Toc4080"/>
      <w:r>
        <w:rPr>
          <w:rFonts w:hint="eastAsia" w:ascii="微软雅黑" w:hAnsi="微软雅黑" w:eastAsia="微软雅黑" w:cs="微软雅黑"/>
          <w:sz w:val="24"/>
        </w:rPr>
        <w:t>一、经济部分</w:t>
      </w:r>
      <w:bookmarkEnd w:id="166"/>
      <w:bookmarkEnd w:id="167"/>
      <w:bookmarkEnd w:id="168"/>
      <w:bookmarkEnd w:id="169"/>
      <w:bookmarkEnd w:id="170"/>
      <w:bookmarkEnd w:id="171"/>
      <w:bookmarkEnd w:id="174"/>
    </w:p>
    <w:bookmarkEnd w:id="172"/>
    <w:bookmarkEnd w:id="173"/>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pPr>
        <w:tabs>
          <w:tab w:val="left" w:pos="6300"/>
        </w:tabs>
        <w:snapToGrid w:val="0"/>
        <w:spacing w:line="312" w:lineRule="auto"/>
        <w:ind w:firstLine="480" w:firstLineChars="200"/>
        <w:jc w:val="left"/>
        <w:rPr>
          <w:rFonts w:hint="eastAsia" w:ascii="微软雅黑" w:hAnsi="微软雅黑" w:eastAsia="微软雅黑" w:cs="微软雅黑"/>
          <w:b w:val="0"/>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名称</w:t>
            </w:r>
            <w:r>
              <w:rPr>
                <w:rFonts w:hint="eastAsia" w:ascii="微软雅黑" w:hAnsi="微软雅黑" w:eastAsia="微软雅黑" w:cs="微软雅黑"/>
                <w:color w:val="auto"/>
                <w:sz w:val="24"/>
                <w:szCs w:val="24"/>
                <w:lang w:eastAsia="zh-CN"/>
              </w:rPr>
              <w:t>：</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价格（小写）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投标价格（大写）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tabs>
          <w:tab w:val="left" w:pos="2895"/>
        </w:tabs>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bookmarkStart w:id="175" w:name="_Toc313008357"/>
      <w:bookmarkStart w:id="176" w:name="_Toc342913420"/>
      <w:bookmarkStart w:id="177" w:name="_Toc18669"/>
      <w:bookmarkStart w:id="178" w:name="_Toc106030907"/>
      <w:bookmarkStart w:id="179" w:name="_Toc76462351"/>
      <w:bookmarkStart w:id="180" w:name="_Toc313888361"/>
      <w:bookmarkStart w:id="181" w:name="_Toc1588"/>
      <w:r>
        <w:rPr>
          <w:rFonts w:hint="eastAsia" w:ascii="微软雅黑" w:hAnsi="微软雅黑" w:eastAsia="微软雅黑" w:cs="微软雅黑"/>
          <w:sz w:val="24"/>
          <w:szCs w:val="24"/>
        </w:rPr>
        <w:t>明细报价表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182" w:name="OLE_LINK1"/>
      <w:bookmarkStart w:id="183" w:name="OLE_LINK2"/>
      <w:r>
        <w:rPr>
          <w:rFonts w:hint="eastAsia" w:ascii="微软雅黑" w:hAnsi="微软雅黑" w:eastAsia="微软雅黑" w:cs="微软雅黑"/>
          <w:sz w:val="24"/>
          <w:szCs w:val="28"/>
        </w:rPr>
        <w:t>。</w:t>
      </w:r>
      <w:bookmarkEnd w:id="182"/>
      <w:bookmarkEnd w:id="183"/>
    </w:p>
    <w:p>
      <w:pPr>
        <w:pStyle w:val="38"/>
        <w:spacing w:line="360" w:lineRule="auto"/>
        <w:rPr>
          <w:rFonts w:hint="eastAsia" w:ascii="微软雅黑" w:hAnsi="微软雅黑" w:eastAsia="微软雅黑" w:cs="微软雅黑"/>
          <w:sz w:val="24"/>
          <w:szCs w:val="24"/>
        </w:rPr>
      </w:pPr>
    </w:p>
    <w:p>
      <w:pPr>
        <w:pStyle w:val="38"/>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tabs>
          <w:tab w:val="left" w:pos="6300"/>
        </w:tabs>
        <w:snapToGrid w:val="0"/>
        <w:spacing w:line="312" w:lineRule="auto"/>
        <w:ind w:firstLine="480" w:firstLineChars="20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color w:val="auto"/>
          <w:sz w:val="24"/>
          <w:szCs w:val="24"/>
        </w:rPr>
        <w:t xml:space="preserve">  </w:t>
      </w:r>
      <w:bookmarkEnd w:id="175"/>
      <w:bookmarkEnd w:id="176"/>
      <w:bookmarkEnd w:id="177"/>
      <w:bookmarkEnd w:id="178"/>
      <w:bookmarkEnd w:id="179"/>
      <w:bookmarkEnd w:id="180"/>
      <w:bookmarkEnd w:id="181"/>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服务</w:t>
      </w:r>
      <w:r>
        <w:rPr>
          <w:rFonts w:hint="eastAsia" w:ascii="微软雅黑" w:hAnsi="微软雅黑" w:eastAsia="微软雅黑" w:cs="微软雅黑"/>
          <w:sz w:val="24"/>
        </w:rPr>
        <w:t>部分</w:t>
      </w:r>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服务要求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lang w:val="en-US" w:eastAsia="zh-CN"/>
        </w:rPr>
        <w:t>单位负责人</w:t>
      </w:r>
      <w:r>
        <w:rPr>
          <w:rFonts w:hint="eastAsia" w:ascii="微软雅黑" w:hAnsi="微软雅黑" w:eastAsia="微软雅黑" w:cs="微软雅黑"/>
          <w:sz w:val="24"/>
          <w:szCs w:val="24"/>
        </w:rPr>
        <w:t>（或其授权代表）或自然人：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szCs w:val="24"/>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（二）其他资料（</w:t>
      </w:r>
      <w:r>
        <w:rPr>
          <w:rFonts w:hint="eastAsia" w:ascii="微软雅黑" w:hAnsi="微软雅黑" w:eastAsia="微软雅黑" w:cs="微软雅黑"/>
          <w:sz w:val="24"/>
          <w:szCs w:val="24"/>
          <w:lang w:val="en-US" w:eastAsia="zh-CN"/>
        </w:rPr>
        <w:t>格式内容自拟</w:t>
      </w:r>
      <w:r>
        <w:rPr>
          <w:rFonts w:hint="eastAsia" w:ascii="微软雅黑" w:hAnsi="微软雅黑" w:eastAsia="微软雅黑" w:cs="微软雅黑"/>
          <w:sz w:val="24"/>
          <w:szCs w:val="24"/>
        </w:rPr>
        <w:t>）</w:t>
      </w:r>
    </w:p>
    <w:p>
      <w:pPr>
        <w:pStyle w:val="3"/>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184" w:name="_Toc106030908"/>
      <w:bookmarkStart w:id="185" w:name="_Toc342913421"/>
      <w:bookmarkStart w:id="186" w:name="_Toc7138"/>
      <w:bookmarkStart w:id="187" w:name="_Toc76462352"/>
      <w:bookmarkStart w:id="188" w:name="_Toc313888362"/>
      <w:bookmarkStart w:id="189" w:name="_Toc30639"/>
      <w:bookmarkStart w:id="190" w:name="_Toc313008358"/>
      <w:r>
        <w:rPr>
          <w:rFonts w:hint="eastAsia" w:ascii="微软雅黑" w:hAnsi="微软雅黑" w:eastAsia="微软雅黑" w:cs="微软雅黑"/>
          <w:sz w:val="24"/>
        </w:rPr>
        <w:t>三、商务部分</w:t>
      </w:r>
      <w:bookmarkEnd w:id="184"/>
      <w:bookmarkEnd w:id="185"/>
      <w:bookmarkEnd w:id="186"/>
      <w:bookmarkEnd w:id="187"/>
      <w:bookmarkEnd w:id="188"/>
      <w:bookmarkEnd w:id="189"/>
      <w:bookmarkEnd w:id="190"/>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服务要求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lang w:val="en-US" w:eastAsia="zh-CN"/>
        </w:rPr>
        <w:t>单位负责人</w:t>
      </w:r>
      <w:r>
        <w:rPr>
          <w:rFonts w:hint="eastAsia" w:ascii="微软雅黑" w:hAnsi="微软雅黑" w:eastAsia="微软雅黑" w:cs="微软雅黑"/>
          <w:sz w:val="24"/>
          <w:szCs w:val="24"/>
        </w:rPr>
        <w:t>（或其授权代表）或自然人：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rPr>
        <w:t>2.本表可扩展。</w:t>
      </w:r>
    </w:p>
    <w:p>
      <w:pP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br w:type="page"/>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w:t>
      </w:r>
      <w:bookmarkStart w:id="191" w:name="_Toc283382459"/>
      <w:r>
        <w:rPr>
          <w:rFonts w:hint="eastAsia" w:ascii="微软雅黑" w:hAnsi="微软雅黑" w:eastAsia="微软雅黑" w:cs="微软雅黑"/>
          <w:sz w:val="24"/>
          <w:szCs w:val="24"/>
          <w:lang w:val="en-US" w:eastAsia="zh-CN"/>
        </w:rPr>
        <w:t>商务响应承诺函（格式内容自拟）</w:t>
      </w:r>
    </w:p>
    <w:p>
      <w:pPr>
        <w:snapToGrid w:val="0"/>
        <w:spacing w:line="400" w:lineRule="exact"/>
        <w:ind w:firstLine="480" w:firstLineChars="200"/>
        <w:rPr>
          <w:rFonts w:hint="eastAsia" w:ascii="微软雅黑" w:hAnsi="微软雅黑" w:eastAsia="微软雅黑" w:cs="微软雅黑"/>
          <w:sz w:val="24"/>
          <w:szCs w:val="24"/>
        </w:rPr>
        <w:sectPr>
          <w:pgSz w:w="11907" w:h="16840"/>
          <w:pgMar w:top="1134" w:right="1191" w:bottom="1134" w:left="1304" w:header="851" w:footer="992" w:gutter="0"/>
          <w:pgNumType w:fmt="numberInDash"/>
          <w:cols w:space="720" w:num="1"/>
          <w:docGrid w:linePitch="380" w:charSpace="-5735"/>
        </w:sectPr>
      </w:pP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其它优惠承诺（</w:t>
      </w:r>
      <w:r>
        <w:rPr>
          <w:rFonts w:hint="eastAsia" w:ascii="微软雅黑" w:hAnsi="微软雅黑" w:eastAsia="微软雅黑" w:cs="微软雅黑"/>
          <w:sz w:val="24"/>
          <w:szCs w:val="24"/>
          <w:lang w:val="en-US" w:eastAsia="zh-CN"/>
        </w:rPr>
        <w:t>格式内容自拟</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191"/>
      <w:bookmarkStart w:id="192" w:name="_Toc342913422"/>
      <w:bookmarkStart w:id="193" w:name="_Toc76462353"/>
      <w:bookmarkStart w:id="194" w:name="_Toc313888363"/>
      <w:bookmarkStart w:id="195" w:name="_Toc313008359"/>
      <w:bookmarkStart w:id="196" w:name="_Toc5526"/>
      <w:bookmarkStart w:id="197" w:name="_Toc26948"/>
      <w:bookmarkStart w:id="198" w:name="_Toc106030909"/>
      <w:r>
        <w:rPr>
          <w:rFonts w:hint="eastAsia" w:ascii="微软雅黑" w:hAnsi="微软雅黑" w:eastAsia="微软雅黑" w:cs="微软雅黑"/>
          <w:sz w:val="24"/>
        </w:rPr>
        <w:t>四、资格条件</w:t>
      </w:r>
      <w:bookmarkEnd w:id="192"/>
      <w:bookmarkEnd w:id="193"/>
      <w:bookmarkEnd w:id="194"/>
      <w:bookmarkEnd w:id="195"/>
      <w:bookmarkEnd w:id="196"/>
      <w:bookmarkEnd w:id="197"/>
      <w:bookmarkEnd w:id="198"/>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单位负责人</w:t>
      </w:r>
      <w:r>
        <w:rPr>
          <w:rFonts w:hint="eastAsia" w:ascii="微软雅黑" w:hAnsi="微软雅黑" w:eastAsia="微软雅黑" w:cs="微软雅黑"/>
          <w:sz w:val="24"/>
          <w:szCs w:val="24"/>
        </w:rPr>
        <w:t>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szCs w:val="24"/>
          <w:lang w:val="en-US" w:eastAsia="zh-CN"/>
        </w:rPr>
        <w:t>单位负责人</w:t>
      </w:r>
      <w:r>
        <w:rPr>
          <w:rFonts w:hint="eastAsia" w:ascii="微软雅黑" w:hAnsi="微软雅黑" w:eastAsia="微软雅黑" w:cs="微软雅黑"/>
          <w:sz w:val="24"/>
        </w:rPr>
        <w:t>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w:t>
      </w:r>
      <w:r>
        <w:rPr>
          <w:rFonts w:hint="eastAsia" w:ascii="微软雅黑" w:hAnsi="微软雅黑" w:eastAsia="微软雅黑" w:cs="微软雅黑"/>
          <w:sz w:val="24"/>
          <w:szCs w:val="24"/>
          <w:lang w:val="en-US" w:eastAsia="zh-CN"/>
        </w:rPr>
        <w:t>单位负责人</w:t>
      </w:r>
      <w:r>
        <w:rPr>
          <w:rFonts w:hint="eastAsia" w:ascii="微软雅黑" w:hAnsi="微软雅黑" w:eastAsia="微软雅黑" w:cs="微软雅黑"/>
          <w:sz w:val="24"/>
        </w:rPr>
        <w:t>。</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lang w:eastAsia="zh-CN"/>
        </w:rPr>
        <w:t>单位负责人</w:t>
      </w:r>
      <w:r>
        <w:rPr>
          <w:rFonts w:hint="eastAsia" w:ascii="微软雅黑" w:hAnsi="微软雅黑" w:eastAsia="微软雅黑" w:cs="微软雅黑"/>
          <w:sz w:val="24"/>
        </w:rPr>
        <w:t>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w:t>
      </w:r>
      <w:r>
        <w:rPr>
          <w:rFonts w:hint="eastAsia" w:ascii="微软雅黑" w:hAnsi="微软雅黑" w:eastAsia="微软雅黑" w:cs="微软雅黑"/>
          <w:sz w:val="24"/>
          <w:szCs w:val="24"/>
          <w:lang w:val="en-US" w:eastAsia="zh-CN"/>
        </w:rPr>
        <w:t>单位负责人</w:t>
      </w:r>
      <w:r>
        <w:rPr>
          <w:rFonts w:hint="eastAsia" w:ascii="微软雅黑" w:hAnsi="微软雅黑" w:eastAsia="微软雅黑" w:cs="微软雅黑"/>
          <w:sz w:val="24"/>
        </w:rPr>
        <w:t>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单位负责人</w:t>
      </w:r>
      <w:r>
        <w:rPr>
          <w:rFonts w:hint="eastAsia" w:ascii="微软雅黑" w:hAnsi="微软雅黑" w:eastAsia="微软雅黑" w:cs="微软雅黑"/>
          <w:sz w:val="24"/>
          <w:szCs w:val="24"/>
        </w:rPr>
        <w:t>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投标人单位负责人</w:t>
      </w:r>
      <w:r>
        <w:rPr>
          <w:rFonts w:hint="eastAsia" w:ascii="微软雅黑" w:hAnsi="微软雅黑" w:eastAsia="微软雅黑" w:cs="微软雅黑"/>
          <w:sz w:val="24"/>
        </w:rPr>
        <w:t>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名称）的</w:t>
      </w:r>
      <w:r>
        <w:rPr>
          <w:rFonts w:hint="eastAsia" w:ascii="微软雅黑" w:hAnsi="微软雅黑" w:eastAsia="微软雅黑" w:cs="微软雅黑"/>
          <w:sz w:val="24"/>
          <w:lang w:eastAsia="zh-CN"/>
        </w:rPr>
        <w:t>单位负责人</w:t>
      </w:r>
      <w:r>
        <w:rPr>
          <w:rFonts w:hint="eastAsia" w:ascii="微软雅黑" w:hAnsi="微软雅黑" w:eastAsia="微软雅黑" w:cs="微软雅黑"/>
          <w:sz w:val="24"/>
        </w:rPr>
        <w:t>，特授权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w:t>
      </w:r>
      <w:r>
        <w:rPr>
          <w:rFonts w:hint="eastAsia" w:ascii="微软雅黑" w:hAnsi="微软雅黑" w:eastAsia="微软雅黑" w:cs="微软雅黑"/>
          <w:sz w:val="24"/>
          <w:lang w:val="en-US" w:eastAsia="zh-CN"/>
        </w:rPr>
        <w:t>投标</w:t>
      </w:r>
      <w:r>
        <w:rPr>
          <w:rFonts w:hint="eastAsia" w:ascii="微软雅黑" w:hAnsi="微软雅黑" w:eastAsia="微软雅黑" w:cs="微软雅黑"/>
          <w:sz w:val="24"/>
        </w:rPr>
        <w:t>、签约等具体工作，并签署全部有关文件、协议及合同。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被授权人：                                 </w:t>
      </w:r>
      <w:r>
        <w:rPr>
          <w:rFonts w:hint="eastAsia" w:ascii="微软雅黑" w:hAnsi="微软雅黑" w:eastAsia="微软雅黑" w:cs="微软雅黑"/>
          <w:sz w:val="24"/>
          <w:lang w:eastAsia="zh-CN"/>
        </w:rPr>
        <w:t>投标人单位负责人</w:t>
      </w:r>
      <w:r>
        <w:rPr>
          <w:rFonts w:hint="eastAsia" w:ascii="微软雅黑" w:hAnsi="微软雅黑" w:eastAsia="微软雅黑" w:cs="微软雅黑"/>
          <w:sz w:val="24"/>
        </w:rPr>
        <w:t>：</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w:t>
      </w:r>
      <w:r>
        <w:rPr>
          <w:rFonts w:hint="eastAsia" w:ascii="微软雅黑" w:hAnsi="微软雅黑" w:eastAsia="微软雅黑" w:cs="微软雅黑"/>
          <w:sz w:val="24"/>
          <w:lang w:eastAsia="zh-CN"/>
        </w:rPr>
        <w:t>单位负责人</w:t>
      </w:r>
      <w:r>
        <w:rPr>
          <w:rFonts w:hint="eastAsia" w:ascii="微软雅黑" w:hAnsi="微软雅黑" w:eastAsia="微软雅黑" w:cs="微软雅黑"/>
          <w:sz w:val="24"/>
        </w:rPr>
        <w:t>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w:t>
      </w:r>
      <w:r>
        <w:rPr>
          <w:rFonts w:hint="eastAsia" w:ascii="微软雅黑" w:hAnsi="微软雅黑" w:eastAsia="微软雅黑" w:cs="微软雅黑"/>
          <w:sz w:val="24"/>
          <w:lang w:eastAsia="zh-CN"/>
        </w:rPr>
        <w:t>单位负责人</w:t>
      </w:r>
      <w:r>
        <w:rPr>
          <w:rFonts w:hint="eastAsia" w:ascii="微软雅黑" w:hAnsi="微软雅黑" w:eastAsia="微软雅黑" w:cs="微软雅黑"/>
          <w:sz w:val="24"/>
        </w:rPr>
        <w:t>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w:t>
      </w:r>
      <w:r>
        <w:rPr>
          <w:rFonts w:hint="eastAsia" w:ascii="微软雅黑" w:hAnsi="微软雅黑" w:eastAsia="微软雅黑" w:cs="微软雅黑"/>
          <w:sz w:val="24"/>
          <w:lang w:eastAsia="zh-CN"/>
        </w:rPr>
        <w:t>单位负责人</w:t>
      </w:r>
      <w:r>
        <w:rPr>
          <w:rFonts w:hint="eastAsia" w:ascii="微软雅黑" w:hAnsi="微软雅黑" w:eastAsia="微软雅黑" w:cs="微软雅黑"/>
          <w:sz w:val="24"/>
        </w:rPr>
        <w:t>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none"/>
        </w:rPr>
        <w:t xml:space="preserve">  重庆医科大学附属儿童医院  </w:t>
      </w:r>
      <w:r>
        <w:rPr>
          <w:rFonts w:hint="eastAsia" w:ascii="微软雅黑" w:hAnsi="微软雅黑" w:eastAsia="微软雅黑" w:cs="微软雅黑"/>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w:t>
      </w:r>
      <w:r>
        <w:rPr>
          <w:rFonts w:hint="eastAsia" w:ascii="微软雅黑" w:hAnsi="微软雅黑" w:eastAsia="微软雅黑" w:cs="微软雅黑"/>
          <w:sz w:val="24"/>
          <w:szCs w:val="24"/>
          <w:u w:val="single"/>
          <w:lang w:eastAsia="zh-CN"/>
        </w:rPr>
        <w:t>投标人</w:t>
      </w:r>
      <w:r>
        <w:rPr>
          <w:rFonts w:hint="eastAsia" w:ascii="微软雅黑" w:hAnsi="微软雅黑" w:eastAsia="微软雅黑" w:cs="微软雅黑"/>
          <w:sz w:val="24"/>
          <w:szCs w:val="24"/>
          <w:u w:val="single"/>
        </w:rPr>
        <w:t>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所有要求。</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要求提交的</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中规定的各项要求以及我方</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的各项承诺，按《政府采购法》、《</w:t>
      </w:r>
      <w:r>
        <w:rPr>
          <w:rFonts w:hint="eastAsia" w:ascii="微软雅黑" w:hAnsi="微软雅黑" w:eastAsia="微软雅黑" w:cs="微软雅黑"/>
          <w:sz w:val="24"/>
          <w:szCs w:val="24"/>
          <w:lang w:val="en-US" w:eastAsia="zh-CN"/>
        </w:rPr>
        <w:t>民法典</w:t>
      </w:r>
      <w:r>
        <w:rPr>
          <w:rFonts w:hint="eastAsia" w:ascii="微软雅黑" w:hAnsi="微软雅黑" w:eastAsia="微软雅黑" w:cs="微软雅黑"/>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7"/>
        <w:rPr>
          <w:rFonts w:hint="eastAsia" w:ascii="微软雅黑" w:hAnsi="微软雅黑" w:eastAsia="微软雅黑" w:cs="微软雅黑"/>
        </w:rPr>
      </w:pPr>
    </w:p>
    <w:p>
      <w:pPr>
        <w:pStyle w:val="68"/>
        <w:rPr>
          <w:rFonts w:hint="eastAsia" w:ascii="微软雅黑" w:hAnsi="微软雅黑" w:eastAsia="微软雅黑" w:cs="微软雅黑"/>
        </w:rPr>
      </w:pPr>
    </w:p>
    <w:p>
      <w:pPr>
        <w:pStyle w:val="68"/>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3"/>
        <w:adjustRightInd w:val="0"/>
        <w:snapToGrid w:val="0"/>
        <w:spacing w:before="0" w:after="0" w:line="400" w:lineRule="exact"/>
        <w:ind w:firstLine="560" w:firstLineChars="200"/>
        <w:rPr>
          <w:rFonts w:hint="eastAsia" w:ascii="微软雅黑" w:hAnsi="微软雅黑" w:eastAsia="微软雅黑" w:cs="微软雅黑"/>
          <w:b w:val="0"/>
          <w:sz w:val="28"/>
        </w:rPr>
      </w:pPr>
      <w:bookmarkStart w:id="199" w:name="_Toc14422"/>
    </w:p>
    <w:p>
      <w:pPr>
        <w:snapToGrid w:val="0"/>
        <w:spacing w:line="400" w:lineRule="exact"/>
        <w:ind w:firstLine="840" w:firstLineChars="300"/>
        <w:rPr>
          <w:rFonts w:hint="eastAsia" w:ascii="微软雅黑" w:hAnsi="微软雅黑" w:eastAsia="微软雅黑" w:cs="微软雅黑"/>
          <w:b w:val="0"/>
          <w:sz w:val="28"/>
        </w:rPr>
      </w:pPr>
      <w:r>
        <w:rPr>
          <w:rFonts w:hint="eastAsia" w:ascii="微软雅黑" w:hAnsi="微软雅黑" w:eastAsia="微软雅黑" w:cs="微软雅黑"/>
          <w:b w:val="0"/>
          <w:sz w:val="28"/>
        </w:rPr>
        <w:br w:type="page"/>
      </w:r>
      <w:bookmarkStart w:id="200" w:name="_Toc8805"/>
      <w:bookmarkStart w:id="201" w:name="_Toc106030910"/>
      <w:bookmarkStart w:id="202" w:name="_Toc19376"/>
      <w:bookmarkStart w:id="203" w:name="_Toc76462354"/>
    </w:p>
    <w:p>
      <w:pPr>
        <w:pStyle w:val="3"/>
        <w:adjustRightInd w:val="0"/>
        <w:snapToGrid w:val="0"/>
        <w:spacing w:before="0" w:after="0" w:line="400" w:lineRule="exact"/>
        <w:ind w:firstLine="480" w:firstLineChars="200"/>
        <w:rPr>
          <w:rFonts w:hint="eastAsia" w:ascii="微软雅黑" w:hAnsi="微软雅黑" w:eastAsia="微软雅黑" w:cs="微软雅黑"/>
          <w:sz w:val="24"/>
        </w:rPr>
        <w:sectPr>
          <w:pgSz w:w="11907" w:h="16840"/>
          <w:pgMar w:top="1134" w:right="1191" w:bottom="1134" w:left="1304" w:header="851" w:footer="992" w:gutter="0"/>
          <w:pgNumType w:fmt="numberInDash"/>
          <w:cols w:space="720" w:num="1"/>
          <w:docGrid w:linePitch="380" w:charSpace="-5735"/>
        </w:sectPr>
      </w:pP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五、其他资料</w:t>
      </w:r>
      <w:bookmarkEnd w:id="199"/>
      <w:bookmarkEnd w:id="200"/>
      <w:bookmarkEnd w:id="201"/>
      <w:bookmarkEnd w:id="202"/>
      <w:bookmarkEnd w:id="203"/>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一</w:t>
      </w:r>
      <w:r>
        <w:rPr>
          <w:rFonts w:hint="eastAsia" w:ascii="微软雅黑" w:hAnsi="微软雅黑" w:eastAsia="微软雅黑" w:cs="微软雅黑"/>
          <w:sz w:val="24"/>
          <w:szCs w:val="24"/>
        </w:rPr>
        <w:t>）其他与项目有关的资料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sectPr>
      <w:headerReference r:id="rId16" w:type="default"/>
      <w:footerReference r:id="rId17"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MingLiU">
    <w:altName w:val="PMingLiU-ExtB"/>
    <w:panose1 w:val="02010609000101010101"/>
    <w:charset w:val="88"/>
    <w:family w:val="modern"/>
    <w:pitch w:val="default"/>
    <w:sig w:usb0="00000000" w:usb1="00000000" w:usb2="00000010" w:usb3="00000000" w:csb0="00100000" w:csb1="00000000"/>
  </w:font>
  <w:font w:name="等线">
    <w:panose1 w:val="02010600030101010101"/>
    <w:charset w:val="86"/>
    <w:family w:val="auto"/>
    <w:pitch w:val="default"/>
    <w:sig w:usb0="A00002BF" w:usb1="38CF7CFA" w:usb2="00000016" w:usb3="00000000" w:csb0="0004000F" w:csb1="00000000"/>
  </w:font>
  <w:font w:name="方正仿宋_GBK">
    <w:panose1 w:val="03000509000000000000"/>
    <w:charset w:val="86"/>
    <w:family w:val="script"/>
    <w:pitch w:val="default"/>
    <w:sig w:usb0="00000001" w:usb1="080E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1"/>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D7BDA8"/>
    <w:multiLevelType w:val="singleLevel"/>
    <w:tmpl w:val="DFD7BDA8"/>
    <w:lvl w:ilvl="0" w:tentative="0">
      <w:start w:val="2"/>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3"/>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2CECCC74"/>
    <w:multiLevelType w:val="singleLevel"/>
    <w:tmpl w:val="2CECCC74"/>
    <w:lvl w:ilvl="0" w:tentative="0">
      <w:start w:val="1"/>
      <w:numFmt w:val="decimal"/>
      <w:lvlText w:val="%1."/>
      <w:lvlJc w:val="left"/>
      <w:pPr>
        <w:tabs>
          <w:tab w:val="left" w:pos="312"/>
        </w:tabs>
      </w:pPr>
    </w:lvl>
  </w:abstractNum>
  <w:abstractNum w:abstractNumId="1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7"/>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9"/>
  </w:num>
  <w:num w:numId="2">
    <w:abstractNumId w:val="6"/>
  </w:num>
  <w:num w:numId="3">
    <w:abstractNumId w:val="4"/>
  </w:num>
  <w:num w:numId="4">
    <w:abstractNumId w:val="10"/>
  </w:num>
  <w:num w:numId="5">
    <w:abstractNumId w:val="14"/>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81A9B"/>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28B5D10"/>
    <w:rsid w:val="030620E3"/>
    <w:rsid w:val="03600DE1"/>
    <w:rsid w:val="036D1FAD"/>
    <w:rsid w:val="041316E3"/>
    <w:rsid w:val="043206CC"/>
    <w:rsid w:val="044D1A14"/>
    <w:rsid w:val="046E22E3"/>
    <w:rsid w:val="06353D53"/>
    <w:rsid w:val="06657497"/>
    <w:rsid w:val="06BF0FB7"/>
    <w:rsid w:val="079B568B"/>
    <w:rsid w:val="07F103E0"/>
    <w:rsid w:val="092E6FC0"/>
    <w:rsid w:val="09C76D63"/>
    <w:rsid w:val="0B4077B6"/>
    <w:rsid w:val="0BB87E47"/>
    <w:rsid w:val="0BC54681"/>
    <w:rsid w:val="0CFE4D7F"/>
    <w:rsid w:val="0D171AA4"/>
    <w:rsid w:val="0D1F249B"/>
    <w:rsid w:val="11AD49EF"/>
    <w:rsid w:val="126D43E7"/>
    <w:rsid w:val="12BB36E7"/>
    <w:rsid w:val="13422C29"/>
    <w:rsid w:val="138C0617"/>
    <w:rsid w:val="14120AF4"/>
    <w:rsid w:val="142A611A"/>
    <w:rsid w:val="143F6A9D"/>
    <w:rsid w:val="147A5E14"/>
    <w:rsid w:val="14E83647"/>
    <w:rsid w:val="15463043"/>
    <w:rsid w:val="158C524C"/>
    <w:rsid w:val="15935DB5"/>
    <w:rsid w:val="15BB3449"/>
    <w:rsid w:val="16205D8D"/>
    <w:rsid w:val="169518FA"/>
    <w:rsid w:val="17276CF4"/>
    <w:rsid w:val="17351C20"/>
    <w:rsid w:val="178B1D79"/>
    <w:rsid w:val="17927B8C"/>
    <w:rsid w:val="17A1211B"/>
    <w:rsid w:val="18ED7A84"/>
    <w:rsid w:val="19255AF5"/>
    <w:rsid w:val="193B151F"/>
    <w:rsid w:val="199F4746"/>
    <w:rsid w:val="1A7E6296"/>
    <w:rsid w:val="1AB119FF"/>
    <w:rsid w:val="1AD06E50"/>
    <w:rsid w:val="1B152AC2"/>
    <w:rsid w:val="1C6B6113"/>
    <w:rsid w:val="1D1836EE"/>
    <w:rsid w:val="1F0D01CA"/>
    <w:rsid w:val="1F7E017C"/>
    <w:rsid w:val="211A0ACE"/>
    <w:rsid w:val="21864056"/>
    <w:rsid w:val="22196668"/>
    <w:rsid w:val="22365D0E"/>
    <w:rsid w:val="22C5647A"/>
    <w:rsid w:val="22F21453"/>
    <w:rsid w:val="23FA51E9"/>
    <w:rsid w:val="2486441F"/>
    <w:rsid w:val="274D393B"/>
    <w:rsid w:val="287E35A9"/>
    <w:rsid w:val="2AA01F44"/>
    <w:rsid w:val="2C0D2F89"/>
    <w:rsid w:val="2C215536"/>
    <w:rsid w:val="2E2D3EDF"/>
    <w:rsid w:val="2E3D05BC"/>
    <w:rsid w:val="300C58E0"/>
    <w:rsid w:val="3083095F"/>
    <w:rsid w:val="31702617"/>
    <w:rsid w:val="31F012F7"/>
    <w:rsid w:val="332D1E43"/>
    <w:rsid w:val="342F64D1"/>
    <w:rsid w:val="35397720"/>
    <w:rsid w:val="377B4697"/>
    <w:rsid w:val="3ACE5D4F"/>
    <w:rsid w:val="3C55524B"/>
    <w:rsid w:val="3D6C4620"/>
    <w:rsid w:val="3D71555F"/>
    <w:rsid w:val="3DF6488D"/>
    <w:rsid w:val="3EEC6CD3"/>
    <w:rsid w:val="3F1C71CA"/>
    <w:rsid w:val="3F374D25"/>
    <w:rsid w:val="3F7F709F"/>
    <w:rsid w:val="3FE64E24"/>
    <w:rsid w:val="406334F2"/>
    <w:rsid w:val="409F14A1"/>
    <w:rsid w:val="415F6EA3"/>
    <w:rsid w:val="41B20BF4"/>
    <w:rsid w:val="42395B6E"/>
    <w:rsid w:val="423A7D1B"/>
    <w:rsid w:val="4290086E"/>
    <w:rsid w:val="431B2F19"/>
    <w:rsid w:val="43F92FDA"/>
    <w:rsid w:val="44B5082F"/>
    <w:rsid w:val="452C7897"/>
    <w:rsid w:val="46726DCE"/>
    <w:rsid w:val="479F10AA"/>
    <w:rsid w:val="483339D5"/>
    <w:rsid w:val="48794403"/>
    <w:rsid w:val="487A6880"/>
    <w:rsid w:val="49043954"/>
    <w:rsid w:val="494C6B8D"/>
    <w:rsid w:val="497B7CB3"/>
    <w:rsid w:val="4A730BE6"/>
    <w:rsid w:val="4B2D12E0"/>
    <w:rsid w:val="4BEB6B31"/>
    <w:rsid w:val="4DD36371"/>
    <w:rsid w:val="4F070047"/>
    <w:rsid w:val="4F3C244F"/>
    <w:rsid w:val="4F713172"/>
    <w:rsid w:val="50B5332A"/>
    <w:rsid w:val="5115115D"/>
    <w:rsid w:val="517A27F8"/>
    <w:rsid w:val="518A4440"/>
    <w:rsid w:val="521E4A24"/>
    <w:rsid w:val="52D92ACB"/>
    <w:rsid w:val="53450CE5"/>
    <w:rsid w:val="53B4776F"/>
    <w:rsid w:val="53DF1E3A"/>
    <w:rsid w:val="54CC534B"/>
    <w:rsid w:val="54E53340"/>
    <w:rsid w:val="558E1CA3"/>
    <w:rsid w:val="558E730F"/>
    <w:rsid w:val="57857077"/>
    <w:rsid w:val="5796D97E"/>
    <w:rsid w:val="57BF7983"/>
    <w:rsid w:val="57EF5962"/>
    <w:rsid w:val="58956077"/>
    <w:rsid w:val="5B8B3E16"/>
    <w:rsid w:val="5B9C3E91"/>
    <w:rsid w:val="5BED5F98"/>
    <w:rsid w:val="5CA67F0E"/>
    <w:rsid w:val="5DC964A3"/>
    <w:rsid w:val="5EAB3861"/>
    <w:rsid w:val="5ECF52C5"/>
    <w:rsid w:val="61031F8E"/>
    <w:rsid w:val="612820E3"/>
    <w:rsid w:val="61625D90"/>
    <w:rsid w:val="633E1919"/>
    <w:rsid w:val="64D0282D"/>
    <w:rsid w:val="65C328F3"/>
    <w:rsid w:val="66246E50"/>
    <w:rsid w:val="665C1DC0"/>
    <w:rsid w:val="67B428D7"/>
    <w:rsid w:val="68BD663A"/>
    <w:rsid w:val="692F74C0"/>
    <w:rsid w:val="696405DD"/>
    <w:rsid w:val="6BDD518F"/>
    <w:rsid w:val="6BF05716"/>
    <w:rsid w:val="6DF51AF8"/>
    <w:rsid w:val="6E7D1985"/>
    <w:rsid w:val="6F4859CD"/>
    <w:rsid w:val="6F7D84FC"/>
    <w:rsid w:val="6FE969BF"/>
    <w:rsid w:val="70003319"/>
    <w:rsid w:val="701245F9"/>
    <w:rsid w:val="71175C34"/>
    <w:rsid w:val="714D05CC"/>
    <w:rsid w:val="72587C06"/>
    <w:rsid w:val="73AF007C"/>
    <w:rsid w:val="73EE116D"/>
    <w:rsid w:val="74366DDA"/>
    <w:rsid w:val="747D277F"/>
    <w:rsid w:val="74D70DF7"/>
    <w:rsid w:val="750950F5"/>
    <w:rsid w:val="750D16CF"/>
    <w:rsid w:val="750E2A73"/>
    <w:rsid w:val="76A96315"/>
    <w:rsid w:val="789F3DA6"/>
    <w:rsid w:val="78A52377"/>
    <w:rsid w:val="78EF15F1"/>
    <w:rsid w:val="79082185"/>
    <w:rsid w:val="7A6F77AB"/>
    <w:rsid w:val="7AA94DA5"/>
    <w:rsid w:val="7AAC4823"/>
    <w:rsid w:val="7B5B7497"/>
    <w:rsid w:val="7BD555D2"/>
    <w:rsid w:val="7BEF5F10"/>
    <w:rsid w:val="7D127C21"/>
    <w:rsid w:val="7D2A0689"/>
    <w:rsid w:val="7EAC6A95"/>
    <w:rsid w:val="7EB03BCE"/>
    <w:rsid w:val="7F49002B"/>
    <w:rsid w:val="BBDF5B3C"/>
    <w:rsid w:val="FBBF7740"/>
    <w:rsid w:val="FBE84AFA"/>
    <w:rsid w:val="FEFF83B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snapToGrid w:val="0"/>
      <w:spacing w:line="360" w:lineRule="atLeast"/>
      <w:outlineLvl w:val="0"/>
    </w:pPr>
    <w:rPr>
      <w:rFonts w:ascii="宋体"/>
    </w:rPr>
  </w:style>
  <w:style w:type="paragraph" w:styleId="3">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6">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7">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8">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9">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0">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List 3"/>
    <w:basedOn w:val="1"/>
    <w:qFormat/>
    <w:uiPriority w:val="0"/>
    <w:pPr>
      <w:adjustRightInd w:val="0"/>
      <w:snapToGrid w:val="0"/>
      <w:spacing w:line="360" w:lineRule="auto"/>
      <w:ind w:left="100" w:leftChars="400" w:hanging="200" w:hangingChars="200"/>
    </w:pPr>
    <w:rPr>
      <w:sz w:val="24"/>
    </w:rPr>
  </w:style>
  <w:style w:type="paragraph" w:styleId="12">
    <w:name w:val="toc 7"/>
    <w:basedOn w:val="1"/>
    <w:next w:val="1"/>
    <w:qFormat/>
    <w:uiPriority w:val="0"/>
    <w:pPr>
      <w:ind w:left="2520" w:leftChars="1200"/>
    </w:pPr>
  </w:style>
  <w:style w:type="paragraph" w:styleId="13">
    <w:name w:val="List Number 2"/>
    <w:basedOn w:val="1"/>
    <w:qFormat/>
    <w:uiPriority w:val="0"/>
    <w:pPr>
      <w:numPr>
        <w:ilvl w:val="0"/>
        <w:numId w:val="1"/>
      </w:numPr>
      <w:tabs>
        <w:tab w:val="left" w:pos="780"/>
        <w:tab w:val="clear" w:pos="425"/>
      </w:tabs>
      <w:spacing w:line="360" w:lineRule="auto"/>
    </w:pPr>
    <w:rPr>
      <w:sz w:val="24"/>
    </w:rPr>
  </w:style>
  <w:style w:type="paragraph" w:styleId="14">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5">
    <w:name w:val="Normal Indent"/>
    <w:basedOn w:val="1"/>
    <w:qFormat/>
    <w:uiPriority w:val="0"/>
    <w:pPr>
      <w:adjustRightInd w:val="0"/>
      <w:snapToGrid w:val="0"/>
      <w:spacing w:line="360" w:lineRule="auto"/>
      <w:ind w:firstLine="420"/>
    </w:pPr>
    <w:rPr>
      <w:sz w:val="24"/>
    </w:rPr>
  </w:style>
  <w:style w:type="paragraph" w:styleId="1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qFormat/>
    <w:uiPriority w:val="0"/>
    <w:pPr>
      <w:shd w:val="clear" w:color="auto" w:fill="000080"/>
    </w:pPr>
  </w:style>
  <w:style w:type="paragraph" w:styleId="18">
    <w:name w:val="toa heading"/>
    <w:basedOn w:val="1"/>
    <w:next w:val="1"/>
    <w:qFormat/>
    <w:uiPriority w:val="0"/>
    <w:pPr>
      <w:spacing w:before="120" w:beforeLines="0"/>
    </w:pPr>
    <w:rPr>
      <w:rFonts w:ascii="Arial" w:hAnsi="Arial"/>
      <w:sz w:val="24"/>
    </w:rPr>
  </w:style>
  <w:style w:type="paragraph" w:styleId="19">
    <w:name w:val="annotation text"/>
    <w:basedOn w:val="1"/>
    <w:link w:val="72"/>
    <w:qFormat/>
    <w:uiPriority w:val="0"/>
    <w:pPr>
      <w:adjustRightInd w:val="0"/>
      <w:spacing w:line="360" w:lineRule="atLeast"/>
      <w:jc w:val="left"/>
      <w:textAlignment w:val="baseline"/>
    </w:pPr>
    <w:rPr>
      <w:kern w:val="0"/>
      <w:sz w:val="24"/>
    </w:rPr>
  </w:style>
  <w:style w:type="paragraph" w:styleId="20">
    <w:name w:val="Body Text 3"/>
    <w:basedOn w:val="1"/>
    <w:qFormat/>
    <w:uiPriority w:val="0"/>
    <w:pPr>
      <w:adjustRightInd w:val="0"/>
      <w:snapToGrid w:val="0"/>
      <w:spacing w:after="120" w:afterLines="0" w:afterAutospacing="0" w:line="360" w:lineRule="auto"/>
    </w:pPr>
    <w:rPr>
      <w:sz w:val="16"/>
    </w:rPr>
  </w:style>
  <w:style w:type="paragraph" w:styleId="21">
    <w:name w:val="List Bullet 3"/>
    <w:basedOn w:val="1"/>
    <w:qFormat/>
    <w:uiPriority w:val="0"/>
    <w:pPr>
      <w:numPr>
        <w:ilvl w:val="0"/>
        <w:numId w:val="3"/>
      </w:numPr>
      <w:adjustRightInd w:val="0"/>
      <w:snapToGrid w:val="0"/>
      <w:spacing w:line="360" w:lineRule="auto"/>
    </w:pPr>
    <w:rPr>
      <w:sz w:val="24"/>
    </w:rPr>
  </w:style>
  <w:style w:type="paragraph" w:styleId="22">
    <w:name w:val="Body Text"/>
    <w:basedOn w:val="1"/>
    <w:next w:val="23"/>
    <w:qFormat/>
    <w:uiPriority w:val="0"/>
    <w:rPr>
      <w:rFonts w:ascii="仿宋_GB2312" w:eastAsia="仿宋_GB2312"/>
      <w:sz w:val="32"/>
    </w:rPr>
  </w:style>
  <w:style w:type="paragraph" w:styleId="23">
    <w:name w:val="toc 2"/>
    <w:basedOn w:val="1"/>
    <w:next w:val="1"/>
    <w:qFormat/>
    <w:uiPriority w:val="39"/>
    <w:pPr>
      <w:ind w:left="420" w:leftChars="200"/>
    </w:pPr>
  </w:style>
  <w:style w:type="paragraph" w:styleId="24">
    <w:name w:val="Body Text Indent"/>
    <w:basedOn w:val="1"/>
    <w:link w:val="73"/>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0"/>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4"/>
    <w:qFormat/>
    <w:uiPriority w:val="0"/>
  </w:style>
  <w:style w:type="paragraph" w:styleId="34">
    <w:name w:val="Body Text Indent 2"/>
    <w:basedOn w:val="1"/>
    <w:link w:val="75"/>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6"/>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19"/>
    <w:next w:val="19"/>
    <w:link w:val="77"/>
    <w:qFormat/>
    <w:uiPriority w:val="0"/>
    <w:pPr>
      <w:adjustRightInd/>
      <w:spacing w:line="240" w:lineRule="auto"/>
      <w:textAlignment w:val="auto"/>
    </w:pPr>
  </w:style>
  <w:style w:type="paragraph" w:styleId="55">
    <w:name w:val="Body Text First Indent"/>
    <w:basedOn w:val="22"/>
    <w:next w:val="1"/>
    <w:qFormat/>
    <w:uiPriority w:val="0"/>
    <w:pPr>
      <w:spacing w:line="360" w:lineRule="auto"/>
      <w:ind w:firstLine="420"/>
    </w:pPr>
    <w:rPr>
      <w:rFonts w:ascii="宋体" w:hAnsi="宋体"/>
      <w:sz w:val="24"/>
    </w:rPr>
  </w:style>
  <w:style w:type="paragraph" w:styleId="56">
    <w:name w:val="Body Text First Indent 2"/>
    <w:basedOn w:val="24"/>
    <w:link w:val="78"/>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basedOn w:val="59"/>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标题 5（有编号）（绿盟科技）"/>
    <w:basedOn w:val="1"/>
    <w:next w:val="68"/>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8">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69">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70">
    <w:name w:val="标题 2 Char"/>
    <w:link w:val="3"/>
    <w:qFormat/>
    <w:uiPriority w:val="0"/>
    <w:rPr>
      <w:rFonts w:ascii="Arial" w:hAnsi="Arial" w:eastAsia="黑体"/>
      <w:b/>
      <w:kern w:val="2"/>
      <w:sz w:val="32"/>
    </w:rPr>
  </w:style>
  <w:style w:type="character" w:customStyle="1" w:styleId="71">
    <w:name w:val="标题 3 Char"/>
    <w:link w:val="4"/>
    <w:qFormat/>
    <w:uiPriority w:val="0"/>
    <w:rPr>
      <w:rFonts w:eastAsia="宋体"/>
      <w:b/>
      <w:kern w:val="2"/>
      <w:sz w:val="32"/>
      <w:lang w:val="en-US" w:eastAsia="zh-CN"/>
    </w:rPr>
  </w:style>
  <w:style w:type="character" w:customStyle="1" w:styleId="72">
    <w:name w:val="批注文字 Char"/>
    <w:link w:val="19"/>
    <w:qFormat/>
    <w:uiPriority w:val="0"/>
    <w:rPr>
      <w:sz w:val="24"/>
    </w:rPr>
  </w:style>
  <w:style w:type="character" w:customStyle="1" w:styleId="73">
    <w:name w:val="正文文本缩进 Char"/>
    <w:link w:val="24"/>
    <w:qFormat/>
    <w:uiPriority w:val="0"/>
    <w:rPr>
      <w:kern w:val="2"/>
      <w:sz w:val="44"/>
    </w:rPr>
  </w:style>
  <w:style w:type="character" w:customStyle="1" w:styleId="74">
    <w:name w:val="日期 Char"/>
    <w:link w:val="33"/>
    <w:qFormat/>
    <w:uiPriority w:val="0"/>
    <w:rPr>
      <w:kern w:val="2"/>
      <w:sz w:val="28"/>
    </w:rPr>
  </w:style>
  <w:style w:type="character" w:customStyle="1" w:styleId="75">
    <w:name w:val="正文文本缩进 2 Char"/>
    <w:link w:val="34"/>
    <w:qFormat/>
    <w:uiPriority w:val="0"/>
    <w:rPr>
      <w:kern w:val="2"/>
      <w:sz w:val="28"/>
    </w:rPr>
  </w:style>
  <w:style w:type="character" w:customStyle="1" w:styleId="76">
    <w:name w:val="脚注文本 Char"/>
    <w:link w:val="41"/>
    <w:qFormat/>
    <w:uiPriority w:val="0"/>
    <w:rPr>
      <w:kern w:val="2"/>
      <w:sz w:val="18"/>
    </w:rPr>
  </w:style>
  <w:style w:type="character" w:customStyle="1" w:styleId="77">
    <w:name w:val="批注主题 Char"/>
    <w:link w:val="54"/>
    <w:qFormat/>
    <w:uiPriority w:val="0"/>
  </w:style>
  <w:style w:type="character" w:customStyle="1" w:styleId="78">
    <w:name w:val="正文首行缩进 2 Char"/>
    <w:link w:val="56"/>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4"/>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3"/>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2"/>
    <w:next w:val="2"/>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3"/>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5"/>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7"/>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1"/>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7"/>
    <w:qFormat/>
    <w:uiPriority w:val="0"/>
    <w:rPr>
      <w:rFonts w:ascii="宋体" w:hAnsi="Tahoma"/>
    </w:rPr>
  </w:style>
  <w:style w:type="paragraph" w:customStyle="1" w:styleId="147">
    <w:name w:val="样式 标题 6第五层条 + 三号 段前: 0.5 行"/>
    <w:basedOn w:val="7"/>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5"/>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4"/>
    <w:qFormat/>
    <w:uiPriority w:val="0"/>
    <w:pPr>
      <w:numPr>
        <w:ilvl w:val="2"/>
        <w:numId w:val="2"/>
      </w:numPr>
      <w:tabs>
        <w:tab w:val="left" w:pos="709"/>
        <w:tab w:val="left" w:pos="1620"/>
      </w:tabs>
      <w:spacing w:line="413" w:lineRule="auto"/>
    </w:pPr>
  </w:style>
  <w:style w:type="paragraph" w:customStyle="1" w:styleId="175">
    <w:name w:val="样式4"/>
    <w:basedOn w:val="5"/>
    <w:qFormat/>
    <w:uiPriority w:val="0"/>
    <w:pPr>
      <w:adjustRightInd w:val="0"/>
      <w:snapToGrid w:val="0"/>
    </w:pPr>
  </w:style>
  <w:style w:type="paragraph" w:customStyle="1" w:styleId="176">
    <w:name w:val="摘要"/>
    <w:basedOn w:val="1"/>
    <w:next w:val="3"/>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5"/>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2"/>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2"/>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1"/>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1"/>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3">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4">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5">
    <w:name w:val="Body text|1"/>
    <w:basedOn w:val="1"/>
    <w:qFormat/>
    <w:uiPriority w:val="0"/>
    <w:pPr>
      <w:widowControl w:val="0"/>
      <w:spacing w:after="40" w:line="468" w:lineRule="auto"/>
      <w:ind w:firstLine="60"/>
    </w:pPr>
    <w:rPr>
      <w:rFonts w:ascii="MingLiU" w:hAnsi="MingLiU" w:eastAsia="MingLiU" w:cs="MingLiU"/>
      <w:sz w:val="20"/>
      <w:szCs w:val="20"/>
      <w:lang w:val="zh-TW" w:eastAsia="zh-TW" w:bidi="zh-TW"/>
    </w:rPr>
  </w:style>
  <w:style w:type="paragraph" w:customStyle="1" w:styleId="246">
    <w:name w:val="_Style 12"/>
    <w:basedOn w:val="1"/>
    <w:next w:val="241"/>
    <w:qFormat/>
    <w:uiPriority w:val="34"/>
    <w:pPr>
      <w:ind w:left="720"/>
      <w:contextualSpacing/>
    </w:pPr>
    <w:rPr>
      <w:rFonts w:ascii="等线" w:hAnsi="等线" w:eastAsia="等线"/>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33</Pages>
  <Words>5005</Words>
  <Characters>5258</Characters>
  <Lines>170</Lines>
  <Paragraphs>47</Paragraphs>
  <TotalTime>8</TotalTime>
  <ScaleCrop>false</ScaleCrop>
  <LinksUpToDate>false</LinksUpToDate>
  <CharactersWithSpaces>5408</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2022-10-16T10:50:00Z</dcterms:created>
  <dc:creator>周媛媛</dc:creator>
  <cp:lastModifiedBy>xixima</cp:lastModifiedBy>
  <cp:lastPrinted>2025-07-10T02:57:25Z</cp:lastPrinted>
  <dcterms:modified xsi:type="dcterms:W3CDTF">2025-07-10T03:00:40Z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124C92DC9A9E45DD923886DA31F26C71_13</vt:lpwstr>
  </property>
  <property fmtid="{D5CDD505-2E9C-101B-9397-08002B2CF9AE}" pid="4" name="KSOTemplateDocerSaveRecord">
    <vt:lpwstr>eyJoZGlkIjoiOTkyNWExNzI1YTY4YmQ0NzNmZDYzNDVhNTgyZmUwMzEiLCJ1c2VySWQiOiIxMjc4NTgxMjc5In0=</vt:lpwstr>
  </property>
</Properties>
</file>