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after="200" w:line="220" w:lineRule="atLeast"/>
        <w:jc w:val="center"/>
        <w:rPr>
          <w:rFonts w:ascii="Tahoma" w:hAnsi="Tahoma" w:eastAsia="微软雅黑"/>
          <w:b/>
          <w:bCs/>
          <w:kern w:val="0"/>
          <w:sz w:val="28"/>
          <w:szCs w:val="28"/>
        </w:rPr>
      </w:pPr>
      <w:r>
        <w:rPr>
          <w:rFonts w:hint="eastAsia" w:ascii="Tahoma" w:hAnsi="Tahoma" w:eastAsia="微软雅黑"/>
          <w:b/>
          <w:bCs/>
          <w:kern w:val="0"/>
          <w:sz w:val="28"/>
          <w:szCs w:val="28"/>
        </w:rPr>
        <w:t>采购需求表（需公开）</w:t>
      </w:r>
    </w:p>
    <w:tbl>
      <w:tblPr>
        <w:tblStyle w:val="5"/>
        <w:tblW w:w="50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1"/>
        <w:gridCol w:w="1592"/>
        <w:gridCol w:w="6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采购项目类别</w:t>
            </w:r>
          </w:p>
        </w:tc>
        <w:tc>
          <w:tcPr>
            <w:tcW w:w="4032" w:type="pct"/>
            <w:gridSpan w:val="2"/>
            <w:vAlign w:val="center"/>
          </w:tcPr>
          <w:p>
            <w:pPr>
              <w:widowControl/>
              <w:adjustRightInd w:val="0"/>
              <w:snapToGrid w:val="0"/>
              <w:jc w:val="center"/>
              <w:rPr>
                <w:rFonts w:ascii="宋体" w:hAnsi="宋体"/>
                <w:kern w:val="0"/>
                <w:szCs w:val="21"/>
              </w:rPr>
            </w:pPr>
            <w:r>
              <w:rPr>
                <w:rFonts w:hint="eastAsia" w:ascii="宋体" w:hAnsi="宋体"/>
                <w:kern w:val="0"/>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项目编号</w:t>
            </w:r>
          </w:p>
        </w:tc>
        <w:tc>
          <w:tcPr>
            <w:tcW w:w="4032" w:type="pct"/>
            <w:gridSpan w:val="2"/>
            <w:vAlign w:val="center"/>
          </w:tcPr>
          <w:p>
            <w:pPr>
              <w:widowControl/>
              <w:adjustRightInd w:val="0"/>
              <w:snapToGrid w:val="0"/>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项目名称</w:t>
            </w:r>
          </w:p>
        </w:tc>
        <w:tc>
          <w:tcPr>
            <w:tcW w:w="4032" w:type="pct"/>
            <w:gridSpan w:val="2"/>
            <w:vAlign w:val="center"/>
          </w:tcPr>
          <w:p>
            <w:pPr>
              <w:widowControl/>
              <w:adjustRightInd w:val="0"/>
              <w:snapToGrid w:val="0"/>
              <w:jc w:val="center"/>
              <w:rPr>
                <w:rFonts w:hint="default" w:ascii="宋体" w:hAnsi="宋体" w:eastAsia="宋体" w:cs="宋体"/>
                <w:bCs/>
                <w:color w:val="333333"/>
                <w:kern w:val="0"/>
                <w:szCs w:val="21"/>
                <w:lang w:val="en-US" w:eastAsia="zh-CN"/>
              </w:rPr>
            </w:pPr>
            <w:r>
              <w:rPr>
                <w:rFonts w:hint="eastAsia" w:ascii="宋体" w:hAnsi="宋体" w:cs="宋体"/>
                <w:bCs/>
                <w:color w:val="333333"/>
                <w:kern w:val="0"/>
                <w:szCs w:val="21"/>
                <w:lang w:val="en-US" w:eastAsia="zh-CN"/>
              </w:rPr>
              <w:t>两江院区科教楼加装窗户限位器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评标方法</w:t>
            </w:r>
          </w:p>
        </w:tc>
        <w:tc>
          <w:tcPr>
            <w:tcW w:w="4032" w:type="pct"/>
            <w:gridSpan w:val="2"/>
            <w:vAlign w:val="center"/>
          </w:tcPr>
          <w:p>
            <w:pPr>
              <w:widowControl/>
              <w:adjustRightInd w:val="0"/>
              <w:snapToGrid w:val="0"/>
              <w:jc w:val="center"/>
              <w:rPr>
                <w:rFonts w:ascii="宋体" w:hAnsi="宋体" w:cs="宋体"/>
                <w:b/>
                <w:color w:val="333333"/>
                <w:kern w:val="0"/>
                <w:sz w:val="24"/>
              </w:rPr>
            </w:pPr>
            <w:r>
              <w:rPr>
                <w:rFonts w:hint="eastAsia" w:ascii="宋体" w:hAnsi="宋体" w:cs="宋体"/>
                <w:bCs/>
                <w:color w:val="333333"/>
                <w:kern w:val="0"/>
                <w:szCs w:val="21"/>
              </w:rPr>
              <w:t>低价中标法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申购科室/归口管理部门</w:t>
            </w:r>
          </w:p>
        </w:tc>
        <w:tc>
          <w:tcPr>
            <w:tcW w:w="4032" w:type="pct"/>
            <w:gridSpan w:val="2"/>
            <w:vAlign w:val="center"/>
          </w:tcPr>
          <w:p>
            <w:pPr>
              <w:widowControl/>
              <w:adjustRightInd w:val="0"/>
              <w:snapToGrid w:val="0"/>
              <w:jc w:val="center"/>
              <w:rPr>
                <w:rFonts w:ascii="宋体" w:hAnsi="宋体" w:cs="宋体"/>
                <w:color w:val="333333"/>
                <w:kern w:val="0"/>
                <w:szCs w:val="21"/>
              </w:rPr>
            </w:pPr>
            <w:r>
              <w:rPr>
                <w:rFonts w:hint="eastAsia" w:ascii="宋体" w:hAnsi="宋体" w:cs="宋体"/>
                <w:color w:val="333333"/>
                <w:kern w:val="0"/>
                <w:szCs w:val="21"/>
              </w:rPr>
              <w:t>后勤管理处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采购数量/单位</w:t>
            </w:r>
          </w:p>
        </w:tc>
        <w:tc>
          <w:tcPr>
            <w:tcW w:w="4032" w:type="pct"/>
            <w:gridSpan w:val="2"/>
            <w:vAlign w:val="center"/>
          </w:tcPr>
          <w:p>
            <w:pPr>
              <w:widowControl/>
              <w:adjustRightInd w:val="0"/>
              <w:snapToGrid w:val="0"/>
              <w:jc w:val="center"/>
              <w:rPr>
                <w:rFonts w:ascii="宋体" w:hAnsi="宋体" w:cs="宋体"/>
                <w:color w:val="333333"/>
                <w:kern w:val="0"/>
                <w:szCs w:val="21"/>
              </w:rPr>
            </w:pPr>
            <w:r>
              <w:rPr>
                <w:rFonts w:hint="eastAsia" w:ascii="宋体" w:hAnsi="宋体" w:cs="宋体"/>
                <w:color w:val="333333"/>
                <w:kern w:val="0"/>
                <w:szCs w:val="21"/>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采购最高限价</w:t>
            </w:r>
          </w:p>
        </w:tc>
        <w:tc>
          <w:tcPr>
            <w:tcW w:w="4032" w:type="pct"/>
            <w:gridSpan w:val="2"/>
            <w:vAlign w:val="center"/>
          </w:tcPr>
          <w:p>
            <w:pPr>
              <w:widowControl/>
              <w:adjustRightInd w:val="0"/>
              <w:snapToGrid w:val="0"/>
              <w:jc w:val="center"/>
              <w:rPr>
                <w:rFonts w:hint="eastAsia" w:ascii="宋体" w:hAnsi="宋体" w:cs="宋体"/>
                <w:color w:val="333333"/>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项目描述</w:t>
            </w:r>
          </w:p>
        </w:tc>
        <w:tc>
          <w:tcPr>
            <w:tcW w:w="4032" w:type="pct"/>
            <w:gridSpan w:val="2"/>
            <w:vAlign w:val="center"/>
          </w:tcPr>
          <w:p>
            <w:pPr>
              <w:snapToGrid w:val="0"/>
              <w:spacing w:line="360" w:lineRule="auto"/>
              <w:jc w:val="left"/>
              <w:rPr>
                <w:rFonts w:hint="eastAsia" w:ascii="宋体" w:hAnsi="宋体" w:cs="宋体"/>
                <w:color w:val="333333"/>
                <w:szCs w:val="21"/>
              </w:rPr>
            </w:pPr>
            <w:r>
              <w:rPr>
                <w:rFonts w:hint="eastAsia" w:ascii="宋体" w:hAnsi="宋体" w:cs="宋体"/>
                <w:color w:val="333333"/>
                <w:szCs w:val="21"/>
              </w:rPr>
              <w:t>两江院区</w:t>
            </w:r>
            <w:r>
              <w:rPr>
                <w:rFonts w:hint="eastAsia" w:ascii="宋体" w:hAnsi="宋体" w:cs="宋体"/>
                <w:color w:val="333333"/>
                <w:szCs w:val="21"/>
                <w:lang w:val="en-US" w:eastAsia="zh-CN"/>
              </w:rPr>
              <w:t>科教</w:t>
            </w:r>
            <w:r>
              <w:rPr>
                <w:rFonts w:hint="eastAsia" w:ascii="宋体" w:hAnsi="宋体" w:cs="宋体"/>
                <w:color w:val="333333"/>
                <w:szCs w:val="21"/>
              </w:rPr>
              <w:t>楼</w:t>
            </w:r>
            <w:r>
              <w:rPr>
                <w:rFonts w:hint="eastAsia" w:ascii="宋体" w:hAnsi="宋体" w:cs="宋体"/>
                <w:color w:val="333333"/>
                <w:szCs w:val="21"/>
                <w:lang w:val="en-US" w:eastAsia="zh-CN"/>
              </w:rPr>
              <w:t>已</w:t>
            </w:r>
            <w:r>
              <w:rPr>
                <w:rFonts w:hint="eastAsia" w:ascii="宋体" w:hAnsi="宋体" w:cs="宋体"/>
                <w:color w:val="333333"/>
                <w:szCs w:val="21"/>
              </w:rPr>
              <w:t>投入使用，该楼栋所有窗户安装高度约1米左右，开窗距离过大，均无安全防护设施存在坠楼等安全隐患，为确保安全建议楼栋公共楼道、楼梯间等区域加装限位器等保护设施，通过限制窗户开启角度，</w:t>
            </w:r>
            <w:r>
              <w:rPr>
                <w:rFonts w:hint="eastAsia" w:ascii="宋体" w:hAnsi="宋体" w:cs="宋体"/>
                <w:color w:val="333333"/>
                <w:szCs w:val="21"/>
                <w:lang w:val="en-US" w:eastAsia="zh-CN"/>
              </w:rPr>
              <w:t>防止安全事件发生</w:t>
            </w:r>
            <w:r>
              <w:rPr>
                <w:rFonts w:hint="eastAsia" w:ascii="宋体" w:hAnsi="宋体" w:cs="宋体"/>
                <w:color w:val="333333"/>
                <w:szCs w:val="21"/>
              </w:rPr>
              <w:t>。</w:t>
            </w:r>
          </w:p>
          <w:p>
            <w:pPr>
              <w:snapToGrid w:val="0"/>
              <w:spacing w:line="360" w:lineRule="auto"/>
              <w:jc w:val="left"/>
              <w:rPr>
                <w:rFonts w:ascii="宋体" w:hAnsi="宋体" w:cs="宋体"/>
                <w:color w:val="333333"/>
                <w:szCs w:val="21"/>
              </w:rPr>
            </w:pPr>
            <w:r>
              <w:rPr>
                <w:rFonts w:hint="eastAsia" w:ascii="宋体" w:hAnsi="宋体" w:cs="宋体"/>
                <w:color w:val="333333"/>
                <w:szCs w:val="21"/>
              </w:rPr>
              <w:t>工作</w:t>
            </w:r>
            <w:r>
              <w:rPr>
                <w:rFonts w:ascii="宋体" w:hAnsi="宋体" w:cs="宋体"/>
                <w:color w:val="333333"/>
                <w:szCs w:val="21"/>
              </w:rPr>
              <w:t>内容：</w:t>
            </w:r>
            <w:r>
              <w:rPr>
                <w:rFonts w:hint="eastAsia" w:ascii="宋体" w:hAnsi="宋体" w:cs="宋体"/>
                <w:color w:val="333333"/>
                <w:szCs w:val="21"/>
                <w:lang w:val="en-US" w:eastAsia="zh-CN"/>
              </w:rPr>
              <w:t>科教楼所有窗户新安装窗户限位器。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投标人特定资格条件</w:t>
            </w:r>
          </w:p>
        </w:tc>
        <w:tc>
          <w:tcPr>
            <w:tcW w:w="4032" w:type="pct"/>
            <w:gridSpan w:val="2"/>
            <w:vAlign w:val="center"/>
          </w:tcPr>
          <w:p>
            <w:pPr>
              <w:spacing w:line="360" w:lineRule="auto"/>
              <w:rPr>
                <w:rFonts w:hint="default" w:ascii="宋体" w:hAnsi="宋体" w:eastAsia="宋体" w:cs="宋体"/>
                <w:color w:val="333333"/>
                <w:kern w:val="0"/>
                <w:szCs w:val="21"/>
                <w:lang w:val="en-US" w:eastAsia="zh-CN"/>
              </w:rPr>
            </w:pPr>
            <w:r>
              <w:rPr>
                <w:rFonts w:hint="eastAsia" w:ascii="宋体" w:hAnsi="宋体" w:cs="宋体"/>
                <w:color w:val="333333"/>
                <w:kern w:val="0"/>
                <w:szCs w:val="21"/>
                <w:lang w:val="en-US" w:eastAsia="zh-CN"/>
              </w:rPr>
              <w:t>高空作业工程专业承包三级</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2" w:hRule="atLeast"/>
        </w:trPr>
        <w:tc>
          <w:tcPr>
            <w:tcW w:w="967" w:type="pct"/>
            <w:vAlign w:val="center"/>
          </w:tcPr>
          <w:p>
            <w:pPr>
              <w:spacing w:line="400" w:lineRule="exact"/>
              <w:outlineLvl w:val="2"/>
              <w:rPr>
                <w:rFonts w:ascii="宋体" w:hAnsi="宋体" w:eastAsia="方正仿宋_GBK" w:cs="宋体"/>
                <w:b/>
                <w:color w:val="333333"/>
                <w:kern w:val="0"/>
                <w:sz w:val="24"/>
              </w:rPr>
            </w:pPr>
            <w:r>
              <w:rPr>
                <w:rFonts w:hint="eastAsia" w:ascii="宋体" w:hAnsi="宋体" w:cs="宋体"/>
                <w:b/>
                <w:color w:val="333333"/>
                <w:kern w:val="0"/>
                <w:sz w:val="24"/>
              </w:rPr>
              <w:t>技术参数要求</w:t>
            </w:r>
            <w:r>
              <w:rPr>
                <w:rFonts w:hint="eastAsia" w:ascii="方正仿宋_GBK" w:hAnsi="宋体" w:eastAsia="方正仿宋_GBK"/>
                <w:sz w:val="24"/>
                <w:szCs w:val="28"/>
              </w:rPr>
              <w:t>（可设置“※”条款，“</w:t>
            </w:r>
            <w:r>
              <w:rPr>
                <w:rFonts w:hint="eastAsia" w:ascii="方正仿宋_GBK" w:hAnsi="宋体" w:eastAsia="方正仿宋_GBK" w:cs="宋体"/>
                <w:kern w:val="0"/>
                <w:szCs w:val="21"/>
              </w:rPr>
              <w:t>※</w:t>
            </w:r>
            <w:r>
              <w:rPr>
                <w:rFonts w:hint="eastAsia" w:ascii="方正仿宋_GBK" w:hAnsi="宋体" w:eastAsia="方正仿宋_GBK"/>
                <w:sz w:val="24"/>
                <w:szCs w:val="28"/>
              </w:rPr>
              <w:t>”标注的技术需求为符合性审查中的实质性要求，投标文件若不满足按无效投标处理）</w:t>
            </w:r>
          </w:p>
        </w:tc>
        <w:tc>
          <w:tcPr>
            <w:tcW w:w="4032" w:type="pct"/>
            <w:gridSpan w:val="2"/>
            <w:vAlign w:val="center"/>
          </w:tcPr>
          <w:p>
            <w:pPr>
              <w:snapToGrid w:val="0"/>
              <w:spacing w:line="360" w:lineRule="auto"/>
              <w:jc w:val="left"/>
              <w:rPr>
                <w:rFonts w:ascii="宋体" w:hAnsi="宋体" w:cs="宋体"/>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专属试剂耗材</w:t>
            </w:r>
          </w:p>
          <w:p>
            <w:pPr>
              <w:widowControl/>
              <w:adjustRightInd w:val="0"/>
              <w:snapToGrid w:val="0"/>
              <w:jc w:val="center"/>
              <w:rPr>
                <w:rFonts w:ascii="宋体" w:hAnsi="宋体" w:cs="宋体"/>
                <w:b/>
                <w:color w:val="333333"/>
                <w:kern w:val="0"/>
                <w:sz w:val="24"/>
              </w:rPr>
            </w:pPr>
            <w:r>
              <w:rPr>
                <w:rFonts w:hint="eastAsia" w:ascii="方正仿宋_GBK" w:hAnsi="宋体" w:eastAsia="方正仿宋_GBK"/>
                <w:sz w:val="24"/>
                <w:szCs w:val="28"/>
              </w:rPr>
              <w:t>（适用于设备采购）</w:t>
            </w:r>
          </w:p>
        </w:tc>
        <w:tc>
          <w:tcPr>
            <w:tcW w:w="4032" w:type="pct"/>
            <w:gridSpan w:val="2"/>
            <w:vAlign w:val="center"/>
          </w:tcPr>
          <w:p>
            <w:pPr>
              <w:widowControl/>
              <w:adjustRightInd w:val="0"/>
              <w:snapToGrid w:val="0"/>
              <w:jc w:val="center"/>
              <w:rPr>
                <w:rFonts w:ascii="宋体" w:hAnsi="宋体" w:cs="宋体"/>
                <w:color w:val="FF0000"/>
                <w:kern w:val="0"/>
                <w:szCs w:val="21"/>
              </w:rPr>
            </w:pPr>
            <w:r>
              <w:rPr>
                <w:rFonts w:hint="eastAsia" w:ascii="宋体" w:hAnsi="宋体" w:cs="宋体"/>
                <w:kern w:val="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7" w:type="pct"/>
            <w:vMerge w:val="restar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商务要求</w:t>
            </w:r>
          </w:p>
          <w:p>
            <w:pPr>
              <w:snapToGrid w:val="0"/>
              <w:spacing w:line="400" w:lineRule="exact"/>
              <w:rPr>
                <w:rFonts w:ascii="方正仿宋_GBK" w:hAnsi="宋体" w:eastAsia="方正仿宋_GBK" w:cs="宋体"/>
                <w:kern w:val="0"/>
                <w:sz w:val="24"/>
              </w:rPr>
            </w:pPr>
            <w:r>
              <w:rPr>
                <w:rFonts w:hint="eastAsia" w:ascii="宋体" w:hAnsi="宋体" w:cs="宋体"/>
                <w:b/>
                <w:color w:val="333333"/>
                <w:kern w:val="0"/>
                <w:sz w:val="24"/>
              </w:rPr>
              <w:t>（</w:t>
            </w:r>
            <w:bookmarkStart w:id="0" w:name="_Toc267320049"/>
            <w:r>
              <w:rPr>
                <w:rFonts w:hint="eastAsia" w:ascii="方正仿宋_GBK" w:hAnsi="宋体" w:eastAsia="方正仿宋_GBK"/>
                <w:sz w:val="24"/>
                <w:szCs w:val="28"/>
              </w:rPr>
              <w:t>“</w:t>
            </w:r>
            <w:r>
              <w:rPr>
                <w:rFonts w:hint="eastAsia" w:ascii="方正仿宋_GBK" w:hAnsi="宋体" w:eastAsia="方正仿宋_GBK" w:cs="宋体"/>
                <w:kern w:val="0"/>
                <w:szCs w:val="21"/>
              </w:rPr>
              <w:t>※</w:t>
            </w:r>
            <w:r>
              <w:rPr>
                <w:rFonts w:hint="eastAsia" w:ascii="方正仿宋_GBK" w:hAnsi="宋体" w:eastAsia="方正仿宋_GBK"/>
                <w:sz w:val="24"/>
                <w:szCs w:val="28"/>
              </w:rPr>
              <w:t>”标注的商务需求为符合性审查中的实质性要求，投标文件若不满足按无效投标处理</w:t>
            </w:r>
          </w:p>
          <w:bookmarkEnd w:id="0"/>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w:t>
            </w: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交货期/服务期、交货地点/服务地点及验收方式</w:t>
            </w:r>
          </w:p>
        </w:tc>
        <w:tc>
          <w:tcPr>
            <w:tcW w:w="3191" w:type="pct"/>
            <w:vAlign w:val="center"/>
          </w:tcPr>
          <w:p>
            <w:pPr>
              <w:widowControl/>
              <w:adjustRightInd w:val="0"/>
              <w:snapToGrid w:val="0"/>
              <w:rPr>
                <w:rFonts w:hint="eastAsia" w:ascii="宋体" w:hAnsi="宋体" w:cs="宋体"/>
                <w:color w:val="333333"/>
                <w:kern w:val="0"/>
                <w:szCs w:val="21"/>
              </w:rPr>
            </w:pPr>
            <w:r>
              <w:rPr>
                <w:rFonts w:hint="eastAsia" w:ascii="宋体" w:hAnsi="宋体" w:cs="宋体"/>
                <w:color w:val="333333"/>
                <w:kern w:val="0"/>
                <w:szCs w:val="21"/>
              </w:rPr>
              <w:t>中标通知发出后，在</w:t>
            </w:r>
            <w:r>
              <w:rPr>
                <w:rFonts w:hint="eastAsia" w:ascii="宋体" w:hAnsi="宋体" w:cs="宋体"/>
                <w:color w:val="333333"/>
                <w:kern w:val="0"/>
                <w:szCs w:val="21"/>
                <w:lang w:val="en-US" w:eastAsia="zh-CN"/>
              </w:rPr>
              <w:t>2</w:t>
            </w:r>
            <w:r>
              <w:rPr>
                <w:rFonts w:ascii="宋体" w:hAnsi="宋体" w:cs="宋体"/>
                <w:color w:val="333333"/>
                <w:kern w:val="0"/>
                <w:szCs w:val="21"/>
              </w:rPr>
              <w:t>日历</w:t>
            </w:r>
            <w:r>
              <w:rPr>
                <w:rFonts w:hint="eastAsia" w:ascii="宋体" w:hAnsi="宋体" w:cs="宋体"/>
                <w:color w:val="333333"/>
                <w:kern w:val="0"/>
                <w:szCs w:val="21"/>
              </w:rPr>
              <w:t>天</w:t>
            </w:r>
            <w:r>
              <w:rPr>
                <w:rFonts w:ascii="宋体" w:hAnsi="宋体" w:cs="宋体"/>
                <w:color w:val="333333"/>
                <w:kern w:val="0"/>
                <w:szCs w:val="21"/>
              </w:rPr>
              <w:t>内完成</w:t>
            </w:r>
            <w:r>
              <w:rPr>
                <w:rFonts w:hint="eastAsia" w:ascii="宋体" w:hAnsi="宋体" w:cs="宋体"/>
                <w:color w:val="333333"/>
                <w:kern w:val="0"/>
                <w:szCs w:val="21"/>
              </w:rPr>
              <w:t>所有</w:t>
            </w:r>
            <w:r>
              <w:rPr>
                <w:rFonts w:hint="eastAsia" w:ascii="宋体" w:hAnsi="宋体" w:cs="宋体"/>
                <w:color w:val="333333"/>
                <w:kern w:val="0"/>
                <w:szCs w:val="21"/>
                <w:lang w:val="en-US" w:eastAsia="zh-CN"/>
              </w:rPr>
              <w:t>拆除更换</w:t>
            </w:r>
            <w:r>
              <w:rPr>
                <w:rFonts w:hint="eastAsia" w:ascii="宋体" w:hAnsi="宋体" w:cs="宋体"/>
                <w:color w:val="333333"/>
                <w:kern w:val="0"/>
                <w:szCs w:val="21"/>
              </w:rPr>
              <w:t>工程</w:t>
            </w:r>
            <w:r>
              <w:rPr>
                <w:rFonts w:ascii="宋体" w:hAnsi="宋体" w:cs="宋体"/>
                <w:color w:val="333333"/>
                <w:kern w:val="0"/>
                <w:szCs w:val="21"/>
              </w:rPr>
              <w:t>。</w:t>
            </w:r>
            <w:r>
              <w:rPr>
                <w:rFonts w:hint="eastAsia" w:ascii="宋体" w:hAnsi="宋体" w:cs="宋体"/>
                <w:color w:val="333333"/>
                <w:kern w:val="0"/>
                <w:szCs w:val="21"/>
              </w:rPr>
              <w:t>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报价要求</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lang w:val="en-US" w:eastAsia="zh-CN"/>
              </w:rPr>
              <w:t>本工程总价包干，参照工程量清单和楼体立面图进行报价，工程量清单仅作参考，</w:t>
            </w:r>
            <w:r>
              <w:rPr>
                <w:rFonts w:hint="eastAsia" w:ascii="宋体" w:hAnsi="宋体" w:cs="宋体"/>
                <w:color w:val="333333"/>
                <w:kern w:val="0"/>
                <w:szCs w:val="21"/>
              </w:rPr>
              <w:t>报价包括完成此项工程的所有费用。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质量保证及售后服务</w:t>
            </w:r>
          </w:p>
        </w:tc>
        <w:tc>
          <w:tcPr>
            <w:tcW w:w="3191" w:type="pct"/>
            <w:vAlign w:val="center"/>
          </w:tcPr>
          <w:p>
            <w:pPr>
              <w:widowControl/>
              <w:adjustRightInd w:val="0"/>
              <w:snapToGrid w:val="0"/>
              <w:jc w:val="left"/>
              <w:rPr>
                <w:rFonts w:hint="eastAsia" w:ascii="宋体" w:hAnsi="宋体" w:cs="宋体"/>
                <w:color w:val="333333"/>
                <w:kern w:val="0"/>
                <w:szCs w:val="21"/>
              </w:rPr>
            </w:pPr>
            <w:r>
              <w:rPr>
                <w:rFonts w:hint="eastAsia" w:ascii="宋体" w:hAnsi="宋体" w:cs="宋体"/>
                <w:color w:val="333333"/>
                <w:kern w:val="0"/>
                <w:szCs w:val="21"/>
              </w:rPr>
              <w:t>质保</w:t>
            </w:r>
            <w:r>
              <w:rPr>
                <w:rFonts w:ascii="宋体" w:hAnsi="宋体" w:cs="宋体"/>
                <w:color w:val="333333"/>
                <w:kern w:val="0"/>
                <w:szCs w:val="21"/>
              </w:rPr>
              <w:t>期</w:t>
            </w:r>
            <w:r>
              <w:rPr>
                <w:rFonts w:hint="eastAsia" w:ascii="宋体" w:hAnsi="宋体" w:cs="宋体"/>
                <w:color w:val="333333"/>
                <w:kern w:val="0"/>
                <w:szCs w:val="21"/>
                <w:lang w:val="en-US" w:eastAsia="zh-CN"/>
              </w:rPr>
              <w:t>2</w:t>
            </w:r>
            <w:r>
              <w:rPr>
                <w:rFonts w:hint="eastAsia" w:ascii="宋体" w:hAnsi="宋体" w:cs="宋体"/>
                <w:color w:val="333333"/>
                <w:kern w:val="0"/>
                <w:szCs w:val="21"/>
              </w:rPr>
              <w:t>年</w:t>
            </w:r>
            <w:r>
              <w:rPr>
                <w:rFonts w:ascii="宋体" w:hAnsi="宋体" w:cs="宋体"/>
                <w:color w:val="333333"/>
                <w:kern w:val="0"/>
                <w:szCs w:val="21"/>
              </w:rPr>
              <w:t>，质保金</w:t>
            </w:r>
            <w:r>
              <w:rPr>
                <w:rFonts w:hint="eastAsia" w:ascii="宋体" w:hAnsi="宋体" w:cs="宋体"/>
                <w:color w:val="333333"/>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结算与付款方式</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此工程无预付款，验收合格后，支付95%工程款。</w:t>
            </w:r>
          </w:p>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 xml:space="preserve">付款方式：银行转账。验收合格，支付合同总价的 </w:t>
            </w:r>
            <w:r>
              <w:rPr>
                <w:rFonts w:ascii="宋体" w:hAnsi="宋体" w:cs="宋体"/>
                <w:color w:val="333333"/>
                <w:kern w:val="0"/>
                <w:szCs w:val="21"/>
              </w:rPr>
              <w:t>95</w:t>
            </w:r>
            <w:r>
              <w:rPr>
                <w:rFonts w:hint="eastAsia" w:ascii="宋体" w:hAnsi="宋体" w:cs="宋体"/>
                <w:color w:val="333333"/>
                <w:kern w:val="0"/>
                <w:szCs w:val="21"/>
              </w:rPr>
              <w:t xml:space="preserve">%，其余的 </w:t>
            </w:r>
            <w:r>
              <w:rPr>
                <w:rFonts w:ascii="宋体" w:hAnsi="宋体" w:cs="宋体"/>
                <w:color w:val="333333"/>
                <w:kern w:val="0"/>
                <w:szCs w:val="21"/>
              </w:rPr>
              <w:t>5</w:t>
            </w:r>
            <w:r>
              <w:rPr>
                <w:rFonts w:hint="eastAsia" w:ascii="宋体" w:hAnsi="宋体" w:cs="宋体"/>
                <w:color w:val="333333"/>
                <w:kern w:val="0"/>
                <w:szCs w:val="21"/>
              </w:rPr>
              <w:t>%在质保期结束后无息支付。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知识产权</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培训要求</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附件、图纸及包装要求</w:t>
            </w:r>
          </w:p>
        </w:tc>
        <w:tc>
          <w:tcPr>
            <w:tcW w:w="3191" w:type="pct"/>
            <w:vAlign w:val="center"/>
          </w:tcPr>
          <w:p>
            <w:pPr>
              <w:widowControl/>
              <w:adjustRightInd w:val="0"/>
              <w:snapToGrid w:val="0"/>
              <w:jc w:val="left"/>
              <w:rPr>
                <w:rFonts w:hint="default" w:ascii="宋体" w:hAnsi="宋体" w:eastAsia="宋体" w:cs="宋体"/>
                <w:color w:val="333333"/>
                <w:kern w:val="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其他商务要求</w:t>
            </w:r>
          </w:p>
        </w:tc>
        <w:tc>
          <w:tcPr>
            <w:tcW w:w="3191" w:type="pct"/>
            <w:vAlign w:val="center"/>
          </w:tcPr>
          <w:p>
            <w:pPr>
              <w:widowControl/>
              <w:adjustRightInd w:val="0"/>
              <w:snapToGrid w:val="0"/>
              <w:jc w:val="center"/>
              <w:rPr>
                <w:rFonts w:ascii="宋体" w:hAnsi="宋体" w:cs="宋体"/>
                <w:color w:val="333333"/>
                <w:kern w:val="0"/>
                <w:szCs w:val="21"/>
              </w:rPr>
            </w:pPr>
          </w:p>
        </w:tc>
      </w:tr>
    </w:tbl>
    <w:p>
      <w:pPr>
        <w:widowControl/>
        <w:adjustRightInd w:val="0"/>
        <w:snapToGrid w:val="0"/>
        <w:spacing w:after="200" w:line="220" w:lineRule="atLeast"/>
        <w:jc w:val="left"/>
        <w:rPr>
          <w:sz w:val="28"/>
          <w:szCs w:val="28"/>
        </w:rPr>
      </w:pPr>
    </w:p>
    <w:p>
      <w:pPr>
        <w:rPr>
          <w:rFonts w:hint="eastAsia"/>
        </w:rPr>
      </w:pPr>
    </w:p>
    <w:p>
      <w:pPr>
        <w:jc w:val="center"/>
        <w:rPr>
          <w:rFonts w:hint="eastAsia"/>
          <w:lang w:val="en-US" w:eastAsia="zh-CN"/>
        </w:rPr>
      </w:pPr>
      <w:r>
        <w:rPr>
          <w:rFonts w:hint="eastAsia"/>
          <w:sz w:val="28"/>
          <w:szCs w:val="28"/>
          <w:lang w:val="en-US" w:eastAsia="zh-CN"/>
        </w:rPr>
        <w:t>工程量清单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1857"/>
        <w:gridCol w:w="1858"/>
        <w:gridCol w:w="1858"/>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7" w:type="dxa"/>
          </w:tcPr>
          <w:p>
            <w:pPr>
              <w:jc w:val="center"/>
              <w:rPr>
                <w:rFonts w:hint="default"/>
                <w:vertAlign w:val="baseline"/>
                <w:lang w:val="en-US" w:eastAsia="zh-CN"/>
              </w:rPr>
            </w:pPr>
            <w:r>
              <w:rPr>
                <w:rFonts w:hint="eastAsia"/>
                <w:vertAlign w:val="baseline"/>
                <w:lang w:val="en-US" w:eastAsia="zh-CN"/>
              </w:rPr>
              <w:t>名称</w:t>
            </w:r>
          </w:p>
        </w:tc>
        <w:tc>
          <w:tcPr>
            <w:tcW w:w="1857" w:type="dxa"/>
          </w:tcPr>
          <w:p>
            <w:pPr>
              <w:jc w:val="center"/>
              <w:rPr>
                <w:rFonts w:hint="default"/>
                <w:vertAlign w:val="baseline"/>
                <w:lang w:val="en-US" w:eastAsia="zh-CN"/>
              </w:rPr>
            </w:pPr>
            <w:r>
              <w:rPr>
                <w:rFonts w:hint="eastAsia"/>
                <w:vertAlign w:val="baseline"/>
                <w:lang w:val="en-US" w:eastAsia="zh-CN"/>
              </w:rPr>
              <w:t>数量</w:t>
            </w:r>
          </w:p>
        </w:tc>
        <w:tc>
          <w:tcPr>
            <w:tcW w:w="1858" w:type="dxa"/>
          </w:tcPr>
          <w:p>
            <w:pPr>
              <w:jc w:val="center"/>
              <w:rPr>
                <w:rFonts w:hint="default"/>
                <w:vertAlign w:val="baseline"/>
                <w:lang w:val="en-US" w:eastAsia="zh-CN"/>
              </w:rPr>
            </w:pPr>
            <w:r>
              <w:rPr>
                <w:rFonts w:hint="eastAsia"/>
                <w:vertAlign w:val="baseline"/>
                <w:lang w:val="en-US" w:eastAsia="zh-CN"/>
              </w:rPr>
              <w:t>单价</w:t>
            </w:r>
          </w:p>
        </w:tc>
        <w:tc>
          <w:tcPr>
            <w:tcW w:w="1858" w:type="dxa"/>
          </w:tcPr>
          <w:p>
            <w:pPr>
              <w:jc w:val="center"/>
              <w:rPr>
                <w:rFonts w:hint="default"/>
                <w:vertAlign w:val="baseline"/>
                <w:lang w:val="en-US" w:eastAsia="zh-CN"/>
              </w:rPr>
            </w:pPr>
            <w:r>
              <w:rPr>
                <w:rFonts w:hint="eastAsia"/>
                <w:vertAlign w:val="baseline"/>
                <w:lang w:val="en-US" w:eastAsia="zh-CN"/>
              </w:rPr>
              <w:t>人工费</w:t>
            </w:r>
          </w:p>
        </w:tc>
        <w:tc>
          <w:tcPr>
            <w:tcW w:w="1858" w:type="dxa"/>
          </w:tcPr>
          <w:p>
            <w:pPr>
              <w:jc w:val="center"/>
              <w:rPr>
                <w:rFonts w:hint="default"/>
                <w:vertAlign w:val="baseline"/>
                <w:lang w:val="en-US" w:eastAsia="zh-CN"/>
              </w:rPr>
            </w:pPr>
            <w:r>
              <w:rPr>
                <w:rFonts w:hint="eastAsia"/>
                <w:vertAlign w:val="baseline"/>
                <w:lang w:val="en-US" w:eastAsia="zh-CN"/>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Pr>
          <w:p>
            <w:pPr>
              <w:rPr>
                <w:rFonts w:hint="default"/>
                <w:vertAlign w:val="baseline"/>
                <w:lang w:val="en-US" w:eastAsia="zh-CN"/>
              </w:rPr>
            </w:pPr>
            <w:r>
              <w:rPr>
                <w:rFonts w:hint="eastAsia"/>
                <w:vertAlign w:val="baseline"/>
                <w:lang w:val="en-US" w:eastAsia="zh-CN"/>
              </w:rPr>
              <w:t>窗户限位器</w:t>
            </w:r>
          </w:p>
        </w:tc>
        <w:tc>
          <w:tcPr>
            <w:tcW w:w="1857" w:type="dxa"/>
          </w:tcPr>
          <w:p>
            <w:pPr>
              <w:rPr>
                <w:rFonts w:hint="default"/>
                <w:vertAlign w:val="baseline"/>
                <w:lang w:val="en-US" w:eastAsia="zh-CN"/>
              </w:rPr>
            </w:pPr>
            <w:r>
              <w:rPr>
                <w:rFonts w:hint="eastAsia"/>
                <w:vertAlign w:val="baseline"/>
                <w:lang w:val="en-US" w:eastAsia="zh-CN"/>
              </w:rPr>
              <w:t>418</w:t>
            </w:r>
          </w:p>
        </w:tc>
        <w:tc>
          <w:tcPr>
            <w:tcW w:w="1858" w:type="dxa"/>
          </w:tcPr>
          <w:p>
            <w:pPr>
              <w:rPr>
                <w:rFonts w:hint="default"/>
                <w:vertAlign w:val="baseline"/>
                <w:lang w:val="en-US" w:eastAsia="zh-CN"/>
              </w:rPr>
            </w:pPr>
          </w:p>
        </w:tc>
        <w:tc>
          <w:tcPr>
            <w:tcW w:w="1858" w:type="dxa"/>
          </w:tcPr>
          <w:p>
            <w:pPr>
              <w:rPr>
                <w:rFonts w:hint="default"/>
                <w:vertAlign w:val="baseline"/>
                <w:lang w:val="en-US" w:eastAsia="zh-CN"/>
              </w:rPr>
            </w:pPr>
          </w:p>
        </w:tc>
        <w:tc>
          <w:tcPr>
            <w:tcW w:w="1858" w:type="dxa"/>
          </w:tcPr>
          <w:p>
            <w:pPr>
              <w:rPr>
                <w:rFonts w:hint="default"/>
                <w:vertAlign w:val="baseline"/>
                <w:lang w:val="en-US" w:eastAsia="zh-CN"/>
              </w:rPr>
            </w:pPr>
          </w:p>
        </w:tc>
      </w:tr>
    </w:tbl>
    <w:p>
      <w:pPr>
        <w:rPr>
          <w:rFonts w:hint="default"/>
          <w:lang w:val="en-US" w:eastAsia="zh-CN"/>
        </w:rPr>
      </w:pPr>
    </w:p>
    <w:p>
      <w:pPr>
        <w:rPr>
          <w:rFonts w:hint="default"/>
          <w:lang w:val="en-US" w:eastAsia="zh-CN"/>
        </w:rPr>
      </w:pPr>
      <w:r>
        <w:drawing>
          <wp:inline distT="0" distB="0" distL="114300" distR="114300">
            <wp:extent cx="5784215" cy="3825875"/>
            <wp:effectExtent l="0" t="0" r="698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784215" cy="3825875"/>
                    </a:xfrm>
                    <a:prstGeom prst="rect">
                      <a:avLst/>
                    </a:prstGeom>
                    <a:noFill/>
                    <a:ln>
                      <a:noFill/>
                    </a:ln>
                  </pic:spPr>
                </pic:pic>
              </a:graphicData>
            </a:graphic>
          </wp:inline>
        </w:drawing>
      </w:r>
      <w:r>
        <w:drawing>
          <wp:inline distT="0" distB="0" distL="114300" distR="114300">
            <wp:extent cx="5768340" cy="3750945"/>
            <wp:effectExtent l="0" t="0" r="1016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768340" cy="3750945"/>
                    </a:xfrm>
                    <a:prstGeom prst="rect">
                      <a:avLst/>
                    </a:prstGeom>
                    <a:noFill/>
                    <a:ln>
                      <a:noFill/>
                    </a:ln>
                  </pic:spPr>
                </pic:pic>
              </a:graphicData>
            </a:graphic>
          </wp:inline>
        </w:drawing>
      </w:r>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wMGY5YzY0ZjE4ZWE0MjBhZWVlMDY2NWIzNTQyNmQifQ=="/>
  </w:docVars>
  <w:rsids>
    <w:rsidRoot w:val="39E91D5E"/>
    <w:rsid w:val="004E59AA"/>
    <w:rsid w:val="00595BF6"/>
    <w:rsid w:val="00995389"/>
    <w:rsid w:val="00BF24D8"/>
    <w:rsid w:val="12E77A5E"/>
    <w:rsid w:val="147406BE"/>
    <w:rsid w:val="14B67481"/>
    <w:rsid w:val="156A5C6B"/>
    <w:rsid w:val="2AB2555F"/>
    <w:rsid w:val="2CCA541D"/>
    <w:rsid w:val="34DE1925"/>
    <w:rsid w:val="39E91D5E"/>
    <w:rsid w:val="3A05719C"/>
    <w:rsid w:val="408267A3"/>
    <w:rsid w:val="4692667A"/>
    <w:rsid w:val="4887645F"/>
    <w:rsid w:val="5A1C7FC1"/>
    <w:rsid w:val="60A1512A"/>
    <w:rsid w:val="641E0B3E"/>
    <w:rsid w:val="65CD112B"/>
    <w:rsid w:val="695852D7"/>
    <w:rsid w:val="6C847275"/>
    <w:rsid w:val="767E0735"/>
    <w:rsid w:val="7FA07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Plain Text"/>
    <w:basedOn w:val="1"/>
    <w:qFormat/>
    <w:uiPriority w:val="0"/>
    <w:rPr>
      <w:rFonts w:ascii="宋体" w:hAnsi="Courier New" w:eastAsia="仿宋_GB2312"/>
      <w:kern w:val="28"/>
      <w:sz w:val="28"/>
    </w:rPr>
  </w:style>
  <w:style w:type="paragraph" w:styleId="4">
    <w:name w:val="footer"/>
    <w:basedOn w:val="1"/>
    <w:qFormat/>
    <w:uiPriority w:val="0"/>
    <w:pPr>
      <w:tabs>
        <w:tab w:val="center" w:pos="4153"/>
        <w:tab w:val="right" w:pos="8306"/>
      </w:tabs>
      <w:snapToGrid w:val="0"/>
      <w:jc w:val="left"/>
    </w:pPr>
    <w:rPr>
      <w:sz w:val="18"/>
    </w:rPr>
  </w:style>
  <w:style w:type="table" w:styleId="6">
    <w:name w:val="Table Grid"/>
    <w:basedOn w:val="5"/>
    <w:qFormat/>
    <w:uiPriority w:val="59"/>
    <w:pPr>
      <w:widowControl w:val="0"/>
      <w:jc w:val="both"/>
    </w:pPr>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basedOn w:val="7"/>
    <w:qFormat/>
    <w:uiPriority w:val="0"/>
  </w:style>
  <w:style w:type="paragraph" w:customStyle="1" w:styleId="9">
    <w:name w:val="段"/>
    <w:basedOn w:val="1"/>
    <w:semiHidden/>
    <w:qFormat/>
    <w:uiPriority w:val="0"/>
    <w:pPr>
      <w:autoSpaceDE w:val="0"/>
      <w:autoSpaceDN w:val="0"/>
      <w:ind w:firstLine="420" w:firstLineChars="200"/>
    </w:pPr>
    <w:rPr>
      <w:rFonts w:ascii="宋体"/>
      <w:kern w:val="0"/>
      <w:szCs w:val="21"/>
    </w:rPr>
  </w:style>
  <w:style w:type="paragraph" w:styleId="10">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11">
    <w:name w:val="font21"/>
    <w:basedOn w:val="7"/>
    <w:qFormat/>
    <w:uiPriority w:val="0"/>
    <w:rPr>
      <w:rFonts w:hint="eastAsia" w:ascii="宋体" w:hAnsi="宋体" w:eastAsia="宋体" w:cs="宋体"/>
      <w:color w:val="000000"/>
      <w:sz w:val="24"/>
      <w:szCs w:val="24"/>
      <w:u w:val="none"/>
    </w:rPr>
  </w:style>
  <w:style w:type="character" w:customStyle="1" w:styleId="12">
    <w:name w:val="font11"/>
    <w:basedOn w:val="7"/>
    <w:qFormat/>
    <w:uiPriority w:val="0"/>
    <w:rPr>
      <w:rFonts w:hint="eastAsia" w:ascii="宋体" w:hAnsi="宋体" w:eastAsia="宋体" w:cs="宋体"/>
      <w:color w:val="000000"/>
      <w:sz w:val="22"/>
      <w:szCs w:val="22"/>
      <w:u w:val="none"/>
    </w:rPr>
  </w:style>
  <w:style w:type="character" w:customStyle="1" w:styleId="13">
    <w:name w:val="font41"/>
    <w:basedOn w:val="7"/>
    <w:qFormat/>
    <w:uiPriority w:val="0"/>
    <w:rPr>
      <w:rFonts w:hint="default" w:ascii="Calibri" w:hAnsi="Calibri" w:cs="Calibri"/>
      <w:color w:val="000000"/>
      <w:sz w:val="22"/>
      <w:szCs w:val="22"/>
      <w:u w:val="none"/>
    </w:rPr>
  </w:style>
  <w:style w:type="character" w:customStyle="1" w:styleId="14">
    <w:name w:val="font01"/>
    <w:basedOn w:val="7"/>
    <w:qFormat/>
    <w:uiPriority w:val="0"/>
    <w:rPr>
      <w:rFonts w:hint="eastAsia" w:ascii="黑体" w:hAnsi="宋体" w:eastAsia="黑体" w:cs="黑体"/>
      <w:color w:val="000000"/>
      <w:sz w:val="22"/>
      <w:szCs w:val="22"/>
      <w:u w:val="none"/>
    </w:rPr>
  </w:style>
  <w:style w:type="character" w:customStyle="1" w:styleId="15">
    <w:name w:val="font31"/>
    <w:basedOn w:val="7"/>
    <w:uiPriority w:val="0"/>
    <w:rPr>
      <w:rFonts w:hint="eastAsia" w:ascii="黑体" w:hAnsi="宋体" w:eastAsia="黑体" w:cs="黑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1316</Words>
  <Characters>1407</Characters>
  <Lines>12</Lines>
  <Paragraphs>3</Paragraphs>
  <TotalTime>2</TotalTime>
  <ScaleCrop>false</ScaleCrop>
  <LinksUpToDate>false</LinksUpToDate>
  <CharactersWithSpaces>1413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2022-01-11T03:48:00Z</dcterms:created>
  <dc:creator>付敏</dc:creator>
  <cp:lastModifiedBy>道法自然</cp:lastModifiedBy>
  <dcterms:modified xsi:type="dcterms:W3CDTF">2023-02-15T09:46:53Z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DC2B1ABF688B41D19327936B45D80816</vt:lpwstr>
  </property>
</Properties>
</file>