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2603L020</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szCs w:val="21"/>
                <w:lang w:val="en-US" w:eastAsia="zh-CN"/>
              </w:rPr>
              <w:t>临时腔静脉过滤器系统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肝胆外科</w:t>
            </w:r>
          </w:p>
        </w:tc>
        <w:tc>
          <w:tcPr>
            <w:tcW w:w="3111" w:type="dxa"/>
            <w:vAlign w:val="center"/>
          </w:tcPr>
          <w:p>
            <w:pPr>
              <w:rPr>
                <w:rFonts w:hint="default"/>
                <w:lang w:val="en-US" w:eastAsia="zh-CN"/>
              </w:rPr>
            </w:pPr>
            <w:r>
              <w:rPr>
                <w:rFonts w:hint="default"/>
                <w:lang w:val="en-US" w:eastAsia="zh-CN"/>
              </w:rPr>
              <w:t>1.“J”型导丝, 长度为150厘米, 直径为0.89毫米（0.035英寸），带PTFE覆盖层。</w:t>
            </w:r>
          </w:p>
          <w:p>
            <w:pPr>
              <w:rPr>
                <w:rFonts w:hint="default"/>
                <w:lang w:val="en-US" w:eastAsia="zh-CN"/>
              </w:rPr>
            </w:pPr>
            <w:r>
              <w:rPr>
                <w:rFonts w:hint="default"/>
                <w:lang w:val="en-US" w:eastAsia="zh-CN"/>
              </w:rPr>
              <w:t>2.不透射线的输送鞘：一个12F的导鞘和一个10F扩张器。</w:t>
            </w:r>
          </w:p>
          <w:p>
            <w:pPr>
              <w:rPr>
                <w:rFonts w:hint="default"/>
                <w:lang w:val="en-US" w:eastAsia="zh-CN"/>
              </w:rPr>
            </w:pPr>
            <w:r>
              <w:rPr>
                <w:rFonts w:hint="default"/>
                <w:lang w:val="en-US" w:eastAsia="zh-CN"/>
              </w:rPr>
              <w:t>3.在确定方位时，利用不透射线的标记可以判断导鞘末端的位置。</w:t>
            </w:r>
          </w:p>
          <w:p>
            <w:pPr>
              <w:rPr>
                <w:rFonts w:hint="default"/>
                <w:lang w:val="en-US" w:eastAsia="zh-CN"/>
              </w:rPr>
            </w:pPr>
            <w:r>
              <w:rPr>
                <w:rFonts w:hint="default"/>
                <w:lang w:val="en-US" w:eastAsia="zh-CN"/>
              </w:rPr>
              <w:t>4.连接导鞘和扩张器的鲁尔接头保证这两个部件的正确连接。</w:t>
            </w:r>
          </w:p>
          <w:p>
            <w:pPr>
              <w:rPr>
                <w:rFonts w:hint="default"/>
                <w:lang w:val="en-US" w:eastAsia="zh-CN"/>
              </w:rPr>
            </w:pPr>
            <w:r>
              <w:rPr>
                <w:rFonts w:hint="default"/>
                <w:lang w:val="en-US" w:eastAsia="zh-CN"/>
              </w:rPr>
              <w:t>5.过滤器折叠放置在注射器中和留置导管中（长度为120厘米）。</w:t>
            </w:r>
          </w:p>
          <w:p>
            <w:pPr>
              <w:rPr>
                <w:rFonts w:hint="default"/>
                <w:lang w:val="en-US" w:eastAsia="zh-CN"/>
              </w:rPr>
            </w:pPr>
            <w:r>
              <w:rPr>
                <w:rFonts w:hint="default"/>
                <w:lang w:val="en-US" w:eastAsia="zh-CN"/>
              </w:rPr>
              <w:t>6.过滤器连有一根留置导管。</w:t>
            </w:r>
          </w:p>
          <w:p>
            <w:pPr>
              <w:rPr>
                <w:rFonts w:hint="default"/>
                <w:lang w:val="en-US" w:eastAsia="zh-CN"/>
              </w:rPr>
            </w:pPr>
            <w:r>
              <w:rPr>
                <w:rFonts w:hint="default"/>
                <w:lang w:val="en-US" w:eastAsia="zh-CN"/>
              </w:rPr>
              <w:t>7.一个金属管心针可增加留置导管，硬度以便植入手术的顺利进行。植入后取出此管心针。</w:t>
            </w:r>
          </w:p>
          <w:p>
            <w:pPr>
              <w:rPr>
                <w:rFonts w:hint="default"/>
                <w:lang w:val="en-US" w:eastAsia="zh-CN"/>
              </w:rPr>
            </w:pPr>
            <w:r>
              <w:rPr>
                <w:rFonts w:hint="default"/>
                <w:lang w:val="en-US" w:eastAsia="zh-CN"/>
              </w:rPr>
              <w:t>8.用于皮下固定留置导管的硅制“橄榄体”</w:t>
            </w:r>
          </w:p>
          <w:p>
            <w:pPr>
              <w:pStyle w:val="2"/>
              <w:rPr>
                <w:rFonts w:hint="default"/>
                <w:lang w:val="en-US" w:eastAsia="zh-CN"/>
              </w:rPr>
            </w:pPr>
            <w:bookmarkStart w:id="0" w:name="_GoBack"/>
            <w:bookmarkEnd w:id="0"/>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1E01C24"/>
    <w:rsid w:val="24DE51F7"/>
    <w:rsid w:val="262F36DE"/>
    <w:rsid w:val="27895B92"/>
    <w:rsid w:val="27EC4669"/>
    <w:rsid w:val="29913381"/>
    <w:rsid w:val="2A64557B"/>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25</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2026-03-30T03:08:14Z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