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after="200" w:line="220" w:lineRule="atLeast"/>
        <w:jc w:val="center"/>
        <w:rPr>
          <w:rFonts w:ascii="Tahoma" w:hAnsi="Tahoma" w:eastAsia="微软雅黑"/>
          <w:b/>
          <w:bCs/>
          <w:kern w:val="0"/>
          <w:sz w:val="28"/>
          <w:szCs w:val="28"/>
        </w:rPr>
      </w:pPr>
      <w:r>
        <w:rPr>
          <w:rFonts w:hint="eastAsia" w:ascii="Tahoma" w:hAnsi="Tahoma" w:eastAsia="微软雅黑"/>
          <w:b/>
          <w:bCs/>
          <w:kern w:val="0"/>
          <w:sz w:val="28"/>
          <w:szCs w:val="28"/>
        </w:rPr>
        <w:t>采购需求表（需公开）</w:t>
      </w:r>
    </w:p>
    <w:tbl>
      <w:tblPr>
        <w:tblStyle w:val="5"/>
        <w:tblW w:w="50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1"/>
        <w:gridCol w:w="1592"/>
        <w:gridCol w:w="60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采购项目类别</w:t>
            </w:r>
          </w:p>
        </w:tc>
        <w:tc>
          <w:tcPr>
            <w:tcW w:w="4032" w:type="pct"/>
            <w:gridSpan w:val="2"/>
            <w:vAlign w:val="center"/>
          </w:tcPr>
          <w:p>
            <w:pPr>
              <w:widowControl/>
              <w:adjustRightInd w:val="0"/>
              <w:snapToGrid w:val="0"/>
              <w:jc w:val="center"/>
              <w:rPr>
                <w:rFonts w:ascii="宋体" w:hAnsi="宋体"/>
                <w:kern w:val="0"/>
                <w:szCs w:val="21"/>
              </w:rPr>
            </w:pPr>
            <w:r>
              <w:rPr>
                <w:rFonts w:hint="eastAsia" w:ascii="宋体" w:hAnsi="宋体"/>
                <w:kern w:val="0"/>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项目编号</w:t>
            </w:r>
          </w:p>
        </w:tc>
        <w:tc>
          <w:tcPr>
            <w:tcW w:w="4032" w:type="pct"/>
            <w:gridSpan w:val="2"/>
            <w:vAlign w:val="center"/>
          </w:tcPr>
          <w:p>
            <w:pPr>
              <w:widowControl/>
              <w:adjustRightInd w:val="0"/>
              <w:snapToGrid w:val="0"/>
              <w:jc w:val="center"/>
              <w:rPr>
                <w:rFonts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项目名称</w:t>
            </w:r>
          </w:p>
        </w:tc>
        <w:tc>
          <w:tcPr>
            <w:tcW w:w="4032" w:type="pct"/>
            <w:gridSpan w:val="2"/>
            <w:vAlign w:val="center"/>
          </w:tcPr>
          <w:p>
            <w:pPr>
              <w:widowControl/>
              <w:adjustRightInd w:val="0"/>
              <w:snapToGrid w:val="0"/>
              <w:jc w:val="center"/>
              <w:rPr>
                <w:rFonts w:hint="default" w:ascii="宋体" w:hAnsi="宋体" w:eastAsia="宋体" w:cs="宋体"/>
                <w:bCs/>
                <w:color w:val="333333"/>
                <w:kern w:val="0"/>
                <w:szCs w:val="21"/>
                <w:lang w:val="en-US" w:eastAsia="zh-CN"/>
              </w:rPr>
            </w:pPr>
            <w:r>
              <w:rPr>
                <w:rFonts w:hint="eastAsia" w:ascii="宋体" w:hAnsi="宋体" w:cs="宋体"/>
                <w:bCs/>
                <w:color w:val="333333"/>
                <w:kern w:val="0"/>
                <w:szCs w:val="21"/>
                <w:lang w:val="en-US" w:eastAsia="zh-CN"/>
              </w:rPr>
              <w:t>渝中院区2号楼GRC材料排危拆除工程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评标方法</w:t>
            </w:r>
          </w:p>
        </w:tc>
        <w:tc>
          <w:tcPr>
            <w:tcW w:w="4032" w:type="pct"/>
            <w:gridSpan w:val="2"/>
            <w:vAlign w:val="center"/>
          </w:tcPr>
          <w:p>
            <w:pPr>
              <w:widowControl/>
              <w:adjustRightInd w:val="0"/>
              <w:snapToGrid w:val="0"/>
              <w:jc w:val="center"/>
              <w:rPr>
                <w:rFonts w:ascii="宋体" w:hAnsi="宋体" w:cs="宋体"/>
                <w:b/>
                <w:color w:val="333333"/>
                <w:kern w:val="0"/>
                <w:sz w:val="24"/>
              </w:rPr>
            </w:pPr>
            <w:r>
              <w:rPr>
                <w:rFonts w:hint="eastAsia" w:ascii="宋体" w:hAnsi="宋体" w:cs="宋体"/>
                <w:bCs/>
                <w:color w:val="333333"/>
                <w:kern w:val="0"/>
                <w:szCs w:val="21"/>
              </w:rPr>
              <w:t>低价中标法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申购科室/归口管理部门</w:t>
            </w:r>
          </w:p>
        </w:tc>
        <w:tc>
          <w:tcPr>
            <w:tcW w:w="4032" w:type="pct"/>
            <w:gridSpan w:val="2"/>
            <w:vAlign w:val="center"/>
          </w:tcPr>
          <w:p>
            <w:pPr>
              <w:widowControl/>
              <w:adjustRightInd w:val="0"/>
              <w:snapToGrid w:val="0"/>
              <w:jc w:val="center"/>
              <w:rPr>
                <w:rFonts w:ascii="宋体" w:hAnsi="宋体" w:cs="宋体"/>
                <w:color w:val="333333"/>
                <w:kern w:val="0"/>
                <w:szCs w:val="21"/>
              </w:rPr>
            </w:pPr>
            <w:r>
              <w:rPr>
                <w:rFonts w:hint="eastAsia" w:ascii="宋体" w:hAnsi="宋体" w:cs="宋体"/>
                <w:color w:val="333333"/>
                <w:kern w:val="0"/>
                <w:szCs w:val="21"/>
              </w:rPr>
              <w:t>后勤管理处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采购数量/单位</w:t>
            </w:r>
          </w:p>
        </w:tc>
        <w:tc>
          <w:tcPr>
            <w:tcW w:w="4032" w:type="pct"/>
            <w:gridSpan w:val="2"/>
            <w:vAlign w:val="center"/>
          </w:tcPr>
          <w:p>
            <w:pPr>
              <w:widowControl/>
              <w:adjustRightInd w:val="0"/>
              <w:snapToGrid w:val="0"/>
              <w:jc w:val="center"/>
              <w:rPr>
                <w:rFonts w:ascii="宋体" w:hAnsi="宋体" w:cs="宋体"/>
                <w:color w:val="333333"/>
                <w:kern w:val="0"/>
                <w:szCs w:val="21"/>
              </w:rPr>
            </w:pPr>
            <w:r>
              <w:rPr>
                <w:rFonts w:hint="eastAsia" w:ascii="宋体" w:hAnsi="宋体" w:cs="宋体"/>
                <w:color w:val="333333"/>
                <w:kern w:val="0"/>
                <w:szCs w:val="21"/>
              </w:rPr>
              <w:t>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采购最高限价</w:t>
            </w:r>
          </w:p>
        </w:tc>
        <w:tc>
          <w:tcPr>
            <w:tcW w:w="4032" w:type="pct"/>
            <w:gridSpan w:val="2"/>
            <w:vAlign w:val="center"/>
          </w:tcPr>
          <w:p>
            <w:pPr>
              <w:widowControl/>
              <w:adjustRightInd w:val="0"/>
              <w:snapToGrid w:val="0"/>
              <w:jc w:val="center"/>
              <w:rPr>
                <w:rFonts w:hint="default" w:ascii="宋体" w:hAnsi="宋体" w:eastAsia="宋体" w:cs="宋体"/>
                <w:color w:val="333333"/>
                <w:kern w:val="0"/>
                <w:szCs w:val="21"/>
                <w:lang w:val="en-US" w:eastAsia="zh-CN"/>
              </w:rPr>
            </w:pPr>
            <w:r>
              <w:rPr>
                <w:rFonts w:hint="eastAsia" w:ascii="宋体" w:hAnsi="宋体" w:cs="宋体"/>
                <w:color w:val="333333"/>
                <w:kern w:val="0"/>
                <w:szCs w:val="21"/>
                <w:lang w:val="en-US" w:eastAsia="zh-CN"/>
              </w:rPr>
              <w:t>2.3万元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2"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项目描述</w:t>
            </w:r>
          </w:p>
        </w:tc>
        <w:tc>
          <w:tcPr>
            <w:tcW w:w="4032" w:type="pct"/>
            <w:gridSpan w:val="2"/>
            <w:vAlign w:val="center"/>
          </w:tcPr>
          <w:p>
            <w:pPr>
              <w:snapToGrid w:val="0"/>
              <w:spacing w:line="360" w:lineRule="auto"/>
              <w:jc w:val="left"/>
              <w:rPr>
                <w:rFonts w:hint="eastAsia" w:ascii="宋体" w:hAnsi="宋体" w:cs="宋体"/>
                <w:color w:val="333333"/>
                <w:szCs w:val="21"/>
              </w:rPr>
            </w:pPr>
            <w:r>
              <w:rPr>
                <w:rFonts w:hint="eastAsia" w:ascii="宋体" w:hAnsi="宋体" w:cs="宋体"/>
                <w:color w:val="333333"/>
                <w:szCs w:val="21"/>
                <w:lang w:val="en-US" w:eastAsia="zh-CN"/>
              </w:rPr>
              <w:t>渝中院区2号楼屋顶GRC材料掉落险些伤人，上方多处GRC材料老化，为消除安全隐患须紧急进行排危处理。</w:t>
            </w:r>
            <w:bookmarkStart w:id="1" w:name="_GoBack"/>
            <w:bookmarkEnd w:id="1"/>
          </w:p>
          <w:p>
            <w:pPr>
              <w:snapToGrid w:val="0"/>
              <w:spacing w:line="360" w:lineRule="auto"/>
              <w:jc w:val="left"/>
              <w:rPr>
                <w:rFonts w:ascii="宋体" w:hAnsi="宋体" w:cs="宋体"/>
                <w:color w:val="333333"/>
                <w:szCs w:val="21"/>
              </w:rPr>
            </w:pPr>
            <w:r>
              <w:rPr>
                <w:rFonts w:hint="eastAsia" w:ascii="宋体" w:hAnsi="宋体" w:cs="宋体"/>
                <w:color w:val="333333"/>
                <w:szCs w:val="21"/>
              </w:rPr>
              <w:t>工作</w:t>
            </w:r>
            <w:r>
              <w:rPr>
                <w:rFonts w:ascii="宋体" w:hAnsi="宋体" w:cs="宋体"/>
                <w:color w:val="333333"/>
                <w:szCs w:val="21"/>
              </w:rPr>
              <w:t>内容：</w:t>
            </w:r>
            <w:r>
              <w:rPr>
                <w:rFonts w:hint="eastAsia" w:ascii="宋体" w:hAnsi="宋体" w:cs="宋体"/>
                <w:color w:val="333333"/>
                <w:szCs w:val="21"/>
                <w:lang w:val="en-US" w:eastAsia="zh-CN"/>
              </w:rPr>
              <w:t>大门施工人行通道搭设、外墙脚手架围网防护、拆除有掉落风险的所有GRC材料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投标人特定资格条件</w:t>
            </w:r>
          </w:p>
        </w:tc>
        <w:tc>
          <w:tcPr>
            <w:tcW w:w="4032" w:type="pct"/>
            <w:gridSpan w:val="2"/>
            <w:vAlign w:val="center"/>
          </w:tcPr>
          <w:p>
            <w:pPr>
              <w:spacing w:line="360" w:lineRule="auto"/>
              <w:rPr>
                <w:rFonts w:hint="eastAsia" w:ascii="宋体" w:hAnsi="宋体" w:eastAsia="宋体" w:cs="宋体"/>
                <w:color w:val="333333"/>
                <w:kern w:val="0"/>
                <w:szCs w:val="21"/>
                <w:lang w:eastAsia="zh-CN"/>
              </w:rPr>
            </w:pPr>
            <w:r>
              <w:rPr>
                <w:rFonts w:hint="eastAsia" w:ascii="宋体" w:hAnsi="宋体" w:cs="宋体"/>
                <w:color w:val="333333"/>
                <w:kern w:val="0"/>
                <w:szCs w:val="21"/>
              </w:rPr>
              <w:t>建筑施工工程总承包三级资质以上含三级</w:t>
            </w:r>
            <w:r>
              <w:rPr>
                <w:rFonts w:hint="eastAsia" w:ascii="宋体" w:hAnsi="宋体" w:cs="宋体"/>
                <w:color w:val="333333"/>
                <w:kern w:val="0"/>
                <w:szCs w:val="21"/>
                <w:lang w:eastAsia="zh-CN"/>
              </w:rPr>
              <w:t>或建筑装修装饰专业承包二级资质以上含二级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2" w:hRule="atLeast"/>
        </w:trPr>
        <w:tc>
          <w:tcPr>
            <w:tcW w:w="967" w:type="pct"/>
            <w:vAlign w:val="center"/>
          </w:tcPr>
          <w:p>
            <w:pPr>
              <w:spacing w:line="400" w:lineRule="exact"/>
              <w:outlineLvl w:val="2"/>
              <w:rPr>
                <w:rFonts w:ascii="宋体" w:hAnsi="宋体" w:eastAsia="方正仿宋_GBK" w:cs="宋体"/>
                <w:b/>
                <w:color w:val="333333"/>
                <w:kern w:val="0"/>
                <w:sz w:val="24"/>
              </w:rPr>
            </w:pPr>
            <w:r>
              <w:rPr>
                <w:rFonts w:hint="eastAsia" w:ascii="宋体" w:hAnsi="宋体" w:cs="宋体"/>
                <w:b/>
                <w:color w:val="333333"/>
                <w:kern w:val="0"/>
                <w:sz w:val="24"/>
              </w:rPr>
              <w:t>技术参数要求</w:t>
            </w:r>
            <w:r>
              <w:rPr>
                <w:rFonts w:hint="eastAsia" w:ascii="方正仿宋_GBK" w:hAnsi="宋体" w:eastAsia="方正仿宋_GBK"/>
                <w:sz w:val="24"/>
                <w:szCs w:val="28"/>
              </w:rPr>
              <w:t>（可设置“※”条款，“</w:t>
            </w:r>
            <w:r>
              <w:rPr>
                <w:rFonts w:hint="eastAsia" w:ascii="方正仿宋_GBK" w:hAnsi="宋体" w:eastAsia="方正仿宋_GBK" w:cs="宋体"/>
                <w:kern w:val="0"/>
                <w:szCs w:val="21"/>
              </w:rPr>
              <w:t>※</w:t>
            </w:r>
            <w:r>
              <w:rPr>
                <w:rFonts w:hint="eastAsia" w:ascii="方正仿宋_GBK" w:hAnsi="宋体" w:eastAsia="方正仿宋_GBK"/>
                <w:sz w:val="24"/>
                <w:szCs w:val="28"/>
              </w:rPr>
              <w:t>”标注的技术需求为符合性审查中的实质性要求，投标文件若不满足按无效投标处理）</w:t>
            </w:r>
          </w:p>
        </w:tc>
        <w:tc>
          <w:tcPr>
            <w:tcW w:w="4032" w:type="pct"/>
            <w:gridSpan w:val="2"/>
            <w:vAlign w:val="center"/>
          </w:tcPr>
          <w:p>
            <w:pPr>
              <w:snapToGrid w:val="0"/>
              <w:spacing w:line="360" w:lineRule="auto"/>
              <w:jc w:val="left"/>
              <w:rPr>
                <w:rFonts w:hint="default" w:ascii="宋体" w:hAnsi="宋体" w:eastAsia="宋体" w:cs="宋体"/>
                <w:color w:val="FF0000"/>
                <w:szCs w:val="21"/>
                <w:lang w:val="en-US" w:eastAsia="zh-CN"/>
              </w:rPr>
            </w:pPr>
            <w:r>
              <w:rPr>
                <w:rFonts w:hint="eastAsia" w:ascii="宋体" w:hAnsi="宋体" w:cs="宋体"/>
                <w:color w:val="auto"/>
                <w:szCs w:val="21"/>
                <w:lang w:val="en-US" w:eastAsia="zh-CN"/>
              </w:rPr>
              <w:t>见工程量清单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967"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专属试剂耗材</w:t>
            </w:r>
          </w:p>
          <w:p>
            <w:pPr>
              <w:widowControl/>
              <w:adjustRightInd w:val="0"/>
              <w:snapToGrid w:val="0"/>
              <w:jc w:val="center"/>
              <w:rPr>
                <w:rFonts w:ascii="宋体" w:hAnsi="宋体" w:cs="宋体"/>
                <w:b/>
                <w:color w:val="333333"/>
                <w:kern w:val="0"/>
                <w:sz w:val="24"/>
              </w:rPr>
            </w:pPr>
            <w:r>
              <w:rPr>
                <w:rFonts w:hint="eastAsia" w:ascii="方正仿宋_GBK" w:hAnsi="宋体" w:eastAsia="方正仿宋_GBK"/>
                <w:sz w:val="24"/>
                <w:szCs w:val="28"/>
              </w:rPr>
              <w:t>（适用于设备采购）</w:t>
            </w:r>
          </w:p>
        </w:tc>
        <w:tc>
          <w:tcPr>
            <w:tcW w:w="4032" w:type="pct"/>
            <w:gridSpan w:val="2"/>
            <w:vAlign w:val="center"/>
          </w:tcPr>
          <w:p>
            <w:pPr>
              <w:widowControl/>
              <w:adjustRightInd w:val="0"/>
              <w:snapToGrid w:val="0"/>
              <w:jc w:val="center"/>
              <w:rPr>
                <w:rFonts w:ascii="宋体" w:hAnsi="宋体" w:cs="宋体"/>
                <w:color w:val="FF0000"/>
                <w:kern w:val="0"/>
                <w:szCs w:val="21"/>
              </w:rPr>
            </w:pPr>
            <w:r>
              <w:rPr>
                <w:rFonts w:hint="eastAsia" w:ascii="宋体" w:hAnsi="宋体" w:cs="宋体"/>
                <w:kern w:val="0"/>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967" w:type="pct"/>
            <w:vMerge w:val="restar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商务要求</w:t>
            </w:r>
          </w:p>
          <w:p>
            <w:pPr>
              <w:snapToGrid w:val="0"/>
              <w:spacing w:line="400" w:lineRule="exact"/>
              <w:rPr>
                <w:rFonts w:ascii="方正仿宋_GBK" w:hAnsi="宋体" w:eastAsia="方正仿宋_GBK" w:cs="宋体"/>
                <w:kern w:val="0"/>
                <w:sz w:val="24"/>
              </w:rPr>
            </w:pPr>
            <w:r>
              <w:rPr>
                <w:rFonts w:hint="eastAsia" w:ascii="宋体" w:hAnsi="宋体" w:cs="宋体"/>
                <w:b/>
                <w:color w:val="333333"/>
                <w:kern w:val="0"/>
                <w:sz w:val="24"/>
              </w:rPr>
              <w:t>（</w:t>
            </w:r>
            <w:bookmarkStart w:id="0" w:name="_Toc267320049"/>
            <w:r>
              <w:rPr>
                <w:rFonts w:hint="eastAsia" w:ascii="方正仿宋_GBK" w:hAnsi="宋体" w:eastAsia="方正仿宋_GBK"/>
                <w:sz w:val="24"/>
                <w:szCs w:val="28"/>
              </w:rPr>
              <w:t>“</w:t>
            </w:r>
            <w:r>
              <w:rPr>
                <w:rFonts w:hint="eastAsia" w:ascii="方正仿宋_GBK" w:hAnsi="宋体" w:eastAsia="方正仿宋_GBK" w:cs="宋体"/>
                <w:kern w:val="0"/>
                <w:szCs w:val="21"/>
              </w:rPr>
              <w:t>※</w:t>
            </w:r>
            <w:r>
              <w:rPr>
                <w:rFonts w:hint="eastAsia" w:ascii="方正仿宋_GBK" w:hAnsi="宋体" w:eastAsia="方正仿宋_GBK"/>
                <w:sz w:val="24"/>
                <w:szCs w:val="28"/>
              </w:rPr>
              <w:t>”标注的商务需求为符合性审查中的实质性要求，投标文件若不满足按无效投标处理</w:t>
            </w:r>
          </w:p>
          <w:bookmarkEnd w:id="0"/>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w:t>
            </w: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交货期/服务期、交货地点/服务地点及验收方式</w:t>
            </w:r>
          </w:p>
        </w:tc>
        <w:tc>
          <w:tcPr>
            <w:tcW w:w="3191" w:type="pct"/>
            <w:vAlign w:val="center"/>
          </w:tcPr>
          <w:p>
            <w:pPr>
              <w:widowControl/>
              <w:adjustRightInd w:val="0"/>
              <w:snapToGrid w:val="0"/>
              <w:rPr>
                <w:rFonts w:hint="eastAsia" w:ascii="宋体" w:hAnsi="宋体" w:cs="宋体"/>
                <w:color w:val="333333"/>
                <w:kern w:val="0"/>
                <w:szCs w:val="21"/>
              </w:rPr>
            </w:pPr>
            <w:r>
              <w:rPr>
                <w:rFonts w:hint="eastAsia" w:ascii="宋体" w:hAnsi="宋体" w:cs="宋体"/>
                <w:color w:val="333333"/>
                <w:kern w:val="0"/>
                <w:szCs w:val="21"/>
              </w:rPr>
              <w:t>中标通知发出后，在</w:t>
            </w:r>
            <w:r>
              <w:rPr>
                <w:rFonts w:hint="eastAsia" w:ascii="宋体" w:hAnsi="宋体" w:cs="宋体"/>
                <w:color w:val="333333"/>
                <w:kern w:val="0"/>
                <w:szCs w:val="21"/>
                <w:lang w:val="en-US" w:eastAsia="zh-CN"/>
              </w:rPr>
              <w:t>2</w:t>
            </w:r>
            <w:r>
              <w:rPr>
                <w:rFonts w:ascii="宋体" w:hAnsi="宋体" w:cs="宋体"/>
                <w:color w:val="333333"/>
                <w:kern w:val="0"/>
                <w:szCs w:val="21"/>
              </w:rPr>
              <w:t>日历</w:t>
            </w:r>
            <w:r>
              <w:rPr>
                <w:rFonts w:hint="eastAsia" w:ascii="宋体" w:hAnsi="宋体" w:cs="宋体"/>
                <w:color w:val="333333"/>
                <w:kern w:val="0"/>
                <w:szCs w:val="21"/>
              </w:rPr>
              <w:t>天</w:t>
            </w:r>
            <w:r>
              <w:rPr>
                <w:rFonts w:ascii="宋体" w:hAnsi="宋体" w:cs="宋体"/>
                <w:color w:val="333333"/>
                <w:kern w:val="0"/>
                <w:szCs w:val="21"/>
              </w:rPr>
              <w:t>内完成</w:t>
            </w:r>
            <w:r>
              <w:rPr>
                <w:rFonts w:hint="eastAsia" w:ascii="宋体" w:hAnsi="宋体" w:cs="宋体"/>
                <w:color w:val="333333"/>
                <w:kern w:val="0"/>
                <w:szCs w:val="21"/>
              </w:rPr>
              <w:t>所有</w:t>
            </w:r>
            <w:r>
              <w:rPr>
                <w:rFonts w:hint="eastAsia" w:ascii="宋体" w:hAnsi="宋体" w:cs="宋体"/>
                <w:color w:val="333333"/>
                <w:kern w:val="0"/>
                <w:szCs w:val="21"/>
                <w:lang w:val="en-US" w:eastAsia="zh-CN"/>
              </w:rPr>
              <w:t>拆除更换</w:t>
            </w:r>
            <w:r>
              <w:rPr>
                <w:rFonts w:hint="eastAsia" w:ascii="宋体" w:hAnsi="宋体" w:cs="宋体"/>
                <w:color w:val="333333"/>
                <w:kern w:val="0"/>
                <w:szCs w:val="21"/>
              </w:rPr>
              <w:t>工程</w:t>
            </w:r>
            <w:r>
              <w:rPr>
                <w:rFonts w:ascii="宋体" w:hAnsi="宋体" w:cs="宋体"/>
                <w:color w:val="333333"/>
                <w:kern w:val="0"/>
                <w:szCs w:val="21"/>
              </w:rPr>
              <w:t>。</w:t>
            </w:r>
            <w:r>
              <w:rPr>
                <w:rFonts w:hint="eastAsia" w:ascii="宋体" w:hAnsi="宋体" w:cs="宋体"/>
                <w:color w:val="333333"/>
                <w:kern w:val="0"/>
                <w:szCs w:val="21"/>
              </w:rPr>
              <w:t>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报价要求</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lang w:val="en-US" w:eastAsia="zh-CN"/>
              </w:rPr>
              <w:t>本工程总价包干，参照工程量清单和进行报价，工程量清单仅作参考，</w:t>
            </w:r>
            <w:r>
              <w:rPr>
                <w:rFonts w:hint="eastAsia" w:ascii="宋体" w:hAnsi="宋体" w:cs="宋体"/>
                <w:color w:val="333333"/>
                <w:kern w:val="0"/>
                <w:szCs w:val="21"/>
              </w:rPr>
              <w:t>报价包括完成此项工程的所有费用。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质量保证及售后服务</w:t>
            </w:r>
          </w:p>
        </w:tc>
        <w:tc>
          <w:tcPr>
            <w:tcW w:w="3191" w:type="pct"/>
            <w:vAlign w:val="center"/>
          </w:tcPr>
          <w:p>
            <w:pPr>
              <w:widowControl/>
              <w:adjustRightInd w:val="0"/>
              <w:snapToGrid w:val="0"/>
              <w:jc w:val="left"/>
              <w:rPr>
                <w:rFonts w:hint="eastAsia" w:ascii="宋体" w:hAnsi="宋体" w:cs="宋体"/>
                <w:color w:val="333333"/>
                <w:kern w:val="0"/>
                <w:szCs w:val="21"/>
              </w:rPr>
            </w:pPr>
            <w:r>
              <w:rPr>
                <w:rFonts w:hint="eastAsia" w:ascii="宋体" w:hAnsi="宋体" w:cs="宋体"/>
                <w:color w:val="333333"/>
                <w:kern w:val="0"/>
                <w:szCs w:val="21"/>
              </w:rPr>
              <w:t>质保</w:t>
            </w:r>
            <w:r>
              <w:rPr>
                <w:rFonts w:ascii="宋体" w:hAnsi="宋体" w:cs="宋体"/>
                <w:color w:val="333333"/>
                <w:kern w:val="0"/>
                <w:szCs w:val="21"/>
              </w:rPr>
              <w:t>期</w:t>
            </w:r>
            <w:r>
              <w:rPr>
                <w:rFonts w:hint="eastAsia" w:ascii="宋体" w:hAnsi="宋体" w:cs="宋体"/>
                <w:color w:val="333333"/>
                <w:kern w:val="0"/>
                <w:szCs w:val="21"/>
                <w:lang w:val="en-US" w:eastAsia="zh-CN"/>
              </w:rPr>
              <w:t>2</w:t>
            </w:r>
            <w:r>
              <w:rPr>
                <w:rFonts w:hint="eastAsia" w:ascii="宋体" w:hAnsi="宋体" w:cs="宋体"/>
                <w:color w:val="333333"/>
                <w:kern w:val="0"/>
                <w:szCs w:val="21"/>
              </w:rPr>
              <w:t>年</w:t>
            </w:r>
            <w:r>
              <w:rPr>
                <w:rFonts w:ascii="宋体" w:hAnsi="宋体" w:cs="宋体"/>
                <w:color w:val="333333"/>
                <w:kern w:val="0"/>
                <w:szCs w:val="21"/>
              </w:rPr>
              <w:t>，质保金</w:t>
            </w:r>
            <w:r>
              <w:rPr>
                <w:rFonts w:hint="eastAsia" w:ascii="宋体" w:hAnsi="宋体" w:cs="宋体"/>
                <w:color w:val="333333"/>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结算与付款方式</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此工程无预付款，验收合格后，支付95%工程款。</w:t>
            </w:r>
          </w:p>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 xml:space="preserve">付款方式：银行转账。验收合格，支付合同总价的 </w:t>
            </w:r>
            <w:r>
              <w:rPr>
                <w:rFonts w:ascii="宋体" w:hAnsi="宋体" w:cs="宋体"/>
                <w:color w:val="333333"/>
                <w:kern w:val="0"/>
                <w:szCs w:val="21"/>
              </w:rPr>
              <w:t>95</w:t>
            </w:r>
            <w:r>
              <w:rPr>
                <w:rFonts w:hint="eastAsia" w:ascii="宋体" w:hAnsi="宋体" w:cs="宋体"/>
                <w:color w:val="333333"/>
                <w:kern w:val="0"/>
                <w:szCs w:val="21"/>
              </w:rPr>
              <w:t xml:space="preserve">%，其余的 </w:t>
            </w:r>
            <w:r>
              <w:rPr>
                <w:rFonts w:ascii="宋体" w:hAnsi="宋体" w:cs="宋体"/>
                <w:color w:val="333333"/>
                <w:kern w:val="0"/>
                <w:szCs w:val="21"/>
              </w:rPr>
              <w:t>5</w:t>
            </w:r>
            <w:r>
              <w:rPr>
                <w:rFonts w:hint="eastAsia" w:ascii="宋体" w:hAnsi="宋体" w:cs="宋体"/>
                <w:color w:val="333333"/>
                <w:kern w:val="0"/>
                <w:szCs w:val="21"/>
              </w:rPr>
              <w:t>%在质保期结束后无息支付。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知识产权</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培训要求</w:t>
            </w:r>
          </w:p>
        </w:tc>
        <w:tc>
          <w:tcPr>
            <w:tcW w:w="3191" w:type="pct"/>
            <w:vAlign w:val="center"/>
          </w:tcPr>
          <w:p>
            <w:pPr>
              <w:widowControl/>
              <w:adjustRightInd w:val="0"/>
              <w:snapToGrid w:val="0"/>
              <w:jc w:val="left"/>
              <w:rPr>
                <w:rFonts w:ascii="宋体" w:hAnsi="宋体" w:cs="宋体"/>
                <w:color w:val="333333"/>
                <w:kern w:val="0"/>
                <w:szCs w:val="21"/>
              </w:rPr>
            </w:pPr>
            <w:r>
              <w:rPr>
                <w:rFonts w:hint="eastAsia" w:ascii="宋体" w:hAnsi="宋体" w:cs="宋体"/>
                <w:color w:val="333333"/>
                <w:kern w:val="0"/>
                <w:szCs w:val="21"/>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附件、图纸及包装要求</w:t>
            </w:r>
          </w:p>
        </w:tc>
        <w:tc>
          <w:tcPr>
            <w:tcW w:w="3191" w:type="pct"/>
            <w:vAlign w:val="center"/>
          </w:tcPr>
          <w:p>
            <w:pPr>
              <w:widowControl/>
              <w:adjustRightInd w:val="0"/>
              <w:snapToGrid w:val="0"/>
              <w:jc w:val="left"/>
              <w:rPr>
                <w:rFonts w:hint="default" w:ascii="宋体" w:hAnsi="宋体" w:eastAsia="宋体" w:cs="宋体"/>
                <w:color w:val="333333"/>
                <w:kern w:val="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7" w:type="pct"/>
            <w:vMerge w:val="continue"/>
            <w:vAlign w:val="center"/>
          </w:tcPr>
          <w:p>
            <w:pPr>
              <w:widowControl/>
              <w:adjustRightInd w:val="0"/>
              <w:snapToGrid w:val="0"/>
              <w:jc w:val="center"/>
              <w:rPr>
                <w:rFonts w:ascii="宋体" w:hAnsi="宋体" w:cs="宋体"/>
                <w:b/>
                <w:color w:val="333333"/>
                <w:kern w:val="0"/>
                <w:sz w:val="24"/>
              </w:rPr>
            </w:pPr>
          </w:p>
        </w:tc>
        <w:tc>
          <w:tcPr>
            <w:tcW w:w="841" w:type="pct"/>
            <w:vAlign w:val="center"/>
          </w:tcPr>
          <w:p>
            <w:pPr>
              <w:widowControl/>
              <w:adjustRightInd w:val="0"/>
              <w:snapToGrid w:val="0"/>
              <w:jc w:val="center"/>
              <w:rPr>
                <w:rFonts w:ascii="宋体" w:hAnsi="宋体" w:cs="宋体"/>
                <w:b/>
                <w:bCs/>
                <w:color w:val="333333"/>
                <w:kern w:val="0"/>
                <w:sz w:val="24"/>
              </w:rPr>
            </w:pPr>
            <w:r>
              <w:rPr>
                <w:rFonts w:hint="eastAsia" w:ascii="宋体" w:hAnsi="宋体" w:cs="宋体"/>
                <w:b/>
                <w:bCs/>
                <w:color w:val="333333"/>
                <w:kern w:val="0"/>
                <w:sz w:val="24"/>
              </w:rPr>
              <w:t>其他商务要求</w:t>
            </w:r>
          </w:p>
        </w:tc>
        <w:tc>
          <w:tcPr>
            <w:tcW w:w="3191" w:type="pct"/>
            <w:vAlign w:val="center"/>
          </w:tcPr>
          <w:p>
            <w:pPr>
              <w:widowControl/>
              <w:adjustRightInd w:val="0"/>
              <w:snapToGrid w:val="0"/>
              <w:jc w:val="center"/>
              <w:rPr>
                <w:rFonts w:ascii="宋体" w:hAnsi="宋体" w:cs="宋体"/>
                <w:color w:val="333333"/>
                <w:kern w:val="0"/>
                <w:szCs w:val="21"/>
              </w:rPr>
            </w:pPr>
          </w:p>
        </w:tc>
      </w:tr>
    </w:tbl>
    <w:p>
      <w:pPr>
        <w:widowControl/>
        <w:adjustRightInd w:val="0"/>
        <w:snapToGrid w:val="0"/>
        <w:spacing w:after="200" w:line="220" w:lineRule="atLeast"/>
        <w:jc w:val="left"/>
        <w:rPr>
          <w:sz w:val="28"/>
          <w:szCs w:val="28"/>
        </w:rPr>
      </w:pPr>
    </w:p>
    <w:p>
      <w:pPr>
        <w:rPr>
          <w:rFonts w:hint="eastAsia"/>
        </w:rPr>
      </w:pPr>
    </w:p>
    <w:p>
      <w:pPr>
        <w:jc w:val="center"/>
        <w:rPr>
          <w:rFonts w:hint="eastAsia"/>
          <w:lang w:val="en-US" w:eastAsia="zh-CN"/>
        </w:rPr>
      </w:pPr>
      <w:r>
        <w:rPr>
          <w:rFonts w:hint="eastAsia"/>
          <w:sz w:val="28"/>
          <w:szCs w:val="28"/>
          <w:lang w:val="en-US" w:eastAsia="zh-CN"/>
        </w:rPr>
        <w:t>工程量清单</w:t>
      </w:r>
    </w:p>
    <w:tbl>
      <w:tblPr>
        <w:tblW w:w="904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698"/>
        <w:gridCol w:w="1780"/>
        <w:gridCol w:w="1077"/>
        <w:gridCol w:w="1018"/>
        <w:gridCol w:w="1300"/>
        <w:gridCol w:w="1564"/>
        <w:gridCol w:w="16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30" w:hRule="atLeast"/>
        </w:trPr>
        <w:tc>
          <w:tcPr>
            <w:tcW w:w="9046" w:type="dxa"/>
            <w:gridSpan w:val="7"/>
            <w:tcBorders>
              <w:top w:val="single" w:color="000000" w:sz="8" w:space="0"/>
              <w:left w:val="single" w:color="000000" w:sz="8" w:space="0"/>
              <w:bottom w:val="single" w:color="000000" w:sz="8" w:space="0"/>
              <w:right w:val="single" w:color="000000" w:sz="8" w:space="0"/>
            </w:tcBorders>
            <w:shd w:val="clear"/>
            <w:noWrap/>
            <w:vAlign w:val="center"/>
          </w:tcPr>
          <w:p>
            <w:pPr>
              <w:keepNext w:val="0"/>
              <w:keepLines w:val="0"/>
              <w:widowControl/>
              <w:suppressLineNumbers w:val="0"/>
              <w:jc w:val="center"/>
              <w:textAlignment w:val="center"/>
              <w:rPr>
                <w:rFonts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渝中院区2号楼GRC脱落排危处理费用概算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55" w:hRule="atLeast"/>
        </w:trPr>
        <w:tc>
          <w:tcPr>
            <w:tcW w:w="698" w:type="dxa"/>
            <w:tcBorders>
              <w:top w:val="nil"/>
              <w:left w:val="single" w:color="000000" w:sz="8" w:space="0"/>
              <w:bottom w:val="single" w:color="000000" w:sz="8" w:space="0"/>
              <w:right w:val="single" w:color="000000" w:sz="8" w:space="0"/>
            </w:tcBorders>
            <w:shd w:val="clear"/>
            <w:noWrap/>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序号</w:t>
            </w:r>
          </w:p>
        </w:tc>
        <w:tc>
          <w:tcPr>
            <w:tcW w:w="1780" w:type="dxa"/>
            <w:tcBorders>
              <w:top w:val="single" w:color="000000" w:sz="8" w:space="0"/>
              <w:left w:val="nil"/>
              <w:bottom w:val="single" w:color="000000" w:sz="8" w:space="0"/>
              <w:right w:val="single" w:color="000000" w:sz="8" w:space="0"/>
            </w:tcBorders>
            <w:shd w:val="clear"/>
            <w:noWrap/>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项目名称</w:t>
            </w:r>
          </w:p>
        </w:tc>
        <w:tc>
          <w:tcPr>
            <w:tcW w:w="1077" w:type="dxa"/>
            <w:tcBorders>
              <w:top w:val="single" w:color="000000" w:sz="8" w:space="0"/>
              <w:left w:val="nil"/>
              <w:bottom w:val="single" w:color="000000" w:sz="8" w:space="0"/>
              <w:right w:val="single" w:color="000000" w:sz="8" w:space="0"/>
            </w:tcBorders>
            <w:shd w:val="clear"/>
            <w:noWrap/>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单位</w:t>
            </w:r>
          </w:p>
        </w:tc>
        <w:tc>
          <w:tcPr>
            <w:tcW w:w="1018" w:type="dxa"/>
            <w:tcBorders>
              <w:top w:val="single" w:color="000000" w:sz="8" w:space="0"/>
              <w:left w:val="nil"/>
              <w:bottom w:val="single" w:color="000000" w:sz="8" w:space="0"/>
              <w:right w:val="single" w:color="000000" w:sz="8" w:space="0"/>
            </w:tcBorders>
            <w:shd w:val="clear"/>
            <w:noWrap/>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数量</w:t>
            </w:r>
          </w:p>
        </w:tc>
        <w:tc>
          <w:tcPr>
            <w:tcW w:w="1300" w:type="dxa"/>
            <w:tcBorders>
              <w:top w:val="single" w:color="000000" w:sz="8" w:space="0"/>
              <w:left w:val="nil"/>
              <w:bottom w:val="single" w:color="000000" w:sz="8" w:space="0"/>
              <w:right w:val="single" w:color="000000" w:sz="8" w:space="0"/>
            </w:tcBorders>
            <w:shd w:val="clear"/>
            <w:noWrap/>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综合单价</w:t>
            </w:r>
          </w:p>
        </w:tc>
        <w:tc>
          <w:tcPr>
            <w:tcW w:w="1564" w:type="dxa"/>
            <w:tcBorders>
              <w:top w:val="single" w:color="000000" w:sz="8" w:space="0"/>
              <w:left w:val="nil"/>
              <w:bottom w:val="single" w:color="000000" w:sz="8" w:space="0"/>
              <w:right w:val="single" w:color="000000" w:sz="8" w:space="0"/>
            </w:tcBorders>
            <w:shd w:val="clear"/>
            <w:noWrap/>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合计（元）</w:t>
            </w:r>
          </w:p>
        </w:tc>
        <w:tc>
          <w:tcPr>
            <w:tcW w:w="1609" w:type="dxa"/>
            <w:tcBorders>
              <w:top w:val="single" w:color="000000" w:sz="8" w:space="0"/>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材料说明及施工工艺描述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55" w:hRule="atLeast"/>
        </w:trPr>
        <w:tc>
          <w:tcPr>
            <w:tcW w:w="698" w:type="dxa"/>
            <w:tcBorders>
              <w:top w:val="nil"/>
              <w:left w:val="single" w:color="000000" w:sz="8" w:space="0"/>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1</w:t>
            </w:r>
          </w:p>
        </w:tc>
        <w:tc>
          <w:tcPr>
            <w:tcW w:w="1780"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大门施工人行通道搭设</w:t>
            </w:r>
          </w:p>
        </w:tc>
        <w:tc>
          <w:tcPr>
            <w:tcW w:w="1077"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项</w:t>
            </w:r>
          </w:p>
        </w:tc>
        <w:tc>
          <w:tcPr>
            <w:tcW w:w="1018"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1</w:t>
            </w:r>
          </w:p>
        </w:tc>
        <w:tc>
          <w:tcPr>
            <w:tcW w:w="1300"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p>
        </w:tc>
        <w:tc>
          <w:tcPr>
            <w:tcW w:w="1564"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p>
        </w:tc>
        <w:tc>
          <w:tcPr>
            <w:tcW w:w="1609"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安全措施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55" w:hRule="atLeast"/>
        </w:trPr>
        <w:tc>
          <w:tcPr>
            <w:tcW w:w="698" w:type="dxa"/>
            <w:tcBorders>
              <w:top w:val="nil"/>
              <w:left w:val="single" w:color="000000" w:sz="8" w:space="0"/>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2</w:t>
            </w:r>
          </w:p>
        </w:tc>
        <w:tc>
          <w:tcPr>
            <w:tcW w:w="1780"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外墙脚手架围网防护</w:t>
            </w:r>
          </w:p>
        </w:tc>
        <w:tc>
          <w:tcPr>
            <w:tcW w:w="1077"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平方</w:t>
            </w:r>
          </w:p>
        </w:tc>
        <w:tc>
          <w:tcPr>
            <w:tcW w:w="1018"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50</w:t>
            </w:r>
          </w:p>
        </w:tc>
        <w:tc>
          <w:tcPr>
            <w:tcW w:w="1300"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p>
        </w:tc>
        <w:tc>
          <w:tcPr>
            <w:tcW w:w="1564"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p>
        </w:tc>
        <w:tc>
          <w:tcPr>
            <w:tcW w:w="1609"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安全措施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5" w:hRule="atLeast"/>
        </w:trPr>
        <w:tc>
          <w:tcPr>
            <w:tcW w:w="698" w:type="dxa"/>
            <w:tcBorders>
              <w:top w:val="nil"/>
              <w:left w:val="single" w:color="000000" w:sz="8" w:space="0"/>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3</w:t>
            </w:r>
          </w:p>
        </w:tc>
        <w:tc>
          <w:tcPr>
            <w:tcW w:w="1780"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蜘蛛人拆除</w:t>
            </w:r>
          </w:p>
        </w:tc>
        <w:tc>
          <w:tcPr>
            <w:tcW w:w="1077"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米</w:t>
            </w:r>
          </w:p>
        </w:tc>
        <w:tc>
          <w:tcPr>
            <w:tcW w:w="1018"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65</w:t>
            </w:r>
          </w:p>
        </w:tc>
        <w:tc>
          <w:tcPr>
            <w:tcW w:w="1300"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p>
        </w:tc>
        <w:tc>
          <w:tcPr>
            <w:tcW w:w="1564"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p>
        </w:tc>
        <w:tc>
          <w:tcPr>
            <w:tcW w:w="1609" w:type="dxa"/>
            <w:tcBorders>
              <w:top w:val="nil"/>
              <w:left w:val="nil"/>
              <w:bottom w:val="single" w:color="000000" w:sz="8" w:space="0"/>
              <w:right w:val="single" w:color="000000" w:sz="8" w:space="0"/>
            </w:tcBorders>
            <w:shd w:val="clear"/>
            <w:noWrap/>
            <w:vAlign w:val="center"/>
          </w:tcPr>
          <w:p>
            <w:pPr>
              <w:jc w:val="both"/>
              <w:rPr>
                <w:rFonts w:hint="eastAsia"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15" w:hRule="atLeast"/>
        </w:trPr>
        <w:tc>
          <w:tcPr>
            <w:tcW w:w="698" w:type="dxa"/>
            <w:tcBorders>
              <w:top w:val="nil"/>
              <w:left w:val="single" w:color="000000" w:sz="8" w:space="0"/>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4</w:t>
            </w:r>
          </w:p>
        </w:tc>
        <w:tc>
          <w:tcPr>
            <w:tcW w:w="1780"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出渣外运</w:t>
            </w:r>
          </w:p>
        </w:tc>
        <w:tc>
          <w:tcPr>
            <w:tcW w:w="1077"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立方</w:t>
            </w:r>
          </w:p>
        </w:tc>
        <w:tc>
          <w:tcPr>
            <w:tcW w:w="1018"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bdr w:val="none" w:color="auto" w:sz="0" w:space="0"/>
                <w:lang w:val="en-US" w:eastAsia="zh-CN" w:bidi="ar"/>
              </w:rPr>
              <w:t>3</w:t>
            </w:r>
          </w:p>
        </w:tc>
        <w:tc>
          <w:tcPr>
            <w:tcW w:w="1300"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p>
        </w:tc>
        <w:tc>
          <w:tcPr>
            <w:tcW w:w="1564"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p>
        </w:tc>
        <w:tc>
          <w:tcPr>
            <w:tcW w:w="1609" w:type="dxa"/>
            <w:tcBorders>
              <w:top w:val="nil"/>
              <w:left w:val="nil"/>
              <w:bottom w:val="single" w:color="000000" w:sz="8" w:space="0"/>
              <w:right w:val="single" w:color="000000" w:sz="8" w:space="0"/>
            </w:tcBorders>
            <w:shd w:val="clear"/>
            <w:noWrap/>
            <w:vAlign w:val="center"/>
          </w:tcPr>
          <w:p>
            <w:pPr>
              <w:jc w:val="both"/>
              <w:rPr>
                <w:rFonts w:hint="eastAsia" w:ascii="等线" w:hAnsi="等线" w:eastAsia="等线" w:cs="等线"/>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15" w:hRule="atLeast"/>
        </w:trPr>
        <w:tc>
          <w:tcPr>
            <w:tcW w:w="698" w:type="dxa"/>
            <w:tcBorders>
              <w:top w:val="nil"/>
              <w:left w:val="single" w:color="000000" w:sz="8" w:space="0"/>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6</w:t>
            </w:r>
          </w:p>
        </w:tc>
        <w:tc>
          <w:tcPr>
            <w:tcW w:w="1780" w:type="dxa"/>
            <w:tcBorders>
              <w:top w:val="nil"/>
              <w:left w:val="nil"/>
              <w:bottom w:val="single" w:color="000000" w:sz="8" w:space="0"/>
              <w:right w:val="single" w:color="000000" w:sz="8" w:space="0"/>
            </w:tcBorders>
            <w:shd w:val="clear"/>
            <w:vAlign w:val="center"/>
          </w:tcPr>
          <w:p>
            <w:pPr>
              <w:keepNext w:val="0"/>
              <w:keepLines w:val="0"/>
              <w:widowControl/>
              <w:suppressLineNumbers w:val="0"/>
              <w:jc w:val="left"/>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合计</w:t>
            </w:r>
          </w:p>
        </w:tc>
        <w:tc>
          <w:tcPr>
            <w:tcW w:w="1077" w:type="dxa"/>
            <w:tcBorders>
              <w:top w:val="nil"/>
              <w:left w:val="nil"/>
              <w:bottom w:val="single" w:color="000000" w:sz="8" w:space="0"/>
              <w:right w:val="single" w:color="000000" w:sz="8" w:space="0"/>
            </w:tcBorders>
            <w:shd w:val="clear"/>
            <w:noWrap/>
            <w:vAlign w:val="center"/>
          </w:tcPr>
          <w:p>
            <w:pPr>
              <w:jc w:val="both"/>
              <w:rPr>
                <w:rFonts w:hint="eastAsia" w:ascii="等线" w:hAnsi="等线" w:eastAsia="等线" w:cs="等线"/>
                <w:i w:val="0"/>
                <w:iCs w:val="0"/>
                <w:color w:val="000000"/>
                <w:sz w:val="22"/>
                <w:szCs w:val="22"/>
                <w:u w:val="none"/>
              </w:rPr>
            </w:pPr>
          </w:p>
        </w:tc>
        <w:tc>
          <w:tcPr>
            <w:tcW w:w="1018" w:type="dxa"/>
            <w:tcBorders>
              <w:top w:val="nil"/>
              <w:left w:val="nil"/>
              <w:bottom w:val="single" w:color="000000" w:sz="8" w:space="0"/>
              <w:right w:val="single" w:color="000000" w:sz="8" w:space="0"/>
            </w:tcBorders>
            <w:shd w:val="clear"/>
            <w:noWrap/>
            <w:vAlign w:val="center"/>
          </w:tcPr>
          <w:p>
            <w:pPr>
              <w:jc w:val="both"/>
              <w:rPr>
                <w:rFonts w:hint="eastAsia" w:ascii="等线" w:hAnsi="等线" w:eastAsia="等线" w:cs="等线"/>
                <w:i w:val="0"/>
                <w:iCs w:val="0"/>
                <w:color w:val="000000"/>
                <w:sz w:val="22"/>
                <w:szCs w:val="22"/>
                <w:u w:val="none"/>
              </w:rPr>
            </w:pPr>
          </w:p>
        </w:tc>
        <w:tc>
          <w:tcPr>
            <w:tcW w:w="1300" w:type="dxa"/>
            <w:tcBorders>
              <w:top w:val="nil"/>
              <w:left w:val="nil"/>
              <w:bottom w:val="single" w:color="000000" w:sz="8" w:space="0"/>
              <w:right w:val="single" w:color="000000" w:sz="8" w:space="0"/>
            </w:tcBorders>
            <w:shd w:val="clear"/>
            <w:noWrap/>
            <w:vAlign w:val="center"/>
          </w:tcPr>
          <w:p>
            <w:pPr>
              <w:jc w:val="both"/>
              <w:rPr>
                <w:rFonts w:hint="eastAsia" w:ascii="等线" w:hAnsi="等线" w:eastAsia="等线" w:cs="等线"/>
                <w:i w:val="0"/>
                <w:iCs w:val="0"/>
                <w:color w:val="000000"/>
                <w:sz w:val="22"/>
                <w:szCs w:val="22"/>
                <w:u w:val="none"/>
              </w:rPr>
            </w:pPr>
          </w:p>
        </w:tc>
        <w:tc>
          <w:tcPr>
            <w:tcW w:w="1564" w:type="dxa"/>
            <w:tcBorders>
              <w:top w:val="nil"/>
              <w:left w:val="nil"/>
              <w:bottom w:val="single" w:color="000000" w:sz="8" w:space="0"/>
              <w:right w:val="single" w:color="000000" w:sz="8" w:space="0"/>
            </w:tcBorders>
            <w:shd w:val="clear"/>
            <w:noWrap/>
            <w:vAlign w:val="center"/>
          </w:tcPr>
          <w:p>
            <w:pPr>
              <w:keepNext w:val="0"/>
              <w:keepLines w:val="0"/>
              <w:widowControl/>
              <w:suppressLineNumbers w:val="0"/>
              <w:jc w:val="right"/>
              <w:textAlignment w:val="center"/>
              <w:rPr>
                <w:rFonts w:hint="eastAsia" w:ascii="等线" w:hAnsi="等线" w:eastAsia="等线" w:cs="等线"/>
                <w:i w:val="0"/>
                <w:iCs w:val="0"/>
                <w:color w:val="000000"/>
                <w:sz w:val="22"/>
                <w:szCs w:val="22"/>
                <w:u w:val="none"/>
              </w:rPr>
            </w:pPr>
          </w:p>
        </w:tc>
        <w:tc>
          <w:tcPr>
            <w:tcW w:w="1609" w:type="dxa"/>
            <w:tcBorders>
              <w:top w:val="nil"/>
              <w:left w:val="nil"/>
              <w:bottom w:val="single" w:color="000000" w:sz="8" w:space="0"/>
              <w:right w:val="single" w:color="000000" w:sz="8" w:space="0"/>
            </w:tcBorders>
            <w:shd w:val="clear"/>
            <w:noWrap/>
            <w:vAlign w:val="center"/>
          </w:tcPr>
          <w:p>
            <w:pPr>
              <w:jc w:val="both"/>
              <w:rPr>
                <w:rFonts w:hint="eastAsia" w:ascii="等线" w:hAnsi="等线" w:eastAsia="等线" w:cs="等线"/>
                <w:i w:val="0"/>
                <w:iCs w:val="0"/>
                <w:color w:val="000000"/>
                <w:sz w:val="22"/>
                <w:szCs w:val="22"/>
                <w:u w:val="none"/>
              </w:rPr>
            </w:pPr>
          </w:p>
        </w:tc>
      </w:tr>
    </w:tbl>
    <w:p>
      <w:pPr>
        <w:rPr>
          <w:rFonts w:hint="default"/>
          <w:lang w:val="en-US" w:eastAsia="zh-CN"/>
        </w:rPr>
      </w:pPr>
    </w:p>
    <w:sectPr>
      <w:pgSz w:w="11906" w:h="16838"/>
      <w:pgMar w:top="1440" w:right="1417" w:bottom="1440"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仿宋_GBK">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wMGY5YzY0ZjE4ZWE0MjBhZWVlMDY2NWIzNTQyNmQifQ=="/>
  </w:docVars>
  <w:rsids>
    <w:rsidRoot w:val="39E91D5E"/>
    <w:rsid w:val="004E59AA"/>
    <w:rsid w:val="00595BF6"/>
    <w:rsid w:val="00995389"/>
    <w:rsid w:val="00BF24D8"/>
    <w:rsid w:val="12E77A5E"/>
    <w:rsid w:val="147406BE"/>
    <w:rsid w:val="14B67481"/>
    <w:rsid w:val="2AB2555F"/>
    <w:rsid w:val="2CCA541D"/>
    <w:rsid w:val="34DE1925"/>
    <w:rsid w:val="39E91D5E"/>
    <w:rsid w:val="3A05719C"/>
    <w:rsid w:val="3B073F01"/>
    <w:rsid w:val="408267A3"/>
    <w:rsid w:val="4692667A"/>
    <w:rsid w:val="4887645F"/>
    <w:rsid w:val="5A1C7FC1"/>
    <w:rsid w:val="60A1512A"/>
    <w:rsid w:val="641E0B3E"/>
    <w:rsid w:val="65CD112B"/>
    <w:rsid w:val="65D021F2"/>
    <w:rsid w:val="695852D7"/>
    <w:rsid w:val="6C847275"/>
    <w:rsid w:val="767E0735"/>
    <w:rsid w:val="7FA070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3">
    <w:name w:val="Plain Text"/>
    <w:basedOn w:val="1"/>
    <w:qFormat/>
    <w:uiPriority w:val="0"/>
    <w:rPr>
      <w:rFonts w:ascii="宋体" w:hAnsi="Courier New" w:eastAsia="仿宋_GB2312"/>
      <w:kern w:val="28"/>
      <w:sz w:val="28"/>
    </w:rPr>
  </w:style>
  <w:style w:type="paragraph" w:styleId="4">
    <w:name w:val="footer"/>
    <w:basedOn w:val="1"/>
    <w:qFormat/>
    <w:uiPriority w:val="0"/>
    <w:pPr>
      <w:tabs>
        <w:tab w:val="center" w:pos="4153"/>
        <w:tab w:val="right" w:pos="8306"/>
      </w:tabs>
      <w:snapToGrid w:val="0"/>
      <w:jc w:val="left"/>
    </w:pPr>
    <w:rPr>
      <w:sz w:val="18"/>
    </w:rPr>
  </w:style>
  <w:style w:type="table" w:styleId="6">
    <w:name w:val="Table Grid"/>
    <w:basedOn w:val="5"/>
    <w:qFormat/>
    <w:uiPriority w:val="59"/>
    <w:pPr>
      <w:widowControl w:val="0"/>
      <w:jc w:val="both"/>
    </w:pPr>
    <w:rPr>
      <w:rFonts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page number"/>
    <w:basedOn w:val="7"/>
    <w:qFormat/>
    <w:uiPriority w:val="0"/>
  </w:style>
  <w:style w:type="paragraph" w:customStyle="1" w:styleId="9">
    <w:name w:val="段"/>
    <w:basedOn w:val="1"/>
    <w:semiHidden/>
    <w:qFormat/>
    <w:uiPriority w:val="0"/>
    <w:pPr>
      <w:autoSpaceDE w:val="0"/>
      <w:autoSpaceDN w:val="0"/>
      <w:ind w:firstLine="420" w:firstLineChars="200"/>
    </w:pPr>
    <w:rPr>
      <w:rFonts w:ascii="宋体"/>
      <w:kern w:val="0"/>
      <w:szCs w:val="21"/>
    </w:rPr>
  </w:style>
  <w:style w:type="paragraph" w:styleId="10">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11">
    <w:name w:val="font21"/>
    <w:basedOn w:val="7"/>
    <w:qFormat/>
    <w:uiPriority w:val="0"/>
    <w:rPr>
      <w:rFonts w:hint="eastAsia" w:ascii="宋体" w:hAnsi="宋体" w:eastAsia="宋体" w:cs="宋体"/>
      <w:color w:val="000000"/>
      <w:sz w:val="24"/>
      <w:szCs w:val="24"/>
      <w:u w:val="none"/>
    </w:rPr>
  </w:style>
  <w:style w:type="character" w:customStyle="1" w:styleId="12">
    <w:name w:val="font11"/>
    <w:basedOn w:val="7"/>
    <w:qFormat/>
    <w:uiPriority w:val="0"/>
    <w:rPr>
      <w:rFonts w:hint="eastAsia" w:ascii="宋体" w:hAnsi="宋体" w:eastAsia="宋体" w:cs="宋体"/>
      <w:color w:val="000000"/>
      <w:sz w:val="22"/>
      <w:szCs w:val="22"/>
      <w:u w:val="none"/>
    </w:rPr>
  </w:style>
  <w:style w:type="character" w:customStyle="1" w:styleId="13">
    <w:name w:val="font41"/>
    <w:basedOn w:val="7"/>
    <w:qFormat/>
    <w:uiPriority w:val="0"/>
    <w:rPr>
      <w:rFonts w:hint="default" w:ascii="Calibri" w:hAnsi="Calibri" w:cs="Calibri"/>
      <w:color w:val="000000"/>
      <w:sz w:val="22"/>
      <w:szCs w:val="22"/>
      <w:u w:val="none"/>
    </w:rPr>
  </w:style>
  <w:style w:type="character" w:customStyle="1" w:styleId="14">
    <w:name w:val="font01"/>
    <w:basedOn w:val="7"/>
    <w:qFormat/>
    <w:uiPriority w:val="0"/>
    <w:rPr>
      <w:rFonts w:hint="eastAsia" w:ascii="黑体" w:hAnsi="宋体" w:eastAsia="黑体" w:cs="黑体"/>
      <w:color w:val="000000"/>
      <w:sz w:val="22"/>
      <w:szCs w:val="22"/>
      <w:u w:val="none"/>
    </w:rPr>
  </w:style>
  <w:style w:type="character" w:customStyle="1" w:styleId="15">
    <w:name w:val="font31"/>
    <w:basedOn w:val="7"/>
    <w:qFormat/>
    <w:uiPriority w:val="0"/>
    <w:rPr>
      <w:rFonts w:hint="eastAsia" w:ascii="黑体" w:hAnsi="宋体" w:eastAsia="黑体" w:cs="黑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1316</Words>
  <Characters>1407</Characters>
  <Lines>12</Lines>
  <Paragraphs>3</Paragraphs>
  <TotalTime>2</TotalTime>
  <ScaleCrop>false</ScaleCrop>
  <LinksUpToDate>false</LinksUpToDate>
  <CharactersWithSpaces>1413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2022-01-11T03:48:00Z</dcterms:created>
  <dc:creator>付敏</dc:creator>
  <cp:lastModifiedBy>道法自然</cp:lastModifiedBy>
  <dcterms:modified xsi:type="dcterms:W3CDTF">2023-06-03T08:54:43Z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DC2B1ABF688B41D19327936B45D80816</vt:lpwstr>
  </property>
</Properties>
</file>