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default" w:ascii="宋体" w:hAnsi="宋体" w:eastAsia="宋体" w:cs="宋体"/>
                <w:color w:val="000000"/>
                <w:sz w:val="20"/>
                <w:szCs w:val="20"/>
                <w:lang w:val="en-US" w:eastAsia="zh-CN"/>
              </w:rPr>
              <w:t>260</w:t>
            </w:r>
            <w:r>
              <w:rPr>
                <w:rFonts w:hint="eastAsia" w:ascii="宋体" w:hAnsi="宋体" w:cs="宋体"/>
                <w:color w:val="000000"/>
                <w:sz w:val="20"/>
                <w:szCs w:val="20"/>
                <w:lang w:val="en-US" w:eastAsia="zh-CN"/>
              </w:rPr>
              <w:t>7L003</w:t>
            </w:r>
          </w:p>
        </w:tc>
        <w:tc>
          <w:tcPr>
            <w:tcW w:w="1610" w:type="dxa"/>
            <w:vAlign w:val="center"/>
          </w:tcPr>
          <w:p>
            <w:pPr>
              <w:keepNext w:val="0"/>
              <w:keepLines w:val="0"/>
              <w:widowControl/>
              <w:suppressLineNumbers w:val="0"/>
              <w:jc w:val="both"/>
              <w:textAlignment w:val="cente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神经监护气管插管</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肿瘤外科</w:t>
            </w:r>
          </w:p>
        </w:tc>
        <w:tc>
          <w:tcPr>
            <w:tcW w:w="3111" w:type="dxa"/>
            <w:vAlign w:val="center"/>
          </w:tcPr>
          <w:p>
            <w:pPr>
              <w:numPr>
                <w:ilvl w:val="0"/>
                <w:numId w:val="2"/>
              </w:numPr>
              <w:ind w:leftChars="0"/>
              <w:rPr>
                <w:rFonts w:hint="eastAsia"/>
                <w:lang w:val="en-US" w:eastAsia="zh-CN"/>
              </w:rPr>
            </w:pPr>
            <w:r>
              <w:rPr>
                <w:rFonts w:hint="eastAsia"/>
                <w:lang w:val="en-US" w:eastAsia="zh-CN"/>
              </w:rPr>
              <w:t>该产品与兼容的神经监护仪配合使用，术中提供通气气道并监测喉内肌肉，神经活动。</w:t>
            </w:r>
          </w:p>
          <w:p>
            <w:pPr>
              <w:pStyle w:val="2"/>
              <w:numPr>
                <w:ilvl w:val="0"/>
                <w:numId w:val="2"/>
              </w:numPr>
              <w:rPr>
                <w:rFonts w:hint="eastAsia"/>
                <w:lang w:val="en-US" w:eastAsia="zh-CN"/>
              </w:rPr>
            </w:pPr>
            <w:r>
              <w:rPr>
                <w:rFonts w:hint="eastAsia"/>
                <w:lang w:val="en-US" w:eastAsia="zh-CN"/>
              </w:rPr>
              <w:t>该产品神经监护气管插管、绿色皮下针、白色皮下针组成。</w:t>
            </w:r>
          </w:p>
          <w:p>
            <w:pPr>
              <w:numPr>
                <w:ilvl w:val="0"/>
                <w:numId w:val="2"/>
              </w:numPr>
              <w:ind w:left="0" w:leftChars="0" w:firstLine="0" w:firstLineChars="0"/>
              <w:rPr>
                <w:rFonts w:hint="eastAsia"/>
                <w:lang w:val="en-US" w:eastAsia="zh-CN"/>
              </w:rPr>
            </w:pPr>
            <w:r>
              <w:rPr>
                <w:rFonts w:hint="eastAsia"/>
                <w:lang w:val="en-US" w:eastAsia="zh-CN"/>
              </w:rPr>
              <w:t>电极为加宽柔性油墨电极，电阻小，神经监测信号受插管旋转影响小，导管和气囊采用PVC材质+硅胶涂层，平滑表面以顺从病人气管的形状，减少对组织的创伤。</w:t>
            </w:r>
          </w:p>
          <w:p>
            <w:pPr>
              <w:pStyle w:val="2"/>
              <w:numPr>
                <w:ilvl w:val="0"/>
                <w:numId w:val="2"/>
              </w:numPr>
              <w:ind w:left="0" w:leftChars="0" w:firstLine="0" w:firstLineChars="0"/>
              <w:rPr>
                <w:rFonts w:hint="default"/>
                <w:lang w:val="en-US" w:eastAsia="zh-CN"/>
              </w:rPr>
            </w:pPr>
            <w:bookmarkStart w:id="0" w:name="_GoBack"/>
            <w:bookmarkEnd w:id="0"/>
          </w:p>
          <w:p>
            <w:pPr>
              <w:numPr>
                <w:ilvl w:val="0"/>
                <w:numId w:val="3"/>
              </w:numPr>
              <w:rPr>
                <w:rFonts w:hint="eastAsia"/>
                <w:lang w:val="en-US" w:eastAsia="zh-CN"/>
              </w:rPr>
            </w:pPr>
            <w:r>
              <w:rPr>
                <w:rFonts w:hint="eastAsia"/>
                <w:lang w:val="en-US" w:eastAsia="zh-CN"/>
              </w:rPr>
              <w:t>注1：如产品为列入法定计量检测或强制检定目录的工作计量器具及其他计量器具，乙方则须于产品性能验收时，向甲方提供由第三方出具的检测合格报告。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注3：耗材类，每月结算一次，成交供应商每月向采购人开具上月采购金额发票，采购人收到发票后2个月内以转账方式向成交供应商支付。</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default" w:ascii="宋体" w:hAnsi="宋体" w:eastAsia="宋体" w:cs="Arial"/>
          <w:color w:val="000000"/>
          <w:spacing w:val="-6"/>
          <w:szCs w:val="21"/>
          <w:lang w:val="en-US" w:eastAsia="zh-CN"/>
        </w:rPr>
      </w:pPr>
      <w:r>
        <w:rPr>
          <w:rFonts w:hint="eastAsia" w:ascii="宋体" w:hAnsi="宋体" w:cs="Arial"/>
          <w:color w:val="000000"/>
          <w:spacing w:val="-6"/>
          <w:szCs w:val="21"/>
        </w:rPr>
        <w:t>1、报价截止时间：</w:t>
      </w:r>
      <w:r>
        <w:rPr>
          <w:rFonts w:hint="eastAsia" w:ascii="宋体" w:hAnsi="宋体" w:cs="Arial"/>
          <w:color w:val="000000"/>
          <w:spacing w:val="-6"/>
          <w:szCs w:val="21"/>
          <w:lang w:val="en-US" w:eastAsia="zh-CN"/>
        </w:rPr>
        <w:t>详见电子招投标平台具体项目公告内容。</w:t>
      </w:r>
    </w:p>
    <w:p>
      <w:pPr>
        <w:spacing w:line="360" w:lineRule="auto"/>
        <w:ind w:firstLine="396" w:firstLineChars="200"/>
        <w:rPr>
          <w:rFonts w:hint="default" w:ascii="宋体" w:hAnsi="宋体" w:eastAsia="宋体" w:cs="Arial"/>
          <w:color w:val="000000"/>
          <w:spacing w:val="-6"/>
          <w:szCs w:val="21"/>
          <w:highlight w:val="yellow"/>
          <w:lang w:val="en-US" w:eastAsia="zh-CN"/>
        </w:rPr>
      </w:pPr>
      <w:r>
        <w:rPr>
          <w:rFonts w:hint="eastAsia" w:ascii="宋体" w:hAnsi="宋体" w:cs="Arial"/>
          <w:color w:val="000000"/>
          <w:spacing w:val="-6"/>
          <w:szCs w:val="21"/>
        </w:rPr>
        <w:t>2、报价文件递交地点：</w:t>
      </w:r>
      <w:r>
        <w:rPr>
          <w:rFonts w:hint="eastAsia" w:ascii="宋体" w:hAnsi="宋体" w:cs="Arial"/>
          <w:color w:val="000000"/>
          <w:spacing w:val="-6"/>
          <w:szCs w:val="21"/>
          <w:lang w:val="en-US" w:eastAsia="zh-CN"/>
        </w:rPr>
        <w:t>线上投递</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hint="default" w:ascii="宋体" w:hAnsi="宋体" w:eastAsia="宋体"/>
          <w:szCs w:val="21"/>
          <w:lang w:val="en-US" w:eastAsia="zh-CN"/>
        </w:rPr>
      </w:pPr>
      <w:r>
        <w:rPr>
          <w:rFonts w:ascii="宋体" w:hAnsi="宋体"/>
          <w:szCs w:val="21"/>
        </w:rPr>
        <w:t>1.</w:t>
      </w:r>
      <w:r>
        <w:rPr>
          <w:rFonts w:hint="eastAsia" w:ascii="宋体" w:hAnsi="宋体"/>
          <w:szCs w:val="21"/>
          <w:lang w:val="en-US" w:eastAsia="zh-CN"/>
        </w:rPr>
        <w:t>报价要求：</w:t>
      </w:r>
      <w:r>
        <w:rPr>
          <w:rFonts w:hint="eastAsia" w:ascii="宋体" w:hAnsi="宋体"/>
          <w:szCs w:val="21"/>
        </w:rPr>
        <w:t>该项目报价须为包干单价报价，包括完成货物、运输、验收及其他本项目所需的所有费用及各种应纳的税费。因成交供应商自身原因造成漏报、少报皆由其自行承担责任，采购人不再补偿。</w:t>
      </w:r>
      <w:r>
        <w:rPr>
          <w:rFonts w:hint="eastAsia" w:ascii="宋体" w:hAnsi="宋体"/>
          <w:szCs w:val="21"/>
          <w:highlight w:val="yellow"/>
          <w:lang w:val="en-US" w:eastAsia="zh-CN"/>
        </w:rPr>
        <w:t>该项目为</w:t>
      </w:r>
      <w:r>
        <w:rPr>
          <w:rFonts w:hint="eastAsia" w:ascii="宋体" w:hAnsi="宋体"/>
          <w:b/>
          <w:bCs/>
          <w:szCs w:val="21"/>
          <w:highlight w:val="yellow"/>
          <w:lang w:val="en-US" w:eastAsia="zh-CN"/>
        </w:rPr>
        <w:t>一次性报价</w:t>
      </w:r>
      <w:r>
        <w:rPr>
          <w:rFonts w:hint="eastAsia" w:ascii="宋体" w:hAnsi="宋体"/>
          <w:szCs w:val="21"/>
          <w:highlight w:val="yellow"/>
          <w:lang w:val="en-US" w:eastAsia="zh-CN"/>
        </w:rPr>
        <w:t>，投标人其投标价不得高于药交所挂网最低价。</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b w:val="0"/>
          <w:bCs w:val="0"/>
          <w:szCs w:val="21"/>
        </w:rPr>
      </w:pPr>
      <w:r>
        <w:rPr>
          <w:rFonts w:ascii="宋体" w:hAnsi="宋体"/>
          <w:szCs w:val="21"/>
        </w:rPr>
        <w:t>3.</w:t>
      </w:r>
      <w:r>
        <w:rPr>
          <w:rFonts w:ascii="宋体" w:hAnsi="宋体"/>
          <w:b w:val="0"/>
          <w:bCs w:val="0"/>
          <w:szCs w:val="21"/>
        </w:rPr>
        <w:t>提供</w:t>
      </w:r>
      <w:r>
        <w:rPr>
          <w:rFonts w:ascii="宋体" w:hAnsi="宋体"/>
          <w:b w:val="0"/>
          <w:bCs w:val="0"/>
          <w:szCs w:val="21"/>
          <w:u w:val="single"/>
        </w:rPr>
        <w:t>参数对照偏离表格</w:t>
      </w:r>
      <w:r>
        <w:rPr>
          <w:rFonts w:ascii="宋体" w:hAnsi="宋体"/>
          <w:b w:val="0"/>
          <w:bCs w:val="0"/>
          <w:szCs w:val="21"/>
        </w:rPr>
        <w:t>。</w:t>
      </w:r>
    </w:p>
    <w:p>
      <w:pPr>
        <w:spacing w:line="276" w:lineRule="auto"/>
        <w:ind w:firstLine="420" w:firstLineChars="200"/>
        <w:rPr>
          <w:rFonts w:hint="eastAsia" w:ascii="宋体" w:hAnsi="宋体"/>
          <w:szCs w:val="21"/>
          <w:highlight w:val="yellow"/>
          <w:lang w:val="en-US" w:eastAsia="zh-CN"/>
        </w:rPr>
      </w:pPr>
      <w:r>
        <w:rPr>
          <w:rFonts w:hint="eastAsia" w:ascii="宋体" w:hAnsi="宋体"/>
          <w:b w:val="0"/>
          <w:bCs w:val="0"/>
          <w:szCs w:val="21"/>
          <w:lang w:val="en-US" w:eastAsia="zh-CN"/>
        </w:rPr>
        <w:t>4.若投标产品为药交所挂网产品，需</w:t>
      </w:r>
      <w:r>
        <w:rPr>
          <w:rFonts w:hint="eastAsia" w:ascii="宋体" w:hAnsi="宋体"/>
          <w:b/>
          <w:bCs/>
          <w:szCs w:val="21"/>
          <w:highlight w:val="yellow"/>
          <w:lang w:val="en-US" w:eastAsia="zh-CN"/>
        </w:rPr>
        <w:t>提供报名当日药交网价格截图。</w:t>
      </w:r>
    </w:p>
    <w:p>
      <w:pPr>
        <w:spacing w:line="276" w:lineRule="auto"/>
        <w:ind w:firstLine="420" w:firstLineChars="200"/>
        <w:rPr>
          <w:rFonts w:hint="eastAsia" w:ascii="宋体" w:hAnsi="宋体"/>
          <w:b/>
          <w:bCs/>
          <w:szCs w:val="21"/>
          <w:lang w:val="en-US" w:eastAsia="zh-CN"/>
        </w:rPr>
      </w:pPr>
      <w:r>
        <w:rPr>
          <w:rFonts w:hint="eastAsia" w:ascii="宋体" w:hAnsi="宋体"/>
          <w:szCs w:val="21"/>
          <w:lang w:val="en-US" w:eastAsia="zh-CN"/>
        </w:rPr>
        <w:t>5.</w:t>
      </w:r>
      <w:r>
        <w:rPr>
          <w:rFonts w:hint="eastAsia" w:ascii="宋体" w:hAnsi="宋体"/>
          <w:b/>
          <w:bCs/>
          <w:szCs w:val="21"/>
          <w:lang w:val="en-US" w:eastAsia="zh-CN"/>
        </w:rPr>
        <w:t>提供3家供给其他医疗机构的发票，同类型三甲医院为佳。</w:t>
      </w:r>
    </w:p>
    <w:p>
      <w:pPr>
        <w:spacing w:line="276" w:lineRule="auto"/>
        <w:ind w:firstLine="422" w:firstLineChars="200"/>
        <w:rPr>
          <w:rFonts w:hint="default" w:ascii="宋体" w:hAnsi="宋体"/>
          <w:b/>
          <w:bCs/>
          <w:szCs w:val="21"/>
          <w:lang w:val="en-US" w:eastAsia="zh-CN"/>
        </w:rPr>
      </w:pPr>
      <w:r>
        <w:rPr>
          <w:rFonts w:hint="eastAsia" w:ascii="宋体" w:hAnsi="宋体"/>
          <w:b/>
          <w:bCs/>
          <w:szCs w:val="21"/>
          <w:highlight w:val="yellow"/>
          <w:lang w:val="en-US" w:eastAsia="zh-CN"/>
        </w:rPr>
        <w:t>6.评标方式：评标小组对投标人上传的电子标书进行审核，确认资质齐全且满足参数要求的商家为有效投标商家。根据使用科室意愿确认是否现场看样品，若科室无看样需求，则对有效投标商家进行价格排序，低价中标；若科室需看样品，以电话通知的形式通知看样具体时间地点，由使用科室对样品进行评定，确认样品符合使用科室需求的最低价商家为最终中标商家。</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3"/>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4"/>
        </w:numPr>
        <w:spacing w:line="360" w:lineRule="auto"/>
      </w:pPr>
      <w:r>
        <w:rPr>
          <w:rFonts w:hint="eastAsia" w:ascii="宋体" w:hAnsi="宋体"/>
          <w:szCs w:val="21"/>
        </w:rPr>
        <w:t>开标一览表（耗材招标不填此表）                              （格式见附件1）</w:t>
      </w:r>
    </w:p>
    <w:p>
      <w:pPr>
        <w:numPr>
          <w:ilvl w:val="0"/>
          <w:numId w:val="4"/>
        </w:numPr>
        <w:spacing w:line="360" w:lineRule="auto"/>
        <w:rPr>
          <w:rFonts w:ascii="宋体" w:hAnsi="宋体"/>
          <w:szCs w:val="21"/>
        </w:rPr>
      </w:pPr>
      <w:r>
        <w:rPr>
          <w:rFonts w:hint="eastAsia" w:ascii="宋体" w:hAnsi="宋体"/>
          <w:szCs w:val="21"/>
        </w:rPr>
        <w:t>所投各产品的技术参数（或技术指标）</w:t>
      </w:r>
    </w:p>
    <w:p>
      <w:pPr>
        <w:numPr>
          <w:ilvl w:val="0"/>
          <w:numId w:val="4"/>
        </w:numPr>
        <w:spacing w:line="360" w:lineRule="auto"/>
        <w:rPr>
          <w:rFonts w:ascii="宋体" w:hAnsi="宋体"/>
          <w:szCs w:val="21"/>
        </w:rPr>
      </w:pPr>
      <w:r>
        <w:rPr>
          <w:rFonts w:hint="eastAsia" w:ascii="宋体" w:hAnsi="宋体"/>
          <w:szCs w:val="21"/>
        </w:rPr>
        <w:t>技术条款差异表                                             （格式见附件2）</w:t>
      </w:r>
    </w:p>
    <w:p>
      <w:pPr>
        <w:pStyle w:val="2"/>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numPr>
          <w:ilvl w:val="0"/>
          <w:numId w:val="0"/>
        </w:numPr>
        <w:spacing w:line="360" w:lineRule="auto"/>
        <w:ind w:leftChars="0"/>
        <w:rPr>
          <w:rFonts w:hint="default" w:ascii="宋体" w:hAnsi="宋体" w:eastAsia="宋体"/>
          <w:szCs w:val="21"/>
          <w:lang w:val="en-US" w:eastAsia="zh-CN"/>
        </w:rPr>
      </w:pPr>
      <w:r>
        <w:rPr>
          <w:rFonts w:hint="eastAsia" w:ascii="宋体" w:hAnsi="宋体"/>
          <w:szCs w:val="21"/>
          <w:lang w:val="en-US" w:eastAsia="zh-CN"/>
        </w:rPr>
        <w:t>7   资质文件</w:t>
      </w:r>
    </w:p>
    <w:p>
      <w:pPr>
        <w:spacing w:line="360" w:lineRule="auto"/>
        <w:rPr>
          <w:rFonts w:ascii="宋体" w:hAnsi="宋体"/>
          <w:b/>
          <w:szCs w:val="21"/>
        </w:rPr>
      </w:pPr>
      <w:r>
        <w:rPr>
          <w:rFonts w:hint="eastAsia" w:ascii="宋体" w:hAnsi="宋体"/>
          <w:b/>
          <w:szCs w:val="21"/>
        </w:rPr>
        <w:t>三、文件的式样和签署</w:t>
      </w:r>
    </w:p>
    <w:p>
      <w:pPr>
        <w:numPr>
          <w:ilvl w:val="0"/>
          <w:numId w:val="5"/>
        </w:numPr>
        <w:spacing w:line="360" w:lineRule="auto"/>
        <w:rPr>
          <w:rFonts w:ascii="宋体" w:hAnsi="宋体"/>
          <w:szCs w:val="21"/>
        </w:rPr>
      </w:pPr>
      <w:r>
        <w:rPr>
          <w:rFonts w:hint="eastAsia" w:ascii="宋体" w:hAnsi="宋体"/>
          <w:szCs w:val="21"/>
          <w:highlight w:val="yellow"/>
        </w:rPr>
        <w:t>报价文件需</w:t>
      </w:r>
      <w:r>
        <w:rPr>
          <w:rFonts w:hint="eastAsia" w:ascii="宋体" w:hAnsi="宋体"/>
          <w:szCs w:val="21"/>
          <w:highlight w:val="yellow"/>
          <w:lang w:val="en-US" w:eastAsia="zh-CN"/>
        </w:rPr>
        <w:t>线上提交正本投标文件（</w:t>
      </w:r>
      <w:r>
        <w:rPr>
          <w:rFonts w:hint="eastAsia" w:ascii="宋体" w:hAnsi="宋体"/>
          <w:b/>
          <w:bCs/>
          <w:szCs w:val="21"/>
          <w:highlight w:val="yellow"/>
          <w:lang w:val="en-US" w:eastAsia="zh-CN"/>
        </w:rPr>
        <w:t>需至少包含上述文件组成中所有资料</w:t>
      </w:r>
      <w:r>
        <w:rPr>
          <w:rFonts w:hint="eastAsia" w:ascii="宋体" w:hAnsi="宋体"/>
          <w:szCs w:val="21"/>
          <w:highlight w:val="yellow"/>
          <w:lang w:val="en-US" w:eastAsia="zh-CN"/>
        </w:rPr>
        <w:t>），</w:t>
      </w:r>
      <w:r>
        <w:rPr>
          <w:rFonts w:hint="eastAsia" w:ascii="宋体" w:hAnsi="宋体"/>
          <w:szCs w:val="21"/>
          <w:lang w:val="en-US" w:eastAsia="zh-CN"/>
        </w:rPr>
        <w:t>线下</w:t>
      </w:r>
      <w:r>
        <w:rPr>
          <w:rFonts w:hint="eastAsia" w:ascii="宋体" w:hAnsi="宋体"/>
          <w:b/>
          <w:bCs/>
          <w:color w:val="0000FF"/>
          <w:szCs w:val="21"/>
          <w:lang w:val="en-US" w:eastAsia="zh-CN"/>
        </w:rPr>
        <w:t>无需再</w:t>
      </w:r>
      <w:r>
        <w:rPr>
          <w:rFonts w:hint="eastAsia" w:ascii="宋体" w:hAnsi="宋体"/>
          <w:szCs w:val="21"/>
        </w:rPr>
        <w:t>提交</w:t>
      </w:r>
      <w:r>
        <w:rPr>
          <w:rFonts w:hint="eastAsia" w:ascii="宋体" w:hAnsi="宋体"/>
          <w:szCs w:val="21"/>
          <w:lang w:val="en-US" w:eastAsia="zh-CN"/>
        </w:rPr>
        <w:t>纸质标书</w:t>
      </w:r>
      <w:r>
        <w:rPr>
          <w:rFonts w:hint="eastAsia" w:ascii="宋体" w:hAnsi="宋体"/>
          <w:b/>
          <w:szCs w:val="21"/>
          <w:lang w:val="en-US" w:eastAsia="zh-CN"/>
        </w:rPr>
        <w:t>。</w:t>
      </w:r>
    </w:p>
    <w:p>
      <w:pPr>
        <w:numPr>
          <w:ilvl w:val="0"/>
          <w:numId w:val="5"/>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5"/>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16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1091"/>
        <w:gridCol w:w="709"/>
        <w:gridCol w:w="2174"/>
        <w:gridCol w:w="1850"/>
        <w:gridCol w:w="776"/>
        <w:gridCol w:w="701"/>
        <w:gridCol w:w="1462"/>
        <w:gridCol w:w="772"/>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医保编码</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eastAsia="宋体"/>
                <w:b/>
                <w:color w:val="000000"/>
                <w:szCs w:val="21"/>
                <w:lang w:eastAsia="zh-CN"/>
              </w:rPr>
            </w:pPr>
            <w:r>
              <w:rPr>
                <w:rFonts w:hint="eastAsia" w:ascii="宋体" w:hAnsi="宋体"/>
                <w:b/>
                <w:color w:val="000000"/>
                <w:szCs w:val="21"/>
              </w:rPr>
              <w:t>药交所平台挂网</w:t>
            </w:r>
            <w:r>
              <w:rPr>
                <w:rFonts w:hint="eastAsia" w:ascii="宋体" w:hAnsi="宋体"/>
                <w:b/>
                <w:color w:val="000000"/>
                <w:szCs w:val="21"/>
                <w:lang w:val="en-US" w:eastAsia="zh-CN"/>
              </w:rPr>
              <w:t>编码</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eastAsia="宋体"/>
                <w:b/>
                <w:color w:val="000000"/>
                <w:szCs w:val="21"/>
                <w:lang w:val="en-US" w:eastAsia="zh-CN"/>
              </w:rPr>
            </w:pPr>
            <w:r>
              <w:rPr>
                <w:rFonts w:hint="eastAsia" w:ascii="宋体" w:hAnsi="宋体"/>
                <w:b/>
                <w:color w:val="000000"/>
                <w:szCs w:val="21"/>
                <w:lang w:val="en-US" w:eastAsia="zh-CN"/>
              </w:rPr>
              <w:t>线上</w:t>
            </w:r>
            <w:r>
              <w:rPr>
                <w:rFonts w:hint="eastAsia" w:ascii="宋体" w:hAnsi="宋体"/>
                <w:b/>
                <w:color w:val="000000"/>
                <w:szCs w:val="21"/>
              </w:rPr>
              <w:t>投标价（元）</w:t>
            </w:r>
          </w:p>
        </w:tc>
        <w:tc>
          <w:tcPr>
            <w:tcW w:w="772" w:type="dxa"/>
            <w:noWrap w:val="0"/>
            <w:vAlign w:val="center"/>
          </w:tcPr>
          <w:p>
            <w:pPr>
              <w:jc w:val="center"/>
              <w:rPr>
                <w:rFonts w:hint="default" w:ascii="宋体" w:hAnsi="宋体"/>
                <w:b/>
                <w:color w:val="000000"/>
                <w:szCs w:val="21"/>
                <w:lang w:val="en-US" w:eastAsia="zh-CN"/>
              </w:rPr>
            </w:pPr>
            <w:r>
              <w:rPr>
                <w:rFonts w:hint="eastAsia" w:ascii="宋体" w:hAnsi="宋体"/>
                <w:b/>
                <w:color w:val="000000"/>
                <w:szCs w:val="21"/>
                <w:lang w:val="en-US" w:eastAsia="zh-CN"/>
              </w:rPr>
              <w:t>备案（线下）采购投标价（元）</w:t>
            </w:r>
          </w:p>
        </w:tc>
        <w:tc>
          <w:tcPr>
            <w:tcW w:w="576"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022B39"/>
    <w:multiLevelType w:val="singleLevel"/>
    <w:tmpl w:val="E3022B39"/>
    <w:lvl w:ilvl="0" w:tentative="0">
      <w:start w:val="1"/>
      <w:numFmt w:val="decimal"/>
      <w:lvlText w:val="%1."/>
      <w:lvlJc w:val="left"/>
      <w:pPr>
        <w:tabs>
          <w:tab w:val="left" w:pos="312"/>
        </w:tabs>
      </w:pPr>
    </w:lvl>
  </w:abstractNum>
  <w:abstractNum w:abstractNumId="1">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2">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A4FB4E1"/>
    <w:multiLevelType w:val="singleLevel"/>
    <w:tmpl w:val="6A4FB4E1"/>
    <w:lvl w:ilvl="0" w:tentative="0">
      <w:start w:val="1"/>
      <w:numFmt w:val="decimal"/>
      <w:lvlText w:val="%1."/>
      <w:lvlJc w:val="left"/>
      <w:pPr>
        <w:tabs>
          <w:tab w:val="left" w:pos="312"/>
        </w:tabs>
      </w:p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A61E6"/>
    <w:rsid w:val="00DD01B4"/>
    <w:rsid w:val="00DF4133"/>
    <w:rsid w:val="00E47CA0"/>
    <w:rsid w:val="00EA45EF"/>
    <w:rsid w:val="00F04FDB"/>
    <w:rsid w:val="00FC7102"/>
    <w:rsid w:val="0369215B"/>
    <w:rsid w:val="041078B8"/>
    <w:rsid w:val="067303FE"/>
    <w:rsid w:val="077D5973"/>
    <w:rsid w:val="08AD49CF"/>
    <w:rsid w:val="09556B0B"/>
    <w:rsid w:val="09C471FF"/>
    <w:rsid w:val="0B7D5E3B"/>
    <w:rsid w:val="0B8D6755"/>
    <w:rsid w:val="0C174CAE"/>
    <w:rsid w:val="0DF97300"/>
    <w:rsid w:val="0E243920"/>
    <w:rsid w:val="0E9018A4"/>
    <w:rsid w:val="0F6E291C"/>
    <w:rsid w:val="0FC73D02"/>
    <w:rsid w:val="107D5F7C"/>
    <w:rsid w:val="10D80E45"/>
    <w:rsid w:val="10FC4CAC"/>
    <w:rsid w:val="110F7DB1"/>
    <w:rsid w:val="1148374D"/>
    <w:rsid w:val="11A30F9C"/>
    <w:rsid w:val="11B3668E"/>
    <w:rsid w:val="134B47D4"/>
    <w:rsid w:val="15CB44F0"/>
    <w:rsid w:val="166C40A4"/>
    <w:rsid w:val="1777741C"/>
    <w:rsid w:val="17B636B4"/>
    <w:rsid w:val="18D04BA4"/>
    <w:rsid w:val="19FE5631"/>
    <w:rsid w:val="1A601846"/>
    <w:rsid w:val="1A6E456A"/>
    <w:rsid w:val="1A9910DC"/>
    <w:rsid w:val="1FED73A1"/>
    <w:rsid w:val="2039429C"/>
    <w:rsid w:val="2143562B"/>
    <w:rsid w:val="21B31FF8"/>
    <w:rsid w:val="21E01C24"/>
    <w:rsid w:val="24DE51F7"/>
    <w:rsid w:val="259F22AA"/>
    <w:rsid w:val="262F36DE"/>
    <w:rsid w:val="27895B92"/>
    <w:rsid w:val="27EC4669"/>
    <w:rsid w:val="28066706"/>
    <w:rsid w:val="28850D19"/>
    <w:rsid w:val="29913381"/>
    <w:rsid w:val="2A64557B"/>
    <w:rsid w:val="2C297C70"/>
    <w:rsid w:val="2D5C3356"/>
    <w:rsid w:val="2E565432"/>
    <w:rsid w:val="2EEC050E"/>
    <w:rsid w:val="2EED78B5"/>
    <w:rsid w:val="2F8F7CFA"/>
    <w:rsid w:val="32AD6735"/>
    <w:rsid w:val="33C74F01"/>
    <w:rsid w:val="33D42C62"/>
    <w:rsid w:val="35777FB5"/>
    <w:rsid w:val="359656DE"/>
    <w:rsid w:val="360B1E2F"/>
    <w:rsid w:val="37090CD6"/>
    <w:rsid w:val="37B23BD6"/>
    <w:rsid w:val="3B8D32B7"/>
    <w:rsid w:val="3BFB1A5D"/>
    <w:rsid w:val="3C696035"/>
    <w:rsid w:val="3CA77B75"/>
    <w:rsid w:val="3E126089"/>
    <w:rsid w:val="3E564821"/>
    <w:rsid w:val="3FFF6E94"/>
    <w:rsid w:val="4067080D"/>
    <w:rsid w:val="409A6431"/>
    <w:rsid w:val="411210C4"/>
    <w:rsid w:val="41A63D1E"/>
    <w:rsid w:val="41EE2368"/>
    <w:rsid w:val="43430E51"/>
    <w:rsid w:val="438E1F2C"/>
    <w:rsid w:val="44E55C94"/>
    <w:rsid w:val="46D914D7"/>
    <w:rsid w:val="47577399"/>
    <w:rsid w:val="47BF5A4F"/>
    <w:rsid w:val="48BE5133"/>
    <w:rsid w:val="4A1333E5"/>
    <w:rsid w:val="4A5A644E"/>
    <w:rsid w:val="4AC824E8"/>
    <w:rsid w:val="4AD61A5E"/>
    <w:rsid w:val="4B0F269D"/>
    <w:rsid w:val="4B107F25"/>
    <w:rsid w:val="4B1650F5"/>
    <w:rsid w:val="4B4E1BF0"/>
    <w:rsid w:val="4B4F48F2"/>
    <w:rsid w:val="4C667ADD"/>
    <w:rsid w:val="4D20040E"/>
    <w:rsid w:val="4D5D7223"/>
    <w:rsid w:val="4FDB256B"/>
    <w:rsid w:val="513B3627"/>
    <w:rsid w:val="515A0528"/>
    <w:rsid w:val="519E7520"/>
    <w:rsid w:val="533B0391"/>
    <w:rsid w:val="54012368"/>
    <w:rsid w:val="54150466"/>
    <w:rsid w:val="54766E20"/>
    <w:rsid w:val="56CC1489"/>
    <w:rsid w:val="576B585E"/>
    <w:rsid w:val="57AD17A0"/>
    <w:rsid w:val="58A7251E"/>
    <w:rsid w:val="591C6BAD"/>
    <w:rsid w:val="5C80234E"/>
    <w:rsid w:val="5C8C1F0C"/>
    <w:rsid w:val="5C9A073E"/>
    <w:rsid w:val="5F2479EA"/>
    <w:rsid w:val="5F313840"/>
    <w:rsid w:val="5F791132"/>
    <w:rsid w:val="63905CF1"/>
    <w:rsid w:val="6466418A"/>
    <w:rsid w:val="64A13C91"/>
    <w:rsid w:val="65147F4E"/>
    <w:rsid w:val="669D16ED"/>
    <w:rsid w:val="678B2889"/>
    <w:rsid w:val="678C2D71"/>
    <w:rsid w:val="68DB2857"/>
    <w:rsid w:val="68F22B58"/>
    <w:rsid w:val="6BCC3E5C"/>
    <w:rsid w:val="6C9F3D28"/>
    <w:rsid w:val="71D91BD0"/>
    <w:rsid w:val="71F63C38"/>
    <w:rsid w:val="7359673B"/>
    <w:rsid w:val="738662E8"/>
    <w:rsid w:val="74E71CD7"/>
    <w:rsid w:val="75A55BB6"/>
    <w:rsid w:val="763B3228"/>
    <w:rsid w:val="76971915"/>
    <w:rsid w:val="77296268"/>
    <w:rsid w:val="778A766C"/>
    <w:rsid w:val="78B5798B"/>
    <w:rsid w:val="79E179FA"/>
    <w:rsid w:val="7A0E133E"/>
    <w:rsid w:val="7A69111E"/>
    <w:rsid w:val="7AB5197F"/>
    <w:rsid w:val="7C7E2438"/>
    <w:rsid w:val="7D9C1B31"/>
    <w:rsid w:val="7DDD6B41"/>
    <w:rsid w:val="7E4C09C1"/>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4">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4"/>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4"/>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3"/>
    <w:qFormat/>
    <w:uiPriority w:val="0"/>
    <w:rPr>
      <w:rFonts w:ascii="Arial" w:hAnsi="Arial" w:eastAsia="宋体" w:cs="Times New Roman"/>
      <w:sz w:val="30"/>
      <w:szCs w:val="20"/>
    </w:rPr>
  </w:style>
  <w:style w:type="character" w:customStyle="1" w:styleId="22">
    <w:name w:val="标题 3 Char"/>
    <w:basedOn w:val="8"/>
    <w:link w:val="5"/>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52</TotalTime>
  <ScaleCrop>false</ScaleCrop>
  <LinksUpToDate>false</LinksUpToDate>
  <CharactersWithSpaces>2193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天王盖地虎。</cp:lastModifiedBy>
  <cp:lastPrinted>2024-04-24T06:15:00Z</cp:lastPrinted>
  <dcterms:modified xsi:type="dcterms:W3CDTF">2026-07-02T09:19:29Z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EB0374AAA5644D3A82800E09F4CD6FE0</vt:lpwstr>
  </property>
</Properties>
</file>