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pStyle w:val="68"/>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68"/>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69"/>
        <w:rPr>
          <w:rFonts w:hint="eastAsia" w:ascii="微软雅黑" w:hAnsi="微软雅黑" w:eastAsia="微软雅黑" w:cs="微软雅黑"/>
          <w:b w:val="0"/>
          <w:kern w:val="2"/>
          <w:sz w:val="44"/>
          <w:szCs w:val="44"/>
          <w:lang w:val="en-US" w:eastAsia="zh-CN" w:bidi="ar-SA"/>
        </w:rPr>
      </w:pPr>
    </w:p>
    <w:p>
      <w:pPr>
        <w:pStyle w:val="69"/>
        <w:rPr>
          <w:rFonts w:hint="eastAsia" w:ascii="微软雅黑" w:hAnsi="微软雅黑" w:eastAsia="微软雅黑" w:cs="微软雅黑"/>
          <w:b w:val="0"/>
          <w:kern w:val="2"/>
          <w:sz w:val="44"/>
          <w:szCs w:val="44"/>
          <w:lang w:val="en-US" w:eastAsia="zh-CN" w:bidi="ar-SA"/>
        </w:rPr>
      </w:pPr>
    </w:p>
    <w:p>
      <w:pPr>
        <w:spacing w:line="360" w:lineRule="auto"/>
        <w:ind w:firstLine="1440" w:firstLineChars="4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重庆儿童医疗中心医疗教学配套业务用房建设工程项目政府专项债券发行财务评估咨询服务</w:t>
      </w:r>
    </w:p>
    <w:p>
      <w:pPr>
        <w:spacing w:line="700" w:lineRule="exact"/>
        <w:jc w:val="both"/>
        <w:rPr>
          <w:rFonts w:hint="eastAsia" w:ascii="微软雅黑" w:hAnsi="微软雅黑" w:eastAsia="微软雅黑" w:cs="微软雅黑"/>
          <w:b/>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2025</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8</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_Toc29994 </w:instrText>
      </w:r>
      <w:r>
        <w:rPr>
          <w:rFonts w:hint="eastAsia" w:ascii="微软雅黑" w:hAnsi="微软雅黑" w:eastAsia="微软雅黑" w:cs="微软雅黑"/>
          <w:szCs w:val="24"/>
        </w:rPr>
        <w:fldChar w:fldCharType="separate"/>
      </w:r>
      <w:r>
        <w:rPr>
          <w:rFonts w:hint="eastAsia" w:ascii="微软雅黑" w:hAnsi="微软雅黑" w:eastAsia="微软雅黑" w:cs="微软雅黑"/>
          <w:szCs w:val="20"/>
        </w:rPr>
        <w:t>第一篇  采购邀请书</w:t>
      </w:r>
      <w:r>
        <w:tab/>
      </w:r>
      <w:r>
        <w:fldChar w:fldCharType="begin"/>
      </w:r>
      <w:r>
        <w:instrText xml:space="preserve"> PAGEREF _Toc29994 \h </w:instrText>
      </w:r>
      <w:r>
        <w:fldChar w:fldCharType="separate"/>
      </w:r>
      <w:r>
        <w:t>- 3 -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_Toc24302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一、</w:t>
      </w:r>
      <w:r>
        <w:rPr>
          <w:rFonts w:hint="eastAsia" w:ascii="微软雅黑" w:hAnsi="微软雅黑" w:eastAsia="微软雅黑" w:cs="微软雅黑"/>
          <w:lang w:val="en-US" w:eastAsia="zh-CN"/>
        </w:rPr>
        <w:t>公开比选采购</w:t>
      </w:r>
      <w:r>
        <w:rPr>
          <w:rFonts w:hint="eastAsia" w:ascii="微软雅黑" w:hAnsi="微软雅黑" w:eastAsia="微软雅黑" w:cs="微软雅黑"/>
        </w:rPr>
        <w:t>内容</w:t>
      </w:r>
      <w:r>
        <w:tab/>
      </w:r>
      <w:r>
        <w:fldChar w:fldCharType="begin"/>
      </w:r>
      <w:r>
        <w:instrText xml:space="preserve"> PAGEREF _Toc24302 \h </w:instrText>
      </w:r>
      <w:r>
        <w:fldChar w:fldCharType="separate"/>
      </w:r>
      <w:r>
        <w:t>- 3 -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_Toc10271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二、</w:t>
      </w:r>
      <w:r>
        <w:rPr>
          <w:rFonts w:hint="eastAsia" w:ascii="微软雅黑" w:hAnsi="微软雅黑" w:eastAsia="微软雅黑" w:cs="微软雅黑"/>
          <w:lang w:val="en-US" w:eastAsia="zh-CN"/>
        </w:rPr>
        <w:t>投标人</w:t>
      </w:r>
      <w:r>
        <w:rPr>
          <w:rFonts w:hint="eastAsia" w:ascii="微软雅黑" w:hAnsi="微软雅黑" w:eastAsia="微软雅黑" w:cs="微软雅黑"/>
        </w:rPr>
        <w:t>资格条件</w:t>
      </w:r>
      <w:r>
        <w:tab/>
      </w:r>
      <w:r>
        <w:fldChar w:fldCharType="begin"/>
      </w:r>
      <w:r>
        <w:instrText xml:space="preserve"> PAGEREF _Toc10271 \h </w:instrText>
      </w:r>
      <w:r>
        <w:fldChar w:fldCharType="separate"/>
      </w:r>
      <w:r>
        <w:t>- 3 -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_Toc7875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三、</w:t>
      </w:r>
      <w:r>
        <w:rPr>
          <w:rFonts w:hint="eastAsia" w:ascii="微软雅黑" w:hAnsi="微软雅黑" w:eastAsia="微软雅黑" w:cs="微软雅黑"/>
          <w:lang w:val="en-US" w:eastAsia="zh-CN"/>
        </w:rPr>
        <w:t>比选</w:t>
      </w:r>
      <w:r>
        <w:rPr>
          <w:rFonts w:hint="eastAsia" w:ascii="微软雅黑" w:hAnsi="微软雅黑" w:eastAsia="微软雅黑" w:cs="微软雅黑"/>
        </w:rPr>
        <w:t>有关说明</w:t>
      </w:r>
      <w:r>
        <w:tab/>
      </w:r>
      <w:r>
        <w:fldChar w:fldCharType="begin"/>
      </w:r>
      <w:r>
        <w:instrText xml:space="preserve"> PAGEREF _Toc7875 \h </w:instrText>
      </w:r>
      <w:r>
        <w:fldChar w:fldCharType="separate"/>
      </w:r>
      <w:r>
        <w:t>- 3 -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_Toc21280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四、保证金</w:t>
      </w:r>
      <w:r>
        <w:tab/>
      </w:r>
      <w:r>
        <w:fldChar w:fldCharType="begin"/>
      </w:r>
      <w:r>
        <w:instrText xml:space="preserve"> PAGEREF _Toc21280 \h </w:instrText>
      </w:r>
      <w:r>
        <w:fldChar w:fldCharType="separate"/>
      </w:r>
      <w:r>
        <w:t>- 4 -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_Toc88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五</w:t>
      </w:r>
      <w:r>
        <w:rPr>
          <w:rFonts w:hint="eastAsia" w:ascii="微软雅黑" w:hAnsi="微软雅黑" w:eastAsia="微软雅黑" w:cs="微软雅黑"/>
        </w:rPr>
        <w:t>、其它</w:t>
      </w:r>
      <w:r>
        <w:tab/>
      </w:r>
      <w:r>
        <w:fldChar w:fldCharType="begin"/>
      </w:r>
      <w:r>
        <w:instrText xml:space="preserve"> PAGEREF _Toc88 \h </w:instrText>
      </w:r>
      <w:r>
        <w:fldChar w:fldCharType="separate"/>
      </w:r>
      <w:r>
        <w:t>- 4 -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_Toc8245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六</w:t>
      </w:r>
      <w:r>
        <w:rPr>
          <w:rFonts w:hint="eastAsia" w:ascii="微软雅黑" w:hAnsi="微软雅黑" w:eastAsia="微软雅黑" w:cs="微软雅黑"/>
        </w:rPr>
        <w:t>、联系方式</w:t>
      </w:r>
      <w:r>
        <w:tab/>
      </w:r>
      <w:r>
        <w:fldChar w:fldCharType="begin"/>
      </w:r>
      <w:r>
        <w:instrText xml:space="preserve"> PAGEREF _Toc8245 \h </w:instrText>
      </w:r>
      <w:r>
        <w:fldChar w:fldCharType="separate"/>
      </w:r>
      <w:r>
        <w:t>- 4 -</w:t>
      </w:r>
      <w:r>
        <w:fldChar w:fldCharType="end"/>
      </w:r>
      <w:r>
        <w:rPr>
          <w:rFonts w:hint="eastAsia" w:ascii="微软雅黑" w:hAnsi="微软雅黑" w:eastAsia="微软雅黑" w:cs="微软雅黑"/>
          <w:szCs w:val="24"/>
        </w:rPr>
        <w:fldChar w:fldCharType="end"/>
      </w:r>
    </w:p>
    <w:p>
      <w:pPr>
        <w:pStyle w:val="38"/>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_Toc30403 </w:instrText>
      </w:r>
      <w:r>
        <w:rPr>
          <w:rFonts w:hint="eastAsia" w:ascii="微软雅黑" w:hAnsi="微软雅黑" w:eastAsia="微软雅黑" w:cs="微软雅黑"/>
          <w:szCs w:val="24"/>
        </w:rPr>
        <w:fldChar w:fldCharType="separate"/>
      </w:r>
      <w:r>
        <w:rPr>
          <w:rFonts w:hint="eastAsia" w:ascii="微软雅黑" w:hAnsi="微软雅黑" w:eastAsia="微软雅黑" w:cs="微软雅黑"/>
          <w:kern w:val="2"/>
          <w:szCs w:val="20"/>
          <w:lang w:val="en-US" w:eastAsia="zh-CN" w:bidi="ar-SA"/>
        </w:rPr>
        <w:t>第二篇 项目技术（质量）需求</w:t>
      </w:r>
      <w:r>
        <w:tab/>
      </w:r>
      <w:r>
        <w:fldChar w:fldCharType="begin"/>
      </w:r>
      <w:r>
        <w:instrText xml:space="preserve"> PAGEREF _Toc30403 \h </w:instrText>
      </w:r>
      <w:r>
        <w:fldChar w:fldCharType="separate"/>
      </w:r>
      <w:r>
        <w:t>- 5 -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_Toc2713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一、项目基本概况介绍</w:t>
      </w:r>
      <w:r>
        <w:tab/>
      </w:r>
      <w:r>
        <w:fldChar w:fldCharType="begin"/>
      </w:r>
      <w:r>
        <w:instrText xml:space="preserve"> PAGEREF _Toc2713 \h </w:instrText>
      </w:r>
      <w:r>
        <w:fldChar w:fldCharType="separate"/>
      </w:r>
      <w:r>
        <w:t>- 5 -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_Toc6857 </w:instrText>
      </w:r>
      <w:r>
        <w:rPr>
          <w:rFonts w:hint="eastAsia" w:ascii="微软雅黑" w:hAnsi="微软雅黑" w:eastAsia="微软雅黑" w:cs="微软雅黑"/>
          <w:szCs w:val="24"/>
        </w:rPr>
        <w:fldChar w:fldCharType="separate"/>
      </w:r>
      <w:r>
        <w:rPr>
          <w:rFonts w:hint="eastAsia" w:ascii="微软雅黑" w:hAnsi="微软雅黑" w:eastAsia="微软雅黑" w:cs="微软雅黑"/>
          <w:szCs w:val="20"/>
        </w:rPr>
        <w:t>第三篇  项目商务需求</w:t>
      </w:r>
      <w:r>
        <w:tab/>
      </w:r>
      <w:r>
        <w:fldChar w:fldCharType="begin"/>
      </w:r>
      <w:r>
        <w:instrText xml:space="preserve"> PAGEREF _Toc6857 \h </w:instrText>
      </w:r>
      <w:r>
        <w:fldChar w:fldCharType="separate"/>
      </w:r>
      <w:r>
        <w:t>- 6 -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_Toc4240 </w:instrText>
      </w:r>
      <w:r>
        <w:rPr>
          <w:rFonts w:hint="eastAsia" w:ascii="微软雅黑" w:hAnsi="微软雅黑" w:eastAsia="微软雅黑" w:cs="微软雅黑"/>
          <w:szCs w:val="24"/>
        </w:rPr>
        <w:fldChar w:fldCharType="separate"/>
      </w:r>
      <w:r>
        <w:rPr>
          <w:rFonts w:hint="eastAsia" w:ascii="微软雅黑" w:hAnsi="微软雅黑" w:eastAsia="微软雅黑" w:cs="微软雅黑"/>
          <w:szCs w:val="20"/>
        </w:rPr>
        <w:t xml:space="preserve">第四篇  </w:t>
      </w:r>
      <w:r>
        <w:rPr>
          <w:rFonts w:hint="eastAsia" w:ascii="微软雅黑" w:hAnsi="微软雅黑" w:eastAsia="微软雅黑" w:cs="微软雅黑"/>
          <w:szCs w:val="20"/>
          <w:lang w:val="en-US" w:eastAsia="zh-CN"/>
        </w:rPr>
        <w:t>公开比选采购</w:t>
      </w:r>
      <w:r>
        <w:rPr>
          <w:rFonts w:hint="eastAsia" w:ascii="微软雅黑" w:hAnsi="微软雅黑" w:eastAsia="微软雅黑" w:cs="微软雅黑"/>
          <w:szCs w:val="20"/>
        </w:rPr>
        <w:t>程序及方法、评审标准、无效响应和采购终止</w:t>
      </w:r>
      <w:r>
        <w:tab/>
      </w:r>
      <w:r>
        <w:fldChar w:fldCharType="begin"/>
      </w:r>
      <w:r>
        <w:instrText xml:space="preserve"> PAGEREF _Toc4240 \h </w:instrText>
      </w:r>
      <w:r>
        <w:fldChar w:fldCharType="separate"/>
      </w:r>
      <w:r>
        <w:t>- 7 -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_Toc24555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一、</w:t>
      </w:r>
      <w:r>
        <w:rPr>
          <w:rFonts w:hint="eastAsia" w:ascii="微软雅黑" w:hAnsi="微软雅黑" w:eastAsia="微软雅黑" w:cs="微软雅黑"/>
          <w:lang w:val="en-US" w:eastAsia="zh-CN"/>
        </w:rPr>
        <w:t>公开比选采购</w:t>
      </w:r>
      <w:r>
        <w:rPr>
          <w:rFonts w:hint="eastAsia" w:ascii="微软雅黑" w:hAnsi="微软雅黑" w:eastAsia="微软雅黑" w:cs="微软雅黑"/>
        </w:rPr>
        <w:t>程序</w:t>
      </w:r>
      <w:r>
        <w:tab/>
      </w:r>
      <w:r>
        <w:fldChar w:fldCharType="begin"/>
      </w:r>
      <w:r>
        <w:instrText xml:space="preserve"> PAGEREF _Toc24555 \h </w:instrText>
      </w:r>
      <w:r>
        <w:fldChar w:fldCharType="separate"/>
      </w:r>
      <w:r>
        <w:t>- 7 -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_Toc13496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二、报价方式</w:t>
      </w:r>
      <w:r>
        <w:tab/>
      </w:r>
      <w:r>
        <w:fldChar w:fldCharType="begin"/>
      </w:r>
      <w:r>
        <w:instrText xml:space="preserve"> PAGEREF _Toc13496 \h </w:instrText>
      </w:r>
      <w:r>
        <w:fldChar w:fldCharType="separate"/>
      </w:r>
      <w:r>
        <w:t>- 8 -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_Toc21264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三</w:t>
      </w:r>
      <w:r>
        <w:rPr>
          <w:rFonts w:hint="eastAsia" w:ascii="微软雅黑" w:hAnsi="微软雅黑" w:eastAsia="微软雅黑" w:cs="微软雅黑"/>
        </w:rPr>
        <w:t>、评标方法</w:t>
      </w:r>
      <w:r>
        <w:tab/>
      </w:r>
      <w:r>
        <w:fldChar w:fldCharType="begin"/>
      </w:r>
      <w:r>
        <w:instrText xml:space="preserve"> PAGEREF _Toc21264 \h </w:instrText>
      </w:r>
      <w:r>
        <w:fldChar w:fldCharType="separate"/>
      </w:r>
      <w:r>
        <w:t>- 8 -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_Toc31015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四、</w:t>
      </w:r>
      <w:r>
        <w:rPr>
          <w:rFonts w:hint="eastAsia" w:ascii="微软雅黑" w:hAnsi="微软雅黑" w:eastAsia="微软雅黑" w:cs="微软雅黑"/>
        </w:rPr>
        <w:t>评审标准</w:t>
      </w:r>
      <w:r>
        <w:tab/>
      </w:r>
      <w:r>
        <w:fldChar w:fldCharType="begin"/>
      </w:r>
      <w:r>
        <w:instrText xml:space="preserve"> PAGEREF _Toc31015 \h </w:instrText>
      </w:r>
      <w:r>
        <w:fldChar w:fldCharType="separate"/>
      </w:r>
      <w:r>
        <w:t>- 8 -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_Toc12045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五</w:t>
      </w:r>
      <w:r>
        <w:rPr>
          <w:rFonts w:hint="eastAsia" w:ascii="微软雅黑" w:hAnsi="微软雅黑" w:eastAsia="微软雅黑" w:cs="微软雅黑"/>
        </w:rPr>
        <w:t>、无效响应</w:t>
      </w:r>
      <w:r>
        <w:tab/>
      </w:r>
      <w:r>
        <w:fldChar w:fldCharType="begin"/>
      </w:r>
      <w:r>
        <w:instrText xml:space="preserve"> PAGEREF _Toc12045 \h </w:instrText>
      </w:r>
      <w:r>
        <w:fldChar w:fldCharType="separate"/>
      </w:r>
      <w:r>
        <w:t>- 9 -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_Toc13579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五、废标条款</w:t>
      </w:r>
      <w:r>
        <w:tab/>
      </w:r>
      <w:r>
        <w:fldChar w:fldCharType="begin"/>
      </w:r>
      <w:r>
        <w:instrText xml:space="preserve"> PAGEREF _Toc13579 \h </w:instrText>
      </w:r>
      <w:r>
        <w:fldChar w:fldCharType="separate"/>
      </w:r>
      <w:r>
        <w:t>- 9 -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_Toc2928 </w:instrText>
      </w:r>
      <w:r>
        <w:rPr>
          <w:rFonts w:hint="eastAsia" w:ascii="微软雅黑" w:hAnsi="微软雅黑" w:eastAsia="微软雅黑" w:cs="微软雅黑"/>
          <w:szCs w:val="24"/>
        </w:rPr>
        <w:fldChar w:fldCharType="separate"/>
      </w:r>
      <w:r>
        <w:rPr>
          <w:rFonts w:hint="eastAsia" w:ascii="微软雅黑" w:hAnsi="微软雅黑" w:eastAsia="微软雅黑" w:cs="微软雅黑"/>
          <w:bCs w:val="0"/>
          <w:szCs w:val="20"/>
        </w:rPr>
        <w:t xml:space="preserve">第五篇  </w:t>
      </w:r>
      <w:r>
        <w:rPr>
          <w:rFonts w:hint="eastAsia" w:ascii="微软雅黑" w:hAnsi="微软雅黑" w:eastAsia="微软雅黑" w:cs="微软雅黑"/>
          <w:bCs w:val="0"/>
          <w:szCs w:val="20"/>
          <w:lang w:eastAsia="zh-CN"/>
        </w:rPr>
        <w:t>投标人</w:t>
      </w:r>
      <w:r>
        <w:rPr>
          <w:rFonts w:hint="eastAsia" w:ascii="微软雅黑" w:hAnsi="微软雅黑" w:eastAsia="微软雅黑" w:cs="微软雅黑"/>
          <w:bCs w:val="0"/>
          <w:szCs w:val="20"/>
        </w:rPr>
        <w:t>须知</w:t>
      </w:r>
      <w:r>
        <w:tab/>
      </w:r>
      <w:r>
        <w:fldChar w:fldCharType="begin"/>
      </w:r>
      <w:r>
        <w:instrText xml:space="preserve"> PAGEREF _Toc2928 \h </w:instrText>
      </w:r>
      <w:r>
        <w:fldChar w:fldCharType="separate"/>
      </w:r>
      <w:r>
        <w:t>- 10 -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_Toc28891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一、</w:t>
      </w:r>
      <w:r>
        <w:rPr>
          <w:rFonts w:hint="eastAsia" w:ascii="微软雅黑" w:hAnsi="微软雅黑" w:eastAsia="微软雅黑" w:cs="微软雅黑"/>
          <w:lang w:val="en-US" w:eastAsia="zh-CN"/>
        </w:rPr>
        <w:t>公开比选</w:t>
      </w:r>
      <w:r>
        <w:rPr>
          <w:rFonts w:hint="eastAsia" w:ascii="微软雅黑" w:hAnsi="微软雅黑" w:eastAsia="微软雅黑" w:cs="微软雅黑"/>
        </w:rPr>
        <w:t>费用</w:t>
      </w:r>
      <w:r>
        <w:tab/>
      </w:r>
      <w:r>
        <w:fldChar w:fldCharType="begin"/>
      </w:r>
      <w:r>
        <w:instrText xml:space="preserve"> PAGEREF _Toc28891 \h </w:instrText>
      </w:r>
      <w:r>
        <w:fldChar w:fldCharType="separate"/>
      </w:r>
      <w:r>
        <w:t>- 10 -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_Toc25020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二、</w:t>
      </w:r>
      <w:r>
        <w:rPr>
          <w:rFonts w:hint="eastAsia" w:ascii="微软雅黑" w:hAnsi="微软雅黑" w:eastAsia="微软雅黑" w:cs="微软雅黑"/>
          <w:lang w:val="en-US" w:eastAsia="zh-CN"/>
        </w:rPr>
        <w:t>公开比选采购</w:t>
      </w:r>
      <w:r>
        <w:rPr>
          <w:rFonts w:hint="eastAsia" w:ascii="微软雅黑" w:hAnsi="微软雅黑" w:eastAsia="微软雅黑" w:cs="微软雅黑"/>
        </w:rPr>
        <w:t>文件</w:t>
      </w:r>
      <w:r>
        <w:tab/>
      </w:r>
      <w:r>
        <w:fldChar w:fldCharType="begin"/>
      </w:r>
      <w:r>
        <w:instrText xml:space="preserve"> PAGEREF _Toc25020 \h </w:instrText>
      </w:r>
      <w:r>
        <w:fldChar w:fldCharType="separate"/>
      </w:r>
      <w:r>
        <w:t>- 10 -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_Toc23266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三、</w:t>
      </w:r>
      <w:r>
        <w:rPr>
          <w:rFonts w:hint="eastAsia" w:ascii="微软雅黑" w:hAnsi="微软雅黑" w:eastAsia="微软雅黑" w:cs="微软雅黑"/>
          <w:lang w:val="en-US" w:eastAsia="zh-CN"/>
        </w:rPr>
        <w:t>比选</w:t>
      </w:r>
      <w:r>
        <w:rPr>
          <w:rFonts w:hint="eastAsia" w:ascii="微软雅黑" w:hAnsi="微软雅黑" w:eastAsia="微软雅黑" w:cs="微软雅黑"/>
        </w:rPr>
        <w:t>要求</w:t>
      </w:r>
      <w:r>
        <w:tab/>
      </w:r>
      <w:r>
        <w:fldChar w:fldCharType="begin"/>
      </w:r>
      <w:r>
        <w:instrText xml:space="preserve"> PAGEREF _Toc23266 \h </w:instrText>
      </w:r>
      <w:r>
        <w:fldChar w:fldCharType="separate"/>
      </w:r>
      <w:r>
        <w:t>- 10 -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_Toc16002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四、</w:t>
      </w:r>
      <w:r>
        <w:rPr>
          <w:rFonts w:hint="eastAsia" w:ascii="微软雅黑" w:hAnsi="微软雅黑" w:eastAsia="微软雅黑" w:cs="微软雅黑"/>
          <w:lang w:eastAsia="zh-CN"/>
        </w:rPr>
        <w:t>中标人</w:t>
      </w:r>
      <w:r>
        <w:rPr>
          <w:rFonts w:hint="eastAsia" w:ascii="微软雅黑" w:hAnsi="微软雅黑" w:eastAsia="微软雅黑" w:cs="微软雅黑"/>
        </w:rPr>
        <w:t>的确认和变更</w:t>
      </w:r>
      <w:r>
        <w:tab/>
      </w:r>
      <w:r>
        <w:fldChar w:fldCharType="begin"/>
      </w:r>
      <w:r>
        <w:instrText xml:space="preserve"> PAGEREF _Toc16002 \h </w:instrText>
      </w:r>
      <w:r>
        <w:fldChar w:fldCharType="separate"/>
      </w:r>
      <w:r>
        <w:t>- 11 -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_Toc20249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五、成交通知</w:t>
      </w:r>
      <w:r>
        <w:tab/>
      </w:r>
      <w:r>
        <w:fldChar w:fldCharType="begin"/>
      </w:r>
      <w:r>
        <w:instrText xml:space="preserve"> PAGEREF _Toc20249 \h </w:instrText>
      </w:r>
      <w:r>
        <w:fldChar w:fldCharType="separate"/>
      </w:r>
      <w:r>
        <w:t>- 11 -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_Toc12507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六、质疑</w:t>
      </w:r>
      <w:r>
        <w:rPr>
          <w:rFonts w:hint="eastAsia" w:ascii="微软雅黑" w:hAnsi="微软雅黑" w:eastAsia="微软雅黑" w:cs="微软雅黑"/>
          <w:lang w:val="en-US" w:eastAsia="zh-CN"/>
        </w:rPr>
        <w:t>处理</w:t>
      </w:r>
      <w:r>
        <w:tab/>
      </w:r>
      <w:r>
        <w:fldChar w:fldCharType="begin"/>
      </w:r>
      <w:r>
        <w:instrText xml:space="preserve"> PAGEREF _Toc12507 \h </w:instrText>
      </w:r>
      <w:r>
        <w:fldChar w:fldCharType="separate"/>
      </w:r>
      <w:r>
        <w:t>- 11 -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_Toc16180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七、签订合同</w:t>
      </w:r>
      <w:r>
        <w:tab/>
      </w:r>
      <w:r>
        <w:fldChar w:fldCharType="begin"/>
      </w:r>
      <w:r>
        <w:instrText xml:space="preserve"> PAGEREF _Toc16180 \h </w:instrText>
      </w:r>
      <w:r>
        <w:fldChar w:fldCharType="separate"/>
      </w:r>
      <w:r>
        <w:t>- 12 -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_Toc28348 </w:instrText>
      </w:r>
      <w:r>
        <w:rPr>
          <w:rFonts w:hint="eastAsia" w:ascii="微软雅黑" w:hAnsi="微软雅黑" w:eastAsia="微软雅黑" w:cs="微软雅黑"/>
          <w:szCs w:val="24"/>
        </w:rPr>
        <w:fldChar w:fldCharType="separate"/>
      </w:r>
      <w:r>
        <w:rPr>
          <w:rFonts w:hint="eastAsia" w:ascii="微软雅黑" w:hAnsi="微软雅黑" w:eastAsia="微软雅黑" w:cs="微软雅黑"/>
          <w:szCs w:val="20"/>
        </w:rPr>
        <w:t>第六篇  响应文件编制要求</w:t>
      </w:r>
      <w:r>
        <w:tab/>
      </w:r>
      <w:r>
        <w:fldChar w:fldCharType="begin"/>
      </w:r>
      <w:r>
        <w:instrText xml:space="preserve"> PAGEREF _Toc28348 \h </w:instrText>
      </w:r>
      <w:r>
        <w:fldChar w:fldCharType="separate"/>
      </w:r>
      <w:r>
        <w:t>- 13 -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_Toc12312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一、经济部分</w:t>
      </w:r>
      <w:r>
        <w:tab/>
      </w:r>
      <w:r>
        <w:fldChar w:fldCharType="begin"/>
      </w:r>
      <w:r>
        <w:instrText xml:space="preserve"> PAGEREF _Toc12312 \h </w:instrText>
      </w:r>
      <w:r>
        <w:fldChar w:fldCharType="separate"/>
      </w:r>
      <w:r>
        <w:t>- 15 -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_Toc7451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二、</w:t>
      </w:r>
      <w:r>
        <w:rPr>
          <w:rFonts w:hint="eastAsia" w:ascii="微软雅黑" w:hAnsi="微软雅黑" w:eastAsia="微软雅黑" w:cs="微软雅黑"/>
          <w:lang w:val="en-US" w:eastAsia="zh-CN"/>
        </w:rPr>
        <w:t>服务</w:t>
      </w:r>
      <w:r>
        <w:rPr>
          <w:rFonts w:hint="eastAsia" w:ascii="微软雅黑" w:hAnsi="微软雅黑" w:eastAsia="微软雅黑" w:cs="微软雅黑"/>
        </w:rPr>
        <w:t>部分</w:t>
      </w:r>
      <w:r>
        <w:tab/>
      </w:r>
      <w:r>
        <w:fldChar w:fldCharType="begin"/>
      </w:r>
      <w:r>
        <w:instrText xml:space="preserve"> PAGEREF _Toc7451 \h </w:instrText>
      </w:r>
      <w:r>
        <w:fldChar w:fldCharType="separate"/>
      </w:r>
      <w:r>
        <w:t>- 18 -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_Toc8192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三、商务部分</w:t>
      </w:r>
      <w:r>
        <w:tab/>
      </w:r>
      <w:r>
        <w:fldChar w:fldCharType="begin"/>
      </w:r>
      <w:r>
        <w:instrText xml:space="preserve"> PAGEREF _Toc8192 \h </w:instrText>
      </w:r>
      <w:r>
        <w:fldChar w:fldCharType="separate"/>
      </w:r>
      <w:r>
        <w:t>- 20 -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_Toc25076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四、资格条件</w:t>
      </w:r>
      <w:r>
        <w:tab/>
      </w:r>
      <w:r>
        <w:fldChar w:fldCharType="begin"/>
      </w:r>
      <w:r>
        <w:instrText xml:space="preserve"> PAGEREF _Toc25076 \h </w:instrText>
      </w:r>
      <w:r>
        <w:fldChar w:fldCharType="separate"/>
      </w:r>
      <w:r>
        <w:t>- 22 -</w:t>
      </w:r>
      <w:r>
        <w:fldChar w:fldCharType="end"/>
      </w:r>
      <w:r>
        <w:rPr>
          <w:rFonts w:hint="eastAsia" w:ascii="微软雅黑" w:hAnsi="微软雅黑" w:eastAsia="微软雅黑" w:cs="微软雅黑"/>
          <w:szCs w:val="24"/>
        </w:rPr>
        <w:fldChar w:fldCharType="end"/>
      </w:r>
    </w:p>
    <w:p>
      <w:pPr>
        <w:pStyle w:val="46"/>
        <w:tabs>
          <w:tab w:val="right" w:leader="dot" w:pos="9412"/>
        </w:tabs>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_Toc737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五、其他资料</w:t>
      </w:r>
      <w:r>
        <w:tab/>
      </w:r>
      <w:r>
        <w:fldChar w:fldCharType="begin"/>
      </w:r>
      <w:r>
        <w:instrText xml:space="preserve"> PAGEREF _Toc737 \h </w:instrText>
      </w:r>
      <w:r>
        <w:fldChar w:fldCharType="separate"/>
      </w:r>
      <w:r>
        <w:t>- 28 -</w:t>
      </w:r>
      <w:r>
        <w:fldChar w:fldCharType="end"/>
      </w:r>
      <w:r>
        <w:rPr>
          <w:rFonts w:hint="eastAsia" w:ascii="微软雅黑" w:hAnsi="微软雅黑" w:eastAsia="微软雅黑" w:cs="微软雅黑"/>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5"/>
        <w:spacing w:before="200" w:after="200" w:line="240" w:lineRule="auto"/>
        <w:jc w:val="center"/>
        <w:rPr>
          <w:rFonts w:hint="eastAsia" w:ascii="微软雅黑" w:hAnsi="微软雅黑" w:eastAsia="微软雅黑" w:cs="微软雅黑"/>
          <w:b/>
          <w:sz w:val="44"/>
          <w:szCs w:val="20"/>
        </w:rPr>
      </w:pPr>
      <w:bookmarkStart w:id="0" w:name="_Toc29994"/>
      <w:bookmarkStart w:id="1" w:name="_Toc12789052"/>
      <w:bookmarkStart w:id="2" w:name="_Toc106030870"/>
      <w:bookmarkStart w:id="3" w:name="_Toc24037"/>
      <w:bookmarkStart w:id="4" w:name="_Toc11641050"/>
      <w:bookmarkStart w:id="5" w:name="_Toc76462316"/>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微软雅黑" w:hAnsi="微软雅黑" w:eastAsia="微软雅黑" w:cs="微软雅黑"/>
          <w:sz w:val="28"/>
          <w:szCs w:val="20"/>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重庆儿童医疗中心医疗教学配套业务用房建设工程项目政府专项债券发行财务评估咨询服务项目</w:t>
      </w:r>
      <w:r>
        <w:rPr>
          <w:rFonts w:hint="eastAsia" w:ascii="微软雅黑" w:hAnsi="微软雅黑" w:eastAsia="微软雅黑" w:cs="微软雅黑"/>
          <w:sz w:val="24"/>
          <w:szCs w:val="24"/>
        </w:rPr>
        <w:t>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76462317"/>
      <w:bookmarkStart w:id="7" w:name="_Toc106030871"/>
      <w:bookmarkStart w:id="8" w:name="_Toc24302"/>
      <w:bookmarkStart w:id="9" w:name="_Toc313893526"/>
      <w:bookmarkStart w:id="10" w:name="_Toc3856"/>
      <w:bookmarkStart w:id="11" w:name="_Toc317775175"/>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7"/>
        <w:tblW w:w="41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7"/>
        <w:gridCol w:w="2744"/>
        <w:gridCol w:w="1890"/>
        <w:gridCol w:w="1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13"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696"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16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w:t>
            </w:r>
          </w:p>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val="en-US" w:eastAsia="zh-CN"/>
              </w:rPr>
              <w:t>（万元）</w:t>
            </w:r>
          </w:p>
        </w:tc>
        <w:tc>
          <w:tcPr>
            <w:tcW w:w="1221"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1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lang w:val="en-US" w:eastAsia="zh-CN"/>
              </w:rPr>
              <w:t>WC25001</w:t>
            </w:r>
          </w:p>
        </w:tc>
        <w:tc>
          <w:tcPr>
            <w:tcW w:w="169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kern w:val="0"/>
                <w:sz w:val="21"/>
                <w:szCs w:val="24"/>
                <w:lang w:val="en-US" w:eastAsia="zh-CN"/>
              </w:rPr>
              <w:t>重庆儿童医疗中心医疗教学配套业务用房建设工程项目政府专项债券发行财务评估咨询服务</w:t>
            </w:r>
          </w:p>
        </w:tc>
        <w:tc>
          <w:tcPr>
            <w:tcW w:w="1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2.5</w:t>
            </w:r>
          </w:p>
        </w:tc>
        <w:tc>
          <w:tcPr>
            <w:tcW w:w="122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0271"/>
      <w:r>
        <w:rPr>
          <w:rFonts w:hint="eastAsia" w:ascii="微软雅黑" w:hAnsi="微软雅黑" w:eastAsia="微软雅黑" w:cs="微软雅黑"/>
          <w:sz w:val="24"/>
        </w:rPr>
        <w:t>二、</w:t>
      </w:r>
      <w:bookmarkEnd w:id="12"/>
      <w:bookmarkEnd w:id="13"/>
      <w:bookmarkEnd w:id="16"/>
      <w:bookmarkStart w:id="18" w:name="_Toc76462319"/>
      <w:bookmarkStart w:id="19" w:name="_Toc4480"/>
      <w:bookmarkStart w:id="20" w:name="_Toc106030873"/>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（二）本项目的特定资格要求：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1.投标人具有行政主管部门核发的会计师事务所（或分所）执业证书；若为分支机构的，须取得总公司（总所）的授权书。</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2.投标人近五年内没有因为执业行为受到行政处罚或注册会计师行业协会行业惩戒，无不良诚信记录。</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21" w:name="_Toc27954"/>
      <w:bookmarkStart w:id="22" w:name="_Toc106030874"/>
      <w:bookmarkStart w:id="23" w:name="_Toc7875"/>
      <w:bookmarkStart w:id="24" w:name="_Toc76462320"/>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bookmarkEnd w:id="15"/>
    <w:p>
      <w:pPr>
        <w:pStyle w:val="4"/>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bookmarkStart w:id="25" w:name="_Toc32686"/>
      <w:bookmarkStart w:id="26" w:name="_Toc725"/>
      <w:bookmarkStart w:id="27" w:name="_Toc12959"/>
      <w:bookmarkStart w:id="28" w:name="_Toc5461"/>
      <w:bookmarkStart w:id="29" w:name="_Toc2070"/>
      <w:bookmarkStart w:id="30" w:name="_Toc75793504"/>
      <w:bookmarkStart w:id="31" w:name="_Toc25639"/>
      <w:bookmarkStart w:id="32" w:name="_Toc19886"/>
      <w:bookmarkStart w:id="33" w:name="_Toc8649"/>
      <w:bookmarkStart w:id="34" w:name="_Toc11017"/>
      <w:bookmarkStart w:id="35" w:name="_Toc2422"/>
      <w:bookmarkStart w:id="36" w:name="_Toc26176"/>
      <w:bookmarkStart w:id="37" w:name="_Toc1492"/>
      <w:bookmarkStart w:id="38" w:name="_Toc1625"/>
      <w:bookmarkStart w:id="39" w:name="_Toc23143"/>
      <w:bookmarkStart w:id="40" w:name="_Toc106030380"/>
      <w:bookmarkStart w:id="41" w:name="_Toc30403"/>
      <w:bookmarkStart w:id="42" w:name="_Toc12789058"/>
      <w:r>
        <w:rPr>
          <w:rFonts w:hint="eastAsia" w:ascii="微软雅黑" w:hAnsi="微软雅黑" w:eastAsia="微软雅黑" w:cs="微软雅黑"/>
          <w:b/>
          <w:kern w:val="2"/>
          <w:sz w:val="44"/>
          <w:szCs w:val="20"/>
          <w:lang w:val="en-US" w:eastAsia="zh-CN" w:bidi="ar-SA"/>
        </w:rPr>
        <w:t xml:space="preserve">第二篇 </w:t>
      </w:r>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Pr>
          <w:rFonts w:hint="eastAsia" w:ascii="微软雅黑" w:hAnsi="微软雅黑" w:eastAsia="微软雅黑" w:cs="微软雅黑"/>
          <w:b/>
          <w:kern w:val="2"/>
          <w:sz w:val="44"/>
          <w:szCs w:val="20"/>
          <w:lang w:val="en-US" w:eastAsia="zh-CN" w:bidi="ar-SA"/>
        </w:rPr>
        <w:t>项目技术（质量）需求</w:t>
      </w:r>
      <w:bookmarkEnd w:id="40"/>
      <w:bookmarkEnd w:id="41"/>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43" w:name="_Toc76462325"/>
      <w:bookmarkStart w:id="44" w:name="_Toc32516"/>
      <w:bookmarkStart w:id="45" w:name="_Toc1866"/>
      <w:bookmarkStart w:id="46" w:name="_Toc2713"/>
      <w:bookmarkStart w:id="47" w:name="_Toc18470"/>
      <w:bookmarkStart w:id="48" w:name="_Toc3196"/>
      <w:bookmarkStart w:id="49" w:name="_Toc106030879"/>
      <w:bookmarkStart w:id="50" w:name="_Toc106030882"/>
      <w:bookmarkStart w:id="51" w:name="_Toc7791"/>
      <w:bookmarkStart w:id="52" w:name="_Toc76462327"/>
      <w:r>
        <w:rPr>
          <w:rFonts w:hint="eastAsia" w:ascii="微软雅黑" w:hAnsi="微软雅黑" w:eastAsia="微软雅黑" w:cs="微软雅黑"/>
          <w:sz w:val="24"/>
        </w:rPr>
        <w:t>一、项目基本概况介绍</w:t>
      </w:r>
      <w:bookmarkEnd w:id="43"/>
      <w:bookmarkEnd w:id="44"/>
      <w:bookmarkEnd w:id="45"/>
      <w:bookmarkEnd w:id="46"/>
      <w:bookmarkEnd w:id="47"/>
      <w:bookmarkEnd w:id="48"/>
      <w:bookmarkEnd w:id="49"/>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78"/>
        <w:gridCol w:w="2671"/>
        <w:gridCol w:w="2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481"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c>
        <w:tc>
          <w:tcPr>
            <w:tcW w:w="1387"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服务期限</w:t>
            </w:r>
          </w:p>
        </w:tc>
        <w:tc>
          <w:tcPr>
            <w:tcW w:w="1131"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1"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kern w:val="0"/>
                <w:sz w:val="21"/>
                <w:szCs w:val="24"/>
                <w:lang w:val="en-US" w:eastAsia="zh-CN"/>
              </w:rPr>
              <w:t>重庆儿童医疗中心医疗教学配套业务用房建设工程项目政府专项债券发行财务评估咨询服务</w:t>
            </w:r>
          </w:p>
        </w:tc>
        <w:tc>
          <w:tcPr>
            <w:tcW w:w="1387"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color w:val="auto"/>
                <w:sz w:val="24"/>
                <w:szCs w:val="24"/>
                <w:highlight w:val="none"/>
                <w:lang w:val="en-US" w:eastAsia="zh-CN"/>
              </w:rPr>
              <w:t>自协议签订至政府专项债发行成功</w:t>
            </w:r>
          </w:p>
        </w:tc>
        <w:tc>
          <w:tcPr>
            <w:tcW w:w="1131"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p>
        </w:tc>
      </w:tr>
    </w:tbl>
    <w:p>
      <w:pPr>
        <w:spacing w:line="400" w:lineRule="exact"/>
        <w:ind w:firstLine="480" w:firstLineChars="200"/>
        <w:rPr>
          <w:rFonts w:hint="eastAsia" w:ascii="微软雅黑" w:hAnsi="微软雅黑" w:eastAsia="微软雅黑" w:cs="微软雅黑"/>
          <w:b/>
          <w:bCs/>
          <w:sz w:val="24"/>
          <w:szCs w:val="24"/>
          <w:lang w:val="en-US" w:eastAsia="zh-CN"/>
        </w:rPr>
      </w:pPr>
      <w:bookmarkStart w:id="53" w:name="_Toc25495"/>
      <w:bookmarkStart w:id="54" w:name="_Toc106030880"/>
      <w:bookmarkStart w:id="55" w:name="_Toc12384"/>
      <w:r>
        <w:rPr>
          <w:rFonts w:hint="eastAsia" w:ascii="微软雅黑" w:hAnsi="微软雅黑" w:eastAsia="微软雅黑" w:cs="微软雅黑"/>
          <w:b/>
          <w:bCs/>
          <w:sz w:val="24"/>
          <w:szCs w:val="24"/>
        </w:rPr>
        <w:t>二、</w:t>
      </w:r>
      <w:bookmarkEnd w:id="53"/>
      <w:bookmarkEnd w:id="54"/>
      <w:bookmarkEnd w:id="55"/>
      <w:r>
        <w:rPr>
          <w:rFonts w:hint="eastAsia" w:ascii="微软雅黑" w:hAnsi="微软雅黑" w:eastAsia="微软雅黑" w:cs="微软雅黑"/>
          <w:b/>
          <w:bCs/>
          <w:sz w:val="24"/>
          <w:szCs w:val="24"/>
          <w:lang w:val="en-US" w:eastAsia="zh-CN"/>
        </w:rPr>
        <w:t>项目内容及要求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（一）项目内容</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由医院提供政府债务发行初步方案（如额度、利率等）、募投项目批文、项目投资资金来源表、出让计划等资料，参照《中国注册会计师其他鉴证业务准则第3111号——预测性财务信息的审核》、通过对应项目预期收益（以历史出让成交案例修正等合理方法）及需偿还的融资成本和利息情况，测算项目收益对融资本息的覆盖倍数，即：是否能实现项目收益和融资自求平衡发表意见，出具财务评估报告。</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（二）项目要求</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1.参照《中国注册会计师其他鉴证业务准则第3111号——预测性财务信息的审核》的规定进行财务评估，按照中国注册会计师执业准则出具财务评估报告。</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2.派驻足够专业人员，于政府专项债券发行前5天内出具正式财务评估报告。</w:t>
      </w:r>
    </w:p>
    <w:p>
      <w:pP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br w:type="page"/>
      </w:r>
    </w:p>
    <w:p>
      <w:pPr>
        <w:pStyle w:val="5"/>
        <w:spacing w:before="200" w:after="200" w:line="240" w:lineRule="auto"/>
        <w:jc w:val="center"/>
        <w:rPr>
          <w:rFonts w:hint="eastAsia" w:ascii="微软雅黑" w:hAnsi="微软雅黑" w:eastAsia="微软雅黑" w:cs="微软雅黑"/>
          <w:b/>
          <w:sz w:val="44"/>
          <w:szCs w:val="20"/>
        </w:rPr>
      </w:pPr>
      <w:bookmarkStart w:id="56" w:name="_Toc6857"/>
      <w:r>
        <w:rPr>
          <w:rFonts w:hint="eastAsia" w:ascii="微软雅黑" w:hAnsi="微软雅黑" w:eastAsia="微软雅黑" w:cs="微软雅黑"/>
          <w:b/>
          <w:sz w:val="44"/>
          <w:szCs w:val="20"/>
        </w:rPr>
        <w:t xml:space="preserve">第三篇  </w:t>
      </w:r>
      <w:bookmarkEnd w:id="42"/>
      <w:r>
        <w:rPr>
          <w:rFonts w:hint="eastAsia" w:ascii="微软雅黑" w:hAnsi="微软雅黑" w:eastAsia="微软雅黑" w:cs="微软雅黑"/>
          <w:b/>
          <w:sz w:val="44"/>
          <w:szCs w:val="20"/>
        </w:rPr>
        <w:t>项目商务需求</w:t>
      </w:r>
      <w:bookmarkEnd w:id="50"/>
      <w:bookmarkEnd w:id="51"/>
      <w:bookmarkEnd w:id="52"/>
      <w:bookmarkEnd w:id="56"/>
    </w:p>
    <w:tbl>
      <w:tblPr>
        <w:tblStyle w:val="57"/>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服务期限、服务地点及考核方式</w:t>
            </w:r>
          </w:p>
        </w:tc>
        <w:tc>
          <w:tcPr>
            <w:tcW w:w="4271"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highlight w:val="yellow"/>
                <w:lang w:val="en-US" w:eastAsia="zh-CN"/>
              </w:rPr>
            </w:pPr>
            <w:r>
              <w:rPr>
                <w:rFonts w:hint="eastAsia" w:ascii="微软雅黑" w:hAnsi="微软雅黑" w:eastAsia="微软雅黑" w:cs="微软雅黑"/>
                <w:sz w:val="24"/>
                <w:szCs w:val="24"/>
                <w:lang w:val="en-US" w:eastAsia="zh-CN"/>
              </w:rPr>
              <w:t>服务期限：</w:t>
            </w:r>
            <w:r>
              <w:rPr>
                <w:rFonts w:hint="eastAsia" w:ascii="微软雅黑" w:hAnsi="微软雅黑" w:eastAsia="微软雅黑" w:cs="微软雅黑"/>
                <w:sz w:val="24"/>
                <w:szCs w:val="24"/>
                <w:highlight w:val="none"/>
                <w:lang w:val="en-US" w:eastAsia="zh-CN"/>
              </w:rPr>
              <w:t>自协议签订至政府专项债券发行成功</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服务地点：重庆医科大学附属儿童医院两江院区或其他指定地点</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考核方式：出具财务评估报告，财务评估报告符合政府专项债券发行要求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71"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出具的财务评估报告符合政府专项债券发行要求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1"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b w:val="0"/>
                <w:bCs w:val="0"/>
                <w:sz w:val="24"/>
                <w:szCs w:val="24"/>
                <w:u w:val="none"/>
                <w:lang w:val="en-US" w:eastAsia="zh-CN"/>
              </w:rPr>
            </w:pPr>
            <w:r>
              <w:rPr>
                <w:rFonts w:hint="eastAsia" w:ascii="微软雅黑" w:hAnsi="微软雅黑" w:eastAsia="微软雅黑" w:cs="微软雅黑"/>
                <w:b w:val="0"/>
                <w:bCs w:val="0"/>
                <w:sz w:val="24"/>
                <w:szCs w:val="24"/>
                <w:u w:val="none"/>
                <w:lang w:val="en-US" w:eastAsia="zh-CN"/>
              </w:rPr>
              <w:t>1.该项目为二次报价，投标人可在开标现场进行最终报价。</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b w:val="0"/>
                <w:bCs w:val="0"/>
                <w:sz w:val="24"/>
                <w:szCs w:val="24"/>
                <w:u w:val="none"/>
                <w:lang w:val="en-US" w:eastAsia="zh-CN"/>
              </w:rPr>
            </w:pPr>
            <w:r>
              <w:rPr>
                <w:rFonts w:hint="eastAsia" w:ascii="微软雅黑" w:hAnsi="微软雅黑" w:eastAsia="微软雅黑" w:cs="微软雅黑"/>
                <w:b w:val="0"/>
                <w:bCs w:val="0"/>
                <w:sz w:val="24"/>
                <w:szCs w:val="24"/>
                <w:u w:val="none"/>
                <w:lang w:val="en-US" w:eastAsia="zh-CN"/>
              </w:rPr>
              <w:t>2.该项目</w:t>
            </w:r>
            <w:r>
              <w:rPr>
                <w:rFonts w:hint="default" w:ascii="微软雅黑" w:hAnsi="微软雅黑" w:eastAsia="微软雅黑" w:cs="微软雅黑"/>
                <w:b w:val="0"/>
                <w:bCs w:val="0"/>
                <w:sz w:val="24"/>
                <w:szCs w:val="24"/>
                <w:u w:val="none"/>
                <w:lang w:val="en-US" w:eastAsia="zh-CN"/>
              </w:rPr>
              <w:t>报价应为</w:t>
            </w:r>
            <w:r>
              <w:rPr>
                <w:rFonts w:hint="eastAsia" w:ascii="微软雅黑" w:hAnsi="微软雅黑" w:eastAsia="微软雅黑" w:cs="微软雅黑"/>
                <w:b w:val="0"/>
                <w:bCs w:val="0"/>
                <w:sz w:val="24"/>
                <w:szCs w:val="24"/>
                <w:u w:val="none"/>
                <w:lang w:val="en-US" w:eastAsia="zh-CN"/>
              </w:rPr>
              <w:t>总价包干</w:t>
            </w:r>
            <w:r>
              <w:rPr>
                <w:rFonts w:hint="default" w:ascii="微软雅黑" w:hAnsi="微软雅黑" w:eastAsia="微软雅黑" w:cs="微软雅黑"/>
                <w:b w:val="0"/>
                <w:bCs w:val="0"/>
                <w:sz w:val="24"/>
                <w:szCs w:val="24"/>
                <w:u w:val="none"/>
                <w:lang w:val="en-US" w:eastAsia="zh-CN"/>
              </w:rPr>
              <w:t>报价，</w:t>
            </w:r>
            <w:r>
              <w:rPr>
                <w:rFonts w:hint="eastAsia" w:ascii="微软雅黑" w:hAnsi="微软雅黑" w:eastAsia="微软雅黑" w:cs="微软雅黑"/>
                <w:b w:val="0"/>
                <w:bCs w:val="0"/>
                <w:sz w:val="24"/>
                <w:szCs w:val="24"/>
                <w:u w:val="none"/>
                <w:lang w:val="en-US" w:eastAsia="zh-CN"/>
              </w:rPr>
              <w:t>包括但不限于审计费、交通费、管理费等完成本项目所需的全部费用。因投标人自身原因造成漏报、少报皆由其自行承担责任，采购人不再补偿。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1"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b w:val="0"/>
                <w:bCs w:val="0"/>
                <w:sz w:val="24"/>
                <w:szCs w:val="24"/>
                <w:u w:val="none"/>
                <w:lang w:val="en-US" w:eastAsia="zh-CN"/>
              </w:rPr>
            </w:pPr>
            <w:r>
              <w:rPr>
                <w:rFonts w:hint="eastAsia" w:ascii="微软雅黑" w:hAnsi="微软雅黑" w:eastAsia="微软雅黑" w:cs="微软雅黑"/>
                <w:b w:val="0"/>
                <w:bCs w:val="0"/>
                <w:sz w:val="24"/>
                <w:szCs w:val="24"/>
                <w:u w:val="none"/>
                <w:lang w:val="en-US" w:eastAsia="zh-CN"/>
              </w:rPr>
              <w:t>一次结算。中标人在2025年12月31日前将当年发行成功的项目清单及财务评估报告提供给采购方，经采购方确认无误后，投标方开具增值税专用或普通发票，收到发票后向投标方一次性支付费用。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知识产权</w:t>
            </w:r>
          </w:p>
        </w:tc>
        <w:tc>
          <w:tcPr>
            <w:tcW w:w="4271" w:type="pct"/>
            <w:vAlign w:val="center"/>
          </w:tcPr>
          <w:p>
            <w:pPr>
              <w:pStyle w:val="143"/>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1" w:type="pct"/>
            <w:vAlign w:val="center"/>
          </w:tcPr>
          <w:p>
            <w:pPr>
              <w:pStyle w:val="143"/>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必须在响应文件中对以上条款和服务承诺明确列出，承诺内容必须达到本篇及</w:t>
            </w:r>
            <w:r>
              <w:rPr>
                <w:rFonts w:hint="eastAsia" w:ascii="微软雅黑" w:hAnsi="微软雅黑" w:eastAsia="微软雅黑" w:cs="微软雅黑"/>
                <w:sz w:val="24"/>
                <w:szCs w:val="24"/>
                <w:lang w:val="en-US" w:eastAsia="zh-CN"/>
              </w:rPr>
              <w:t>协商</w:t>
            </w:r>
            <w:r>
              <w:rPr>
                <w:rFonts w:hint="eastAsia" w:ascii="微软雅黑" w:hAnsi="微软雅黑" w:eastAsia="微软雅黑" w:cs="微软雅黑"/>
                <w:sz w:val="24"/>
                <w:szCs w:val="24"/>
              </w:rPr>
              <w:t>文件其他条款的要求。</w:t>
            </w:r>
          </w:p>
          <w:p>
            <w:pPr>
              <w:keepNext w:val="0"/>
              <w:keepLines w:val="0"/>
              <w:suppressLineNumbers w:val="0"/>
              <w:spacing w:before="0" w:beforeAutospacing="0" w:after="0" w:afterAutospacing="0"/>
              <w:ind w:left="0" w:right="0"/>
              <w:rPr>
                <w:rFonts w:hint="eastAsia" w:ascii="微软雅黑" w:hAnsi="微软雅黑" w:eastAsia="微软雅黑" w:cs="微软雅黑"/>
                <w:b w:val="0"/>
                <w:bCs w:val="0"/>
                <w:kern w:val="2"/>
                <w:sz w:val="24"/>
                <w:szCs w:val="24"/>
                <w:lang w:val="en-US" w:eastAsia="zh-CN" w:bidi="ar-SA"/>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其他未尽事宜由供需双方在采购合同中详细约定。</w:t>
            </w:r>
          </w:p>
        </w:tc>
      </w:tr>
    </w:tbl>
    <w:p>
      <w:pPr>
        <w:rPr>
          <w:rFonts w:hint="eastAsia" w:ascii="微软雅黑" w:hAnsi="微软雅黑" w:eastAsia="微软雅黑" w:cs="微软雅黑"/>
          <w:b/>
          <w:sz w:val="44"/>
          <w:szCs w:val="20"/>
        </w:rPr>
      </w:pPr>
      <w:bookmarkStart w:id="57" w:name="_Toc76462332"/>
      <w:bookmarkStart w:id="58" w:name="_Toc106030887"/>
      <w:bookmarkStart w:id="59" w:name="_Toc6692"/>
      <w:r>
        <w:rPr>
          <w:rFonts w:hint="eastAsia" w:ascii="微软雅黑" w:hAnsi="微软雅黑" w:eastAsia="微软雅黑" w:cs="微软雅黑"/>
          <w:b/>
          <w:sz w:val="44"/>
          <w:szCs w:val="20"/>
        </w:rPr>
        <w:br w:type="page"/>
      </w:r>
    </w:p>
    <w:bookmarkEnd w:id="57"/>
    <w:bookmarkEnd w:id="58"/>
    <w:bookmarkEnd w:id="59"/>
    <w:p>
      <w:pPr>
        <w:pStyle w:val="5"/>
        <w:pageBreakBefore w:val="0"/>
        <w:spacing w:before="200" w:after="200" w:line="240" w:lineRule="auto"/>
        <w:jc w:val="center"/>
        <w:rPr>
          <w:rFonts w:hint="eastAsia" w:ascii="微软雅黑" w:hAnsi="微软雅黑" w:eastAsia="微软雅黑" w:cs="微软雅黑"/>
          <w:b/>
          <w:sz w:val="44"/>
          <w:szCs w:val="20"/>
        </w:rPr>
      </w:pPr>
      <w:bookmarkStart w:id="60" w:name="_Toc32163"/>
      <w:bookmarkStart w:id="61" w:name="_Toc4240"/>
      <w:bookmarkStart w:id="62" w:name="_Toc641"/>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60"/>
      <w:bookmarkEnd w:id="61"/>
      <w:bookmarkEnd w:id="62"/>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63" w:name="_Toc5379"/>
      <w:bookmarkStart w:id="64" w:name="_Toc26698"/>
      <w:bookmarkStart w:id="65" w:name="_Toc24555"/>
      <w:bookmarkStart w:id="66" w:name="_Toc76462333"/>
      <w:bookmarkStart w:id="67" w:name="_Toc14958"/>
      <w:bookmarkStart w:id="68" w:name="_Toc106030888"/>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63"/>
      <w:bookmarkEnd w:id="64"/>
      <w:bookmarkEnd w:id="65"/>
      <w:bookmarkEnd w:id="66"/>
      <w:bookmarkEnd w:id="67"/>
      <w:bookmarkEnd w:id="6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w:t>
      </w:r>
      <w:r>
        <w:rPr>
          <w:rFonts w:hint="eastAsia" w:ascii="微软雅黑" w:hAnsi="微软雅黑" w:eastAsia="微软雅黑" w:cs="微软雅黑"/>
          <w:sz w:val="24"/>
          <w:szCs w:val="24"/>
          <w:lang w:eastAsia="zh-CN"/>
        </w:rPr>
        <w:t>单位负责人</w:t>
      </w:r>
      <w:r>
        <w:rPr>
          <w:rFonts w:hint="eastAsia" w:ascii="微软雅黑" w:hAnsi="微软雅黑" w:eastAsia="微软雅黑" w:cs="微软雅黑"/>
          <w:sz w:val="24"/>
          <w:szCs w:val="24"/>
        </w:rPr>
        <w:t>（或其授权代表）或自然人参加。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bookmarkStart w:id="190" w:name="_GoBack"/>
            <w:r>
              <w:rPr>
                <w:rFonts w:hint="eastAsia" w:ascii="微软雅黑" w:hAnsi="微软雅黑" w:eastAsia="微软雅黑" w:cs="微软雅黑"/>
                <w:color w:val="0000FF"/>
                <w:sz w:val="21"/>
                <w:szCs w:val="21"/>
              </w:rPr>
              <w:t>按“第一篇</w:t>
            </w:r>
            <w:r>
              <w:rPr>
                <w:rFonts w:hint="eastAsia" w:ascii="微软雅黑" w:hAnsi="微软雅黑" w:eastAsia="微软雅黑" w:cs="微软雅黑"/>
                <w:color w:val="0000FF"/>
                <w:sz w:val="21"/>
                <w:szCs w:val="21"/>
                <w:lang w:val="en-US" w:eastAsia="zh-CN"/>
              </w:rPr>
              <w:t>二</w:t>
            </w:r>
            <w:r>
              <w:rPr>
                <w:rFonts w:hint="eastAsia" w:ascii="微软雅黑" w:hAnsi="微软雅黑" w:eastAsia="微软雅黑" w:cs="微软雅黑"/>
                <w:color w:val="0000FF"/>
                <w:sz w:val="21"/>
                <w:szCs w:val="21"/>
              </w:rPr>
              <w:t>、</w:t>
            </w:r>
            <w:r>
              <w:rPr>
                <w:rFonts w:hint="eastAsia" w:ascii="微软雅黑" w:hAnsi="微软雅黑" w:eastAsia="微软雅黑" w:cs="微软雅黑"/>
                <w:color w:val="0000FF"/>
                <w:sz w:val="21"/>
                <w:szCs w:val="21"/>
                <w:lang w:val="en-US" w:eastAsia="zh-CN"/>
              </w:rPr>
              <w:t>投标人</w:t>
            </w:r>
            <w:r>
              <w:rPr>
                <w:rFonts w:hint="eastAsia" w:ascii="微软雅黑" w:hAnsi="微软雅黑" w:eastAsia="微软雅黑" w:cs="微软雅黑"/>
                <w:color w:val="0000FF"/>
                <w:sz w:val="21"/>
                <w:szCs w:val="21"/>
              </w:rPr>
              <w:t>资格要求（</w:t>
            </w:r>
            <w:r>
              <w:rPr>
                <w:rFonts w:hint="eastAsia" w:ascii="微软雅黑" w:hAnsi="微软雅黑" w:eastAsia="微软雅黑" w:cs="微软雅黑"/>
                <w:color w:val="0000FF"/>
                <w:sz w:val="21"/>
                <w:szCs w:val="21"/>
                <w:lang w:val="en-US" w:eastAsia="zh-CN"/>
              </w:rPr>
              <w:t>二</w:t>
            </w:r>
            <w:r>
              <w:rPr>
                <w:rFonts w:hint="eastAsia" w:ascii="微软雅黑" w:hAnsi="微软雅黑" w:eastAsia="微软雅黑" w:cs="微软雅黑"/>
                <w:color w:val="0000FF"/>
                <w:sz w:val="21"/>
                <w:szCs w:val="21"/>
              </w:rPr>
              <w:t>）本项目的特定资格要求”的要求提交（如果有）。</w:t>
            </w:r>
            <w:bookmarkEnd w:id="19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lang w:eastAsia="zh-CN"/>
              </w:rPr>
              <w:t>）</w:t>
            </w:r>
          </w:p>
        </w:tc>
        <w:tc>
          <w:tcPr>
            <w:tcW w:w="891" w:type="dxa"/>
            <w:noWrap w:val="0"/>
            <w:vAlign w:val="top"/>
          </w:tcPr>
          <w:p>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noWrap w:val="0"/>
            <w:vAlign w:val="top"/>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69" w:name="_Toc13496"/>
      <w:bookmarkStart w:id="70" w:name="_Toc4495"/>
      <w:bookmarkStart w:id="71" w:name="_Toc30792"/>
      <w:bookmarkStart w:id="72" w:name="_Toc27374"/>
      <w:r>
        <w:rPr>
          <w:rFonts w:hint="eastAsia" w:ascii="微软雅黑" w:hAnsi="微软雅黑" w:eastAsia="微软雅黑" w:cs="微软雅黑"/>
          <w:color w:val="auto"/>
          <w:sz w:val="24"/>
          <w:lang w:val="en-US" w:eastAsia="zh-CN"/>
        </w:rPr>
        <w:t>二、报价方式</w:t>
      </w:r>
      <w:bookmarkEnd w:id="69"/>
      <w:bookmarkEnd w:id="70"/>
      <w:bookmarkEnd w:id="71"/>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73" w:name="_Toc12005"/>
      <w:bookmarkStart w:id="74" w:name="_Toc13994"/>
      <w:r>
        <w:rPr>
          <w:rFonts w:hint="eastAsia" w:ascii="微软雅黑" w:hAnsi="微软雅黑" w:eastAsia="微软雅黑" w:cs="微软雅黑"/>
          <w:b w:val="0"/>
          <w:bCs/>
          <w:color w:val="auto"/>
          <w:sz w:val="24"/>
          <w:szCs w:val="24"/>
          <w:lang w:val="en-US" w:eastAsia="zh-CN"/>
        </w:rPr>
        <w:t>该项目可在开标现场进行二次报价</w:t>
      </w:r>
      <w:r>
        <w:rPr>
          <w:rFonts w:hint="eastAsia" w:ascii="微软雅黑" w:hAnsi="微软雅黑" w:eastAsia="微软雅黑" w:cs="微软雅黑"/>
          <w:b w:val="0"/>
          <w:bCs/>
          <w:color w:val="auto"/>
          <w:kern w:val="0"/>
          <w:sz w:val="24"/>
          <w:szCs w:val="24"/>
          <w:u w:val="none"/>
          <w:lang w:val="en-US" w:eastAsia="zh-CN" w:bidi="ar-SA"/>
        </w:rPr>
        <w:t>。</w:t>
      </w:r>
      <w:bookmarkEnd w:id="73"/>
      <w:bookmarkEnd w:id="74"/>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75" w:name="_Toc21264"/>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rPr>
        <w:t>、评标方法</w:t>
      </w:r>
      <w:bookmarkEnd w:id="72"/>
      <w:bookmarkEnd w:id="75"/>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w:t>
      </w:r>
      <w:r>
        <w:rPr>
          <w:rFonts w:hint="eastAsia" w:ascii="微软雅黑" w:hAnsi="微软雅黑" w:eastAsia="微软雅黑" w:cs="微软雅黑"/>
          <w:kern w:val="0"/>
          <w:sz w:val="24"/>
          <w:szCs w:val="24"/>
          <w:lang w:val="en-US" w:eastAsia="zh-CN"/>
        </w:rPr>
        <w:t>综合</w:t>
      </w:r>
      <w:r>
        <w:rPr>
          <w:rFonts w:hint="eastAsia" w:ascii="微软雅黑" w:hAnsi="微软雅黑" w:eastAsia="微软雅黑" w:cs="微软雅黑"/>
          <w:kern w:val="0"/>
          <w:sz w:val="24"/>
          <w:szCs w:val="24"/>
        </w:rPr>
        <w:t>评标法进行评标。</w:t>
      </w:r>
    </w:p>
    <w:p>
      <w:pPr>
        <w:numPr>
          <w:ilvl w:val="0"/>
          <w:numId w:val="0"/>
        </w:numPr>
        <w:snapToGrid w:val="0"/>
        <w:spacing w:line="400" w:lineRule="exact"/>
        <w:ind w:firstLine="720" w:firstLineChars="300"/>
        <w:rPr>
          <w:rFonts w:hint="eastAsia" w:ascii="微软雅黑" w:hAnsi="微软雅黑" w:eastAsia="微软雅黑" w:cs="微软雅黑"/>
          <w:sz w:val="24"/>
          <w:szCs w:val="24"/>
        </w:rPr>
      </w:pPr>
      <w:bookmarkStart w:id="76" w:name="_Toc76462334"/>
      <w:bookmarkStart w:id="77" w:name="_Toc30944"/>
      <w:bookmarkStart w:id="78" w:name="_Toc24315"/>
      <w:bookmarkStart w:id="79" w:name="_Toc106030889"/>
      <w:bookmarkStart w:id="80" w:name="_Toc102227320"/>
      <w:bookmarkStart w:id="81" w:name="_Toc342913394"/>
      <w:r>
        <w:rPr>
          <w:rFonts w:hint="eastAsia" w:ascii="微软雅黑" w:hAnsi="微软雅黑" w:eastAsia="微软雅黑" w:cs="微软雅黑"/>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numPr>
          <w:ilvl w:val="0"/>
          <w:numId w:val="14"/>
        </w:num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比较与评价。按比选采购文件中规定的评标方法和标准，对资格审查和符合性审查合格的响应文件进行商务和技术评估。</w:t>
      </w:r>
    </w:p>
    <w:p>
      <w:pPr>
        <w:numPr>
          <w:ilvl w:val="0"/>
          <w:numId w:val="0"/>
        </w:numPr>
        <w:snapToGrid w:val="0"/>
        <w:spacing w:line="400" w:lineRule="exac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 xml:space="preserve">     评审得分相同的，由采购人委托评标委员会按照招标文件规定的方式确定一个投标人获得中标人推荐资格，招标文件未规定的采取随机抽取方式确定，其他同品牌投标人不作为中标候选人。 </w:t>
      </w:r>
    </w:p>
    <w:p>
      <w:pPr>
        <w:numPr>
          <w:ilvl w:val="0"/>
          <w:numId w:val="0"/>
        </w:num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pPr>
        <w:numPr>
          <w:ilvl w:val="0"/>
          <w:numId w:val="0"/>
        </w:num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82" w:name="_Toc31015"/>
      <w:r>
        <w:rPr>
          <w:rFonts w:hint="eastAsia" w:ascii="微软雅黑" w:hAnsi="微软雅黑" w:eastAsia="微软雅黑" w:cs="微软雅黑"/>
          <w:sz w:val="24"/>
          <w:lang w:val="en-US" w:eastAsia="zh-CN"/>
        </w:rPr>
        <w:t>四、</w:t>
      </w:r>
      <w:r>
        <w:rPr>
          <w:rFonts w:hint="eastAsia" w:ascii="微软雅黑" w:hAnsi="微软雅黑" w:eastAsia="微软雅黑" w:cs="微软雅黑"/>
          <w:sz w:val="24"/>
        </w:rPr>
        <w:t>评审标准</w:t>
      </w:r>
      <w:bookmarkEnd w:id="76"/>
      <w:bookmarkEnd w:id="77"/>
      <w:bookmarkEnd w:id="78"/>
      <w:bookmarkEnd w:id="79"/>
      <w:bookmarkEnd w:id="82"/>
    </w:p>
    <w:tbl>
      <w:tblPr>
        <w:tblStyle w:val="57"/>
        <w:tblW w:w="100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1173"/>
        <w:gridCol w:w="830"/>
        <w:gridCol w:w="5103"/>
        <w:gridCol w:w="2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8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17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评分因素及权重</w:t>
            </w:r>
          </w:p>
        </w:tc>
        <w:tc>
          <w:tcPr>
            <w:tcW w:w="83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分值</w:t>
            </w:r>
          </w:p>
        </w:tc>
        <w:tc>
          <w:tcPr>
            <w:tcW w:w="510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评分标准</w:t>
            </w:r>
          </w:p>
        </w:tc>
        <w:tc>
          <w:tcPr>
            <w:tcW w:w="2295" w:type="dxa"/>
            <w:noWrap w:val="0"/>
            <w:vAlign w:val="center"/>
          </w:tcPr>
          <w:p>
            <w:pPr>
              <w:pStyle w:val="237"/>
              <w:keepNext w:val="0"/>
              <w:keepLines w:val="0"/>
              <w:pageBreakBefore w:val="0"/>
              <w:widowControl w:val="0"/>
              <w:suppressLineNumbers w:val="0"/>
              <w:kinsoku/>
              <w:wordWrap/>
              <w:overflowPunct/>
              <w:topLinePunct w:val="0"/>
              <w:autoSpaceDE/>
              <w:autoSpaceDN/>
              <w:bidi w:val="0"/>
              <w:adjustRightInd w:val="0"/>
              <w:snapToGrid w:val="0"/>
              <w:spacing w:before="0" w:after="0" w:line="240" w:lineRule="auto"/>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8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bookmarkStart w:id="83" w:name="OLE_LINK8" w:colFirst="3" w:colLast="3"/>
            <w:bookmarkStart w:id="84" w:name="OLE_LINK7" w:colFirst="3" w:colLast="3"/>
            <w:bookmarkStart w:id="85" w:name="_Hlk523824638"/>
            <w:r>
              <w:rPr>
                <w:rFonts w:hint="eastAsia" w:ascii="微软雅黑" w:hAnsi="微软雅黑" w:eastAsia="微软雅黑" w:cs="微软雅黑"/>
                <w:sz w:val="21"/>
                <w:szCs w:val="21"/>
              </w:rPr>
              <w:t>1</w:t>
            </w:r>
          </w:p>
        </w:tc>
        <w:tc>
          <w:tcPr>
            <w:tcW w:w="117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投标</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报价</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20</w:t>
            </w:r>
            <w:r>
              <w:rPr>
                <w:rFonts w:hint="eastAsia" w:ascii="微软雅黑" w:hAnsi="微软雅黑" w:eastAsia="微软雅黑" w:cs="微软雅黑"/>
                <w:sz w:val="21"/>
                <w:szCs w:val="21"/>
              </w:rPr>
              <w:t>%）</w:t>
            </w:r>
          </w:p>
        </w:tc>
        <w:tc>
          <w:tcPr>
            <w:tcW w:w="83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20分</w:t>
            </w:r>
          </w:p>
        </w:tc>
        <w:tc>
          <w:tcPr>
            <w:tcW w:w="510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38" w:right="0"/>
              <w:jc w:val="left"/>
              <w:textAlignment w:val="auto"/>
              <w:rPr>
                <w:rFonts w:hint="eastAsia" w:ascii="微软雅黑" w:hAnsi="微软雅黑" w:eastAsia="微软雅黑" w:cs="微软雅黑"/>
                <w:color w:val="000000" w:themeColor="text1"/>
                <w:sz w:val="21"/>
                <w:szCs w:val="21"/>
                <w:lang w:val="en-US" w:eastAsia="zh-CN"/>
                <w14:textFill>
                  <w14:solidFill>
                    <w14:schemeClr w14:val="tx1"/>
                  </w14:solidFill>
                </w14:textFill>
              </w:rPr>
            </w:pPr>
            <w:r>
              <w:rPr>
                <w:rFonts w:hint="eastAsia" w:ascii="微软雅黑" w:hAnsi="微软雅黑" w:eastAsia="微软雅黑" w:cs="微软雅黑"/>
                <w:color w:val="000000" w:themeColor="text1"/>
                <w:sz w:val="21"/>
                <w:szCs w:val="21"/>
                <w:lang w:val="en-US" w:eastAsia="zh-CN"/>
                <w14:textFill>
                  <w14:solidFill>
                    <w14:schemeClr w14:val="tx1"/>
                  </w14:solidFill>
                </w14:textFill>
              </w:rPr>
              <w:t>有效的投标报价中的最低价为评标基准价，其价格分为满分。其他投标人的价格分统一按照下列公式计算。</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38" w:right="0"/>
              <w:jc w:val="left"/>
              <w:textAlignment w:val="auto"/>
              <w:rPr>
                <w:rFonts w:hint="eastAsia" w:ascii="微软雅黑" w:hAnsi="微软雅黑" w:eastAsia="微软雅黑" w:cs="微软雅黑"/>
                <w:color w:val="000000" w:themeColor="text1"/>
                <w:sz w:val="21"/>
                <w:szCs w:val="21"/>
                <w:lang w:val="en-US" w:eastAsia="zh-CN"/>
                <w14:textFill>
                  <w14:solidFill>
                    <w14:schemeClr w14:val="tx1"/>
                  </w14:solidFill>
                </w14:textFill>
              </w:rPr>
            </w:pPr>
            <w:r>
              <w:rPr>
                <w:rFonts w:hint="eastAsia" w:ascii="微软雅黑" w:hAnsi="微软雅黑" w:eastAsia="微软雅黑" w:cs="微软雅黑"/>
                <w:color w:val="000000" w:themeColor="text1"/>
                <w:sz w:val="21"/>
                <w:szCs w:val="21"/>
                <w:lang w:val="en-US" w:eastAsia="zh-CN"/>
                <w14:textFill>
                  <w14:solidFill>
                    <w14:schemeClr w14:val="tx1"/>
                  </w14:solidFill>
                </w14:textFill>
              </w:rPr>
              <w:t>投标报价得分＝（评标基准价/投标报价）×价格权重×100。</w:t>
            </w:r>
          </w:p>
        </w:tc>
        <w:tc>
          <w:tcPr>
            <w:tcW w:w="229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38" w:right="0"/>
              <w:textAlignment w:val="auto"/>
              <w:rPr>
                <w:rFonts w:hint="eastAsia" w:ascii="微软雅黑" w:hAnsi="微软雅黑" w:eastAsia="微软雅黑" w:cs="微软雅黑"/>
                <w:color w:val="000000" w:themeColor="text1"/>
                <w:sz w:val="21"/>
                <w:szCs w:val="21"/>
                <w:lang w:val="en-US" w:eastAsia="zh-CN"/>
                <w14:textFill>
                  <w14:solidFill>
                    <w14:schemeClr w14:val="tx1"/>
                  </w14:solidFill>
                </w14:textFill>
              </w:rPr>
            </w:pPr>
          </w:p>
        </w:tc>
      </w:tr>
      <w:bookmarkEnd w:id="83"/>
      <w:bookmarkEnd w:id="84"/>
      <w:bookmarkEnd w:id="8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8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117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技术</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部分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30</w:t>
            </w:r>
            <w:r>
              <w:rPr>
                <w:rFonts w:hint="eastAsia" w:ascii="微软雅黑" w:hAnsi="微软雅黑" w:eastAsia="微软雅黑" w:cs="微软雅黑"/>
                <w:sz w:val="21"/>
                <w:szCs w:val="21"/>
              </w:rPr>
              <w:t>%）</w:t>
            </w:r>
          </w:p>
        </w:tc>
        <w:tc>
          <w:tcPr>
            <w:tcW w:w="83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30分</w:t>
            </w:r>
          </w:p>
        </w:tc>
        <w:tc>
          <w:tcPr>
            <w:tcW w:w="510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default" w:ascii="微软雅黑" w:hAnsi="微软雅黑" w:eastAsia="微软雅黑" w:cs="微软雅黑"/>
                <w:color w:val="000000"/>
                <w:sz w:val="21"/>
                <w:szCs w:val="21"/>
                <w:highlight w:val="none"/>
                <w:lang w:val="en-US" w:eastAsia="zh-CN"/>
              </w:rPr>
            </w:pPr>
            <w:r>
              <w:rPr>
                <w:rFonts w:hint="default" w:ascii="微软雅黑" w:hAnsi="微软雅黑" w:eastAsia="微软雅黑" w:cs="微软雅黑"/>
                <w:color w:val="000000"/>
                <w:sz w:val="21"/>
                <w:szCs w:val="21"/>
                <w:highlight w:val="none"/>
                <w:lang w:val="en-US" w:eastAsia="zh-CN"/>
              </w:rPr>
              <w:t>投标人根据招标内容拟定服务方案：</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default"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1.对项目需求了解充分，实施方案完善</w:t>
            </w:r>
            <w:r>
              <w:rPr>
                <w:rFonts w:hint="default" w:ascii="微软雅黑" w:hAnsi="微软雅黑" w:eastAsia="微软雅黑" w:cs="微软雅黑"/>
                <w:color w:val="000000"/>
                <w:sz w:val="21"/>
                <w:szCs w:val="21"/>
                <w:highlight w:val="none"/>
                <w:lang w:val="en-US" w:eastAsia="zh-CN"/>
              </w:rPr>
              <w:t>，得分为21-30分；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default"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2.对项目需求了解充分，实施方案不太完善，</w:t>
            </w:r>
            <w:r>
              <w:rPr>
                <w:rFonts w:hint="default" w:ascii="微软雅黑" w:hAnsi="微软雅黑" w:eastAsia="微软雅黑" w:cs="微软雅黑"/>
                <w:color w:val="000000"/>
                <w:sz w:val="21"/>
                <w:szCs w:val="21"/>
                <w:highlight w:val="none"/>
                <w:lang w:val="en-US" w:eastAsia="zh-CN"/>
              </w:rPr>
              <w:t>得分为11-20分；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default"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highlight w:val="none"/>
                <w:lang w:val="en-US" w:eastAsia="zh-CN"/>
              </w:rPr>
              <w:t>3.对项目需求了解不太充分，实施方案不完善，</w:t>
            </w:r>
            <w:r>
              <w:rPr>
                <w:rFonts w:hint="default" w:ascii="微软雅黑" w:hAnsi="微软雅黑" w:eastAsia="微软雅黑" w:cs="微软雅黑"/>
                <w:color w:val="000000"/>
                <w:sz w:val="21"/>
                <w:szCs w:val="21"/>
                <w:highlight w:val="none"/>
                <w:lang w:val="en-US" w:eastAsia="zh-CN"/>
              </w:rPr>
              <w:t>得分为0-10分。</w:t>
            </w:r>
          </w:p>
        </w:tc>
        <w:tc>
          <w:tcPr>
            <w:tcW w:w="2295" w:type="dxa"/>
            <w:noWrap w:val="0"/>
            <w:vAlign w:val="center"/>
          </w:tcPr>
          <w:p>
            <w:pPr>
              <w:keepNext w:val="0"/>
              <w:keepLines w:val="0"/>
              <w:suppressLineNumbers w:val="0"/>
              <w:spacing w:before="0" w:beforeAutospacing="0" w:after="0" w:afterAutospacing="0" w:line="240" w:lineRule="atLeast"/>
              <w:ind w:left="0" w:right="0"/>
              <w:jc w:val="center"/>
              <w:rPr>
                <w:rFonts w:hint="eastAsia" w:ascii="微软雅黑" w:hAnsi="微软雅黑" w:eastAsia="微软雅黑" w:cs="微软雅黑"/>
                <w:color w:val="000000" w:themeColor="text1"/>
                <w:sz w:val="21"/>
                <w:szCs w:val="21"/>
                <w:lang w:val="en-US" w:eastAsia="zh-CN"/>
                <w14:textFill>
                  <w14:solidFill>
                    <w14:schemeClr w14:val="tx1"/>
                  </w14:solidFill>
                </w14:textFill>
              </w:rPr>
            </w:pPr>
            <w:r>
              <w:rPr>
                <w:rFonts w:hint="eastAsia" w:ascii="微软雅黑" w:hAnsi="微软雅黑" w:eastAsia="微软雅黑" w:cs="微软雅黑"/>
                <w:color w:val="000000" w:themeColor="text1"/>
                <w:sz w:val="21"/>
                <w:szCs w:val="21"/>
                <w:lang w:val="en-US" w:eastAsia="zh-CN"/>
                <w14:textFill>
                  <w14:solidFill>
                    <w14:schemeClr w14:val="tx1"/>
                  </w14:solidFill>
                </w14:textFill>
              </w:rPr>
              <w:t>格式内容自拟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8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 w:val="21"/>
                <w:szCs w:val="21"/>
              </w:rPr>
              <w:t>3</w:t>
            </w:r>
          </w:p>
        </w:tc>
        <w:tc>
          <w:tcPr>
            <w:tcW w:w="117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商务</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部分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50</w:t>
            </w:r>
            <w:r>
              <w:rPr>
                <w:rFonts w:hint="eastAsia" w:ascii="微软雅黑" w:hAnsi="微软雅黑" w:eastAsia="微软雅黑" w:cs="微软雅黑"/>
                <w:sz w:val="21"/>
                <w:szCs w:val="21"/>
              </w:rPr>
              <w:t>%）</w:t>
            </w:r>
          </w:p>
        </w:tc>
        <w:tc>
          <w:tcPr>
            <w:tcW w:w="83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50分</w:t>
            </w:r>
          </w:p>
        </w:tc>
        <w:tc>
          <w:tcPr>
            <w:tcW w:w="510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default" w:ascii="微软雅黑" w:hAnsi="微软雅黑" w:eastAsia="微软雅黑" w:cs="微软雅黑"/>
                <w:color w:val="000000" w:themeColor="text1"/>
                <w:sz w:val="21"/>
                <w:szCs w:val="21"/>
                <w:lang w:val="en-US" w:eastAsia="zh-CN"/>
                <w14:textFill>
                  <w14:solidFill>
                    <w14:schemeClr w14:val="tx1"/>
                  </w14:solidFill>
                </w14:textFill>
              </w:rPr>
            </w:pPr>
            <w:r>
              <w:rPr>
                <w:rFonts w:hint="eastAsia" w:ascii="微软雅黑" w:hAnsi="微软雅黑" w:eastAsia="微软雅黑" w:cs="微软雅黑"/>
                <w:color w:val="000000"/>
                <w:sz w:val="21"/>
                <w:szCs w:val="21"/>
                <w:lang w:val="en-US" w:eastAsia="zh-CN"/>
              </w:rPr>
              <w:t>投标人提供医院政府专项债发行的财评报告服务业绩证明材料，</w:t>
            </w:r>
            <w:r>
              <w:rPr>
                <w:rFonts w:hint="eastAsia" w:ascii="微软雅黑" w:hAnsi="微软雅黑" w:eastAsia="微软雅黑" w:cs="微软雅黑"/>
                <w:sz w:val="21"/>
                <w:szCs w:val="21"/>
                <w:lang w:val="en-US" w:eastAsia="zh-CN"/>
              </w:rPr>
              <w:t>每提供一个得5分，最高得分50分。</w:t>
            </w:r>
          </w:p>
        </w:tc>
        <w:tc>
          <w:tcPr>
            <w:tcW w:w="229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000000" w:themeColor="text1"/>
                <w:sz w:val="21"/>
                <w:szCs w:val="21"/>
                <w:lang w:val="zh-CN" w:eastAsia="zh-CN"/>
                <w14:textFill>
                  <w14:solidFill>
                    <w14:schemeClr w14:val="tx1"/>
                  </w14:solidFill>
                </w14:textFill>
              </w:rPr>
            </w:pPr>
            <w:r>
              <w:rPr>
                <w:rFonts w:hint="eastAsia" w:ascii="微软雅黑" w:hAnsi="微软雅黑" w:eastAsia="微软雅黑" w:cs="微软雅黑"/>
                <w:color w:val="000000" w:themeColor="text1"/>
                <w:sz w:val="21"/>
                <w:szCs w:val="21"/>
                <w:lang w:val="en-US" w:eastAsia="zh-CN"/>
                <w14:textFill>
                  <w14:solidFill>
                    <w14:schemeClr w14:val="tx1"/>
                  </w14:solidFill>
                </w14:textFill>
              </w:rPr>
              <w:t>业绩须提供相关合同证明材料。</w:t>
            </w:r>
          </w:p>
        </w:tc>
      </w:tr>
    </w:tbl>
    <w:p>
      <w:pPr>
        <w:numPr>
          <w:ilvl w:val="0"/>
          <w:numId w:val="0"/>
        </w:numPr>
        <w:rPr>
          <w:rFonts w:hint="eastAsia"/>
        </w:rPr>
      </w:pPr>
    </w:p>
    <w:p>
      <w:pPr>
        <w:pStyle w:val="2"/>
        <w:rPr>
          <w:rFonts w:hint="eastAsia"/>
        </w:rPr>
      </w:pP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86" w:name="_Toc76462335"/>
      <w:bookmarkStart w:id="87" w:name="_Toc106030890"/>
      <w:bookmarkStart w:id="88" w:name="_Toc17606"/>
      <w:bookmarkStart w:id="89" w:name="_Toc12045"/>
      <w:bookmarkStart w:id="90" w:name="_Toc31497"/>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、无效响应</w:t>
      </w:r>
      <w:bookmarkEnd w:id="86"/>
      <w:bookmarkEnd w:id="87"/>
      <w:bookmarkEnd w:id="88"/>
      <w:bookmarkEnd w:id="89"/>
      <w:bookmarkEnd w:id="90"/>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91" w:name="_Toc76462336"/>
      <w:bookmarkStart w:id="92" w:name="_Toc10687"/>
      <w:bookmarkStart w:id="93" w:name="_Toc106030891"/>
      <w:bookmarkStart w:id="94" w:name="_Toc12222"/>
      <w:bookmarkStart w:id="95" w:name="_Toc13579"/>
      <w:r>
        <w:rPr>
          <w:rFonts w:hint="eastAsia" w:ascii="微软雅黑" w:hAnsi="微软雅黑" w:eastAsia="微软雅黑" w:cs="微软雅黑"/>
          <w:sz w:val="24"/>
        </w:rPr>
        <w:t>五、</w:t>
      </w:r>
      <w:bookmarkEnd w:id="80"/>
      <w:bookmarkEnd w:id="81"/>
      <w:bookmarkEnd w:id="91"/>
      <w:bookmarkEnd w:id="92"/>
      <w:bookmarkEnd w:id="93"/>
      <w:bookmarkEnd w:id="94"/>
      <w:r>
        <w:rPr>
          <w:rFonts w:hint="eastAsia" w:ascii="微软雅黑" w:hAnsi="微软雅黑" w:eastAsia="微软雅黑" w:cs="微软雅黑"/>
          <w:sz w:val="24"/>
        </w:rPr>
        <w:t>废标条款</w:t>
      </w:r>
      <w:bookmarkEnd w:id="95"/>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（三）在采购过程中符合要求的投标人或者报价未超过采购预算的投标人不足3家的；</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5"/>
        <w:pageBreakBefore w:val="0"/>
        <w:spacing w:before="200" w:after="200" w:line="240" w:lineRule="auto"/>
        <w:jc w:val="center"/>
        <w:rPr>
          <w:rFonts w:hint="eastAsia" w:ascii="微软雅黑" w:hAnsi="微软雅黑" w:eastAsia="微软雅黑" w:cs="微软雅黑"/>
          <w:b/>
          <w:bCs w:val="0"/>
          <w:sz w:val="44"/>
          <w:szCs w:val="20"/>
        </w:rPr>
      </w:pPr>
      <w:bookmarkStart w:id="96" w:name="_Toc106030892"/>
      <w:bookmarkStart w:id="97" w:name="_Toc2928"/>
      <w:bookmarkStart w:id="98" w:name="_Toc29948"/>
      <w:bookmarkStart w:id="99" w:name="_Toc76462337"/>
      <w:bookmarkStart w:id="100" w:name="_Toc102227313"/>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96"/>
      <w:bookmarkEnd w:id="97"/>
      <w:bookmarkEnd w:id="98"/>
      <w:bookmarkEnd w:id="99"/>
      <w:bookmarkEnd w:id="100"/>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01" w:name="_Toc28891"/>
      <w:bookmarkStart w:id="102" w:name="_Toc76462338"/>
      <w:bookmarkStart w:id="103" w:name="_Toc106030893"/>
      <w:bookmarkStart w:id="104" w:name="_Toc26717"/>
      <w:bookmarkStart w:id="105" w:name="_Toc342913389"/>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01"/>
      <w:bookmarkEnd w:id="102"/>
      <w:bookmarkEnd w:id="103"/>
      <w:bookmarkEnd w:id="104"/>
      <w:bookmarkEnd w:id="105"/>
    </w:p>
    <w:p>
      <w:pPr>
        <w:pStyle w:val="143"/>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06" w:name="_Toc25020"/>
      <w:bookmarkStart w:id="107" w:name="_Toc106030894"/>
      <w:bookmarkStart w:id="108" w:name="_Toc15712"/>
      <w:bookmarkStart w:id="109" w:name="_Toc342913391"/>
      <w:bookmarkStart w:id="110" w:name="_Toc76462339"/>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06"/>
      <w:bookmarkEnd w:id="107"/>
      <w:bookmarkEnd w:id="108"/>
      <w:bookmarkEnd w:id="109"/>
      <w:bookmarkEnd w:id="110"/>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11" w:name="_Toc318159780"/>
      <w:bookmarkStart w:id="112" w:name="_Toc318159349"/>
      <w:bookmarkStart w:id="113" w:name="_Toc318159160"/>
      <w:bookmarkStart w:id="114" w:name="_Toc318166429"/>
    </w:p>
    <w:bookmarkEnd w:id="111"/>
    <w:bookmarkEnd w:id="112"/>
    <w:bookmarkEnd w:id="113"/>
    <w:bookmarkEnd w:id="114"/>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15" w:name="_Toc342913392"/>
      <w:bookmarkStart w:id="116" w:name="_Toc23266"/>
      <w:bookmarkStart w:id="117" w:name="_Toc76462340"/>
      <w:bookmarkStart w:id="118" w:name="_Toc106030895"/>
      <w:bookmarkStart w:id="119" w:name="_Toc179714297"/>
      <w:bookmarkStart w:id="120" w:name="_Toc102227318"/>
      <w:bookmarkStart w:id="121" w:name="_Toc26007"/>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15"/>
      <w:bookmarkEnd w:id="116"/>
      <w:bookmarkEnd w:id="117"/>
      <w:bookmarkEnd w:id="118"/>
      <w:bookmarkEnd w:id="119"/>
      <w:bookmarkEnd w:id="120"/>
      <w:bookmarkEnd w:id="12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val="0"/>
          <w:bCs w:val="0"/>
          <w:color w:val="0000FF"/>
          <w:sz w:val="24"/>
          <w:szCs w:val="24"/>
          <w:u w:val="single"/>
        </w:rPr>
        <w:t>1.响应文件一式六份，其中正本一份，副本五份，电子文档一份（</w:t>
      </w:r>
      <w:r>
        <w:rPr>
          <w:rFonts w:hint="eastAsia" w:ascii="微软雅黑" w:hAnsi="微软雅黑" w:eastAsia="微软雅黑" w:cs="微软雅黑"/>
          <w:b w:val="0"/>
          <w:bCs w:val="0"/>
          <w:color w:val="0000FF"/>
          <w:sz w:val="24"/>
          <w:szCs w:val="24"/>
          <w:u w:val="single"/>
          <w:lang w:val="en-US" w:eastAsia="zh-CN"/>
        </w:rPr>
        <w:t>电子文档为完整的响应文件正本PDF版，须上传至</w:t>
      </w:r>
      <w:r>
        <w:rPr>
          <w:rFonts w:hint="eastAsia" w:ascii="微软雅黑" w:hAnsi="微软雅黑" w:eastAsia="微软雅黑" w:cs="微软雅黑"/>
          <w:b w:val="0"/>
          <w:bCs w:val="0"/>
          <w:color w:val="0000FF"/>
          <w:sz w:val="24"/>
          <w:szCs w:val="24"/>
          <w:u w:val="single"/>
        </w:rPr>
        <w:t>电子招投标平台）</w:t>
      </w:r>
      <w:r>
        <w:rPr>
          <w:rFonts w:hint="eastAsia" w:ascii="微软雅黑" w:hAnsi="微软雅黑" w:eastAsia="微软雅黑" w:cs="微软雅黑"/>
          <w:b w:val="0"/>
          <w:bCs w:val="0"/>
          <w:color w:val="0000FF"/>
          <w:sz w:val="24"/>
          <w:szCs w:val="24"/>
          <w:u w:val="single"/>
          <w:lang w:eastAsia="zh-CN"/>
        </w:rPr>
        <w:t>；</w:t>
      </w:r>
      <w:r>
        <w:rPr>
          <w:rFonts w:hint="eastAsia" w:ascii="微软雅黑" w:hAnsi="微软雅黑" w:eastAsia="微软雅黑" w:cs="微软雅黑"/>
          <w:sz w:val="24"/>
          <w:szCs w:val="24"/>
        </w:rPr>
        <w:t>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22" w:name="_Toc76462341"/>
      <w:bookmarkStart w:id="123" w:name="_Toc106030896"/>
      <w:bookmarkStart w:id="124" w:name="_Toc6435"/>
      <w:bookmarkStart w:id="125" w:name="_Toc16002"/>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22"/>
      <w:bookmarkEnd w:id="123"/>
      <w:bookmarkEnd w:id="124"/>
      <w:bookmarkEnd w:id="125"/>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102227321"/>
      <w:bookmarkStart w:id="127" w:name="_Toc106030897"/>
      <w:bookmarkStart w:id="128" w:name="_Toc342913395"/>
      <w:bookmarkStart w:id="129" w:name="_Toc76462342"/>
      <w:bookmarkStart w:id="130" w:name="_Toc20249"/>
      <w:bookmarkStart w:id="131" w:name="_Toc21532"/>
      <w:r>
        <w:rPr>
          <w:rFonts w:hint="eastAsia" w:ascii="微软雅黑" w:hAnsi="微软雅黑" w:eastAsia="微软雅黑" w:cs="微软雅黑"/>
          <w:sz w:val="24"/>
        </w:rPr>
        <w:t>五、成交通知</w:t>
      </w:r>
      <w:bookmarkEnd w:id="126"/>
      <w:bookmarkEnd w:id="127"/>
      <w:bookmarkEnd w:id="128"/>
      <w:bookmarkEnd w:id="129"/>
      <w:bookmarkEnd w:id="130"/>
      <w:bookmarkEnd w:id="13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确定后，招标办将在重庆医科大学附属儿童医院电子招投标平台（zbb.chcmu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val="en-US" w:eastAsia="zh-CN"/>
        </w:rPr>
        <w:t>招标办公室</w:t>
      </w:r>
      <w:r>
        <w:rPr>
          <w:rFonts w:hint="eastAsia" w:ascii="微软雅黑" w:hAnsi="微软雅黑" w:eastAsia="微软雅黑" w:cs="微软雅黑"/>
          <w:sz w:val="24"/>
          <w:szCs w:val="24"/>
        </w:rPr>
        <w:t>将平台内发出《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32" w:name="_Toc106030898"/>
      <w:bookmarkStart w:id="133" w:name="_Toc12507"/>
      <w:bookmarkStart w:id="134" w:name="_Toc21448"/>
      <w:bookmarkStart w:id="135" w:name="_Toc76462343"/>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32"/>
      <w:bookmarkEnd w:id="133"/>
      <w:bookmarkEnd w:id="134"/>
      <w:bookmarkEnd w:id="13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36" w:name="_Toc76462344"/>
      <w:bookmarkStart w:id="137" w:name="_Toc28334"/>
      <w:bookmarkStart w:id="138" w:name="_Toc106030899"/>
    </w:p>
    <w:p>
      <w:pPr>
        <w:pStyle w:val="5"/>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9" w:name="_Toc16180"/>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36"/>
      <w:bookmarkEnd w:id="137"/>
      <w:bookmarkEnd w:id="138"/>
      <w:bookmarkStart w:id="140" w:name="_Toc102227322"/>
      <w:bookmarkStart w:id="141" w:name="_Toc76462346"/>
      <w:bookmarkStart w:id="142" w:name="_Toc106030901"/>
      <w:bookmarkStart w:id="143" w:name="_Toc342913396"/>
      <w:bookmarkStart w:id="144" w:name="_Toc3372"/>
      <w:bookmarkStart w:id="145" w:name="_Toc11641055"/>
      <w:bookmarkStart w:id="146" w:name="_Toc12789059"/>
      <w:r>
        <w:rPr>
          <w:rFonts w:hint="eastAsia" w:ascii="微软雅黑" w:hAnsi="微软雅黑" w:eastAsia="微软雅黑" w:cs="微软雅黑"/>
          <w:color w:val="auto"/>
          <w:sz w:val="24"/>
        </w:rPr>
        <w:t>签订</w:t>
      </w:r>
      <w:bookmarkEnd w:id="140"/>
      <w:r>
        <w:rPr>
          <w:rFonts w:hint="eastAsia" w:ascii="微软雅黑" w:hAnsi="微软雅黑" w:eastAsia="微软雅黑" w:cs="微软雅黑"/>
          <w:color w:val="auto"/>
          <w:sz w:val="24"/>
        </w:rPr>
        <w:t>合同</w:t>
      </w:r>
      <w:bookmarkEnd w:id="139"/>
      <w:bookmarkEnd w:id="141"/>
      <w:bookmarkEnd w:id="142"/>
      <w:bookmarkEnd w:id="143"/>
      <w:bookmarkEnd w:id="144"/>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w:t>
      </w:r>
      <w:r>
        <w:rPr>
          <w:rFonts w:hint="eastAsia" w:ascii="微软雅黑" w:hAnsi="微软雅黑" w:eastAsia="微软雅黑" w:cs="微软雅黑"/>
          <w:color w:val="auto"/>
          <w:sz w:val="24"/>
          <w:lang w:eastAsia="zh-CN"/>
        </w:rPr>
        <w:t>采购人</w:t>
      </w:r>
      <w:r>
        <w:rPr>
          <w:rFonts w:hint="eastAsia" w:ascii="微软雅黑" w:hAnsi="微软雅黑" w:eastAsia="微软雅黑" w:cs="微软雅黑"/>
          <w:color w:val="auto"/>
          <w:sz w:val="24"/>
        </w:rPr>
        <w:t>将有充分的理由废除授标，将中标人纳入</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45"/>
      <w:bookmarkEnd w:id="146"/>
    </w:p>
    <w:p>
      <w:pPr>
        <w:pStyle w:val="5"/>
        <w:spacing w:before="200" w:after="200" w:line="240" w:lineRule="auto"/>
        <w:jc w:val="center"/>
        <w:rPr>
          <w:rFonts w:hint="eastAsia" w:ascii="微软雅黑" w:hAnsi="微软雅黑" w:eastAsia="微软雅黑" w:cs="微软雅黑"/>
          <w:b/>
          <w:sz w:val="44"/>
          <w:szCs w:val="20"/>
        </w:rPr>
      </w:pPr>
      <w:bookmarkStart w:id="147" w:name="_Hlt41879464"/>
      <w:bookmarkEnd w:id="147"/>
      <w:bookmarkStart w:id="148" w:name="_Toc27984"/>
      <w:bookmarkStart w:id="149" w:name="_Toc76462349"/>
      <w:bookmarkStart w:id="150" w:name="_Toc106030905"/>
      <w:bookmarkStart w:id="151" w:name="_Toc28348"/>
      <w:r>
        <w:rPr>
          <w:rFonts w:hint="eastAsia" w:ascii="微软雅黑" w:hAnsi="微软雅黑" w:eastAsia="微软雅黑" w:cs="微软雅黑"/>
          <w:b/>
          <w:sz w:val="44"/>
          <w:szCs w:val="20"/>
        </w:rPr>
        <w:t>第六篇  响应文件编制要求</w:t>
      </w:r>
      <w:bookmarkEnd w:id="148"/>
      <w:bookmarkEnd w:id="149"/>
      <w:bookmarkEnd w:id="150"/>
      <w:bookmarkEnd w:id="15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（二）明细报价表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技术响应承诺</w:t>
      </w:r>
      <w:r>
        <w:rPr>
          <w:rFonts w:hint="eastAsia" w:ascii="微软雅黑" w:hAnsi="微软雅黑" w:eastAsia="微软雅黑" w:cs="微软雅黑"/>
          <w:sz w:val="24"/>
          <w:szCs w:val="24"/>
        </w:rPr>
        <w:t>（格式自定）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商务响应</w:t>
      </w:r>
      <w:r>
        <w:rPr>
          <w:rFonts w:hint="eastAsia" w:ascii="微软雅黑" w:hAnsi="微软雅黑" w:eastAsia="微软雅黑" w:cs="微软雅黑"/>
          <w:sz w:val="24"/>
          <w:szCs w:val="24"/>
        </w:rPr>
        <w:t>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综合评标条款响应证明材料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微软雅黑" w:hAnsi="微软雅黑" w:eastAsia="微软雅黑" w:cs="微软雅黑"/>
          <w:sz w:val="24"/>
          <w:szCs w:val="24"/>
          <w:lang w:val="en-US" w:eastAsia="zh-CN"/>
        </w:rPr>
      </w:pPr>
      <w:bookmarkStart w:id="152" w:name="_Toc313888360"/>
      <w:bookmarkStart w:id="153" w:name="_Toc106030906"/>
      <w:bookmarkStart w:id="154" w:name="_Toc76462350"/>
      <w:bookmarkStart w:id="155" w:name="_Toc313008356"/>
      <w:bookmarkStart w:id="156" w:name="_Toc342913419"/>
      <w:bookmarkStart w:id="157" w:name="_Toc15994"/>
      <w:bookmarkStart w:id="158" w:name="_Toc283382454"/>
      <w:bookmarkStart w:id="159" w:name="_Toc12789073"/>
      <w:r>
        <w:rPr>
          <w:rFonts w:hint="eastAsia" w:ascii="微软雅黑" w:hAnsi="微软雅黑" w:eastAsia="微软雅黑" w:cs="微软雅黑"/>
          <w:sz w:val="24"/>
          <w:szCs w:val="24"/>
          <w:lang w:val="en-US" w:eastAsia="zh-CN"/>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公开比选采购</w:t>
      </w: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响应文件</w:t>
      </w:r>
    </w:p>
    <w:p>
      <w:pPr>
        <w:spacing w:line="600" w:lineRule="exact"/>
        <w:jc w:val="center"/>
        <w:outlineLvl w:val="0"/>
        <w:rPr>
          <w:rFonts w:hint="eastAsia" w:ascii="微软雅黑" w:hAnsi="微软雅黑" w:eastAsia="微软雅黑" w:cs="微软雅黑"/>
          <w:sz w:val="44"/>
          <w:szCs w:val="44"/>
          <w:lang w:eastAsia="zh-CN"/>
        </w:rPr>
      </w:pP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正本/副本</w:t>
      </w:r>
      <w:r>
        <w:rPr>
          <w:rFonts w:hint="eastAsia" w:ascii="微软雅黑" w:hAnsi="微软雅黑" w:eastAsia="微软雅黑" w:cs="微软雅黑"/>
          <w:sz w:val="44"/>
          <w:szCs w:val="44"/>
          <w:lang w:eastAsia="zh-CN"/>
        </w:rPr>
        <w:t>）</w:t>
      </w:r>
    </w:p>
    <w:p>
      <w:pPr>
        <w:spacing w:line="700" w:lineRule="exact"/>
        <w:jc w:val="both"/>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none"/>
          <w:lang w:val="en-US" w:eastAsia="zh-CN"/>
        </w:rPr>
      </w:pPr>
      <w:r>
        <w:rPr>
          <w:rFonts w:hint="eastAsia" w:ascii="微软雅黑" w:hAnsi="微软雅黑" w:eastAsia="微软雅黑" w:cs="微软雅黑"/>
          <w:sz w:val="36"/>
          <w:szCs w:val="36"/>
          <w:u w:val="none"/>
          <w:lang w:val="en-US" w:eastAsia="zh-CN"/>
        </w:rPr>
        <w:t>投标人名称：</w:t>
      </w:r>
      <w:r>
        <w:rPr>
          <w:rFonts w:hint="eastAsia" w:ascii="微软雅黑" w:hAnsi="微软雅黑" w:eastAsia="微软雅黑" w:cs="微软雅黑"/>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28"/>
          <w:szCs w:val="28"/>
          <w:u w:val="none"/>
          <w:lang w:val="en-US" w:eastAsia="zh-CN"/>
        </w:rPr>
        <w:t xml:space="preserve">投标人法定代表人（或授权代理人）： </w:t>
      </w:r>
      <w:r>
        <w:rPr>
          <w:rFonts w:hint="eastAsia" w:ascii="微软雅黑" w:hAnsi="微软雅黑" w:eastAsia="微软雅黑" w:cs="微软雅黑"/>
          <w:sz w:val="28"/>
          <w:szCs w:val="28"/>
          <w:u w:val="single"/>
          <w:lang w:val="en-US" w:eastAsia="zh-CN"/>
        </w:rPr>
        <w:t xml:space="preserve">         </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sz w:val="36"/>
          <w:szCs w:val="36"/>
          <w:lang w:val="en-US"/>
        </w:rPr>
      </w:pPr>
      <w:r>
        <w:rPr>
          <w:rFonts w:hint="eastAsia" w:ascii="微软雅黑" w:hAnsi="微软雅黑" w:eastAsia="微软雅黑" w:cs="微软雅黑"/>
          <w:sz w:val="36"/>
          <w:szCs w:val="36"/>
          <w:u w:val="none"/>
          <w:lang w:val="en-US" w:eastAsia="zh-CN"/>
        </w:rPr>
        <w:t>联系电话：</w:t>
      </w:r>
      <w:r>
        <w:rPr>
          <w:rFonts w:hint="eastAsia" w:ascii="微软雅黑" w:hAnsi="微软雅黑" w:eastAsia="微软雅黑" w:cs="微软雅黑"/>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hint="eastAsia" w:ascii="微软雅黑" w:hAnsi="微软雅黑" w:eastAsia="微软雅黑" w:cs="微软雅黑"/>
          <w:sz w:val="36"/>
          <w:szCs w:val="36"/>
        </w:rPr>
        <w:t>二〇二X年X月</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60" w:name="_Toc12312"/>
      <w:r>
        <w:rPr>
          <w:rFonts w:hint="eastAsia" w:ascii="微软雅黑" w:hAnsi="微软雅黑" w:eastAsia="微软雅黑" w:cs="微软雅黑"/>
          <w:sz w:val="24"/>
        </w:rPr>
        <w:t>一、经济部分</w:t>
      </w:r>
      <w:bookmarkEnd w:id="152"/>
      <w:bookmarkEnd w:id="153"/>
      <w:bookmarkEnd w:id="154"/>
      <w:bookmarkEnd w:id="155"/>
      <w:bookmarkEnd w:id="156"/>
      <w:bookmarkEnd w:id="157"/>
      <w:bookmarkEnd w:id="160"/>
    </w:p>
    <w:bookmarkEnd w:id="158"/>
    <w:bookmarkEnd w:id="159"/>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开标一览表</w:t>
      </w:r>
    </w:p>
    <w:p>
      <w:pPr>
        <w:tabs>
          <w:tab w:val="left" w:pos="6300"/>
        </w:tabs>
        <w:snapToGrid w:val="0"/>
        <w:spacing w:line="312" w:lineRule="auto"/>
        <w:ind w:firstLine="480" w:firstLineChars="200"/>
        <w:jc w:val="left"/>
        <w:rPr>
          <w:rFonts w:hint="eastAsia" w:ascii="微软雅黑" w:hAnsi="微软雅黑" w:eastAsia="微软雅黑" w:cs="微软雅黑"/>
          <w:b w:val="0"/>
          <w:sz w:val="24"/>
          <w:szCs w:val="24"/>
        </w:rPr>
      </w:pP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（二）明细报价表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bookmarkStart w:id="161" w:name="OLE_LINK2"/>
      <w:bookmarkStart w:id="162" w:name="OLE_LINK1"/>
      <w:r>
        <w:rPr>
          <w:rFonts w:hint="eastAsia" w:ascii="微软雅黑" w:hAnsi="微软雅黑" w:eastAsia="微软雅黑" w:cs="微软雅黑"/>
          <w:sz w:val="24"/>
          <w:szCs w:val="28"/>
        </w:rPr>
        <w:t>。</w:t>
      </w:r>
      <w:bookmarkEnd w:id="161"/>
      <w:bookmarkEnd w:id="162"/>
    </w:p>
    <w:p>
      <w:pPr>
        <w:rPr>
          <w:rFonts w:hint="eastAsia" w:ascii="微软雅黑" w:hAnsi="微软雅黑" w:eastAsia="微软雅黑" w:cs="微软雅黑"/>
          <w:b/>
          <w:bCs/>
          <w:sz w:val="24"/>
        </w:rPr>
      </w:pPr>
      <w:r>
        <w:rPr>
          <w:rFonts w:hint="eastAsia" w:ascii="微软雅黑" w:hAnsi="微软雅黑" w:eastAsia="微软雅黑" w:cs="微软雅黑"/>
          <w:sz w:val="24"/>
          <w:szCs w:val="24"/>
        </w:rPr>
        <w:br w:type="page"/>
      </w:r>
      <w:r>
        <w:rPr>
          <w:rFonts w:hint="eastAsia" w:ascii="微软雅黑" w:hAnsi="微软雅黑" w:eastAsia="微软雅黑" w:cs="微软雅黑"/>
          <w:sz w:val="24"/>
          <w:szCs w:val="24"/>
        </w:rPr>
        <w:t xml:space="preserve"> </w:t>
      </w:r>
      <w:r>
        <w:rPr>
          <w:rFonts w:hint="eastAsia" w:ascii="微软雅黑" w:hAnsi="微软雅黑" w:eastAsia="微软雅黑" w:cs="微软雅黑"/>
          <w:b/>
          <w:bCs/>
          <w:sz w:val="24"/>
          <w:szCs w:val="24"/>
        </w:rPr>
        <w:t xml:space="preserve"> </w:t>
      </w:r>
      <w:bookmarkStart w:id="163" w:name="_Toc106030907"/>
      <w:bookmarkStart w:id="164" w:name="_Toc18669"/>
      <w:bookmarkStart w:id="165" w:name="_Toc313008357"/>
      <w:bookmarkStart w:id="166" w:name="_Toc313888361"/>
      <w:bookmarkStart w:id="167" w:name="_Toc7451"/>
      <w:bookmarkStart w:id="168" w:name="_Toc342913420"/>
      <w:bookmarkStart w:id="169" w:name="_Toc76462351"/>
      <w:r>
        <w:rPr>
          <w:rFonts w:hint="eastAsia" w:ascii="微软雅黑" w:hAnsi="微软雅黑" w:eastAsia="微软雅黑" w:cs="微软雅黑"/>
          <w:b/>
          <w:bCs/>
          <w:sz w:val="24"/>
        </w:rPr>
        <w:t>二、</w:t>
      </w:r>
      <w:r>
        <w:rPr>
          <w:rFonts w:hint="eastAsia" w:ascii="微软雅黑" w:hAnsi="微软雅黑" w:eastAsia="微软雅黑" w:cs="微软雅黑"/>
          <w:b/>
          <w:bCs/>
          <w:sz w:val="24"/>
          <w:lang w:val="en-US" w:eastAsia="zh-CN"/>
        </w:rPr>
        <w:t>服务</w:t>
      </w:r>
      <w:r>
        <w:rPr>
          <w:rFonts w:hint="eastAsia" w:ascii="微软雅黑" w:hAnsi="微软雅黑" w:eastAsia="微软雅黑" w:cs="微软雅黑"/>
          <w:b/>
          <w:bCs/>
          <w:sz w:val="24"/>
        </w:rPr>
        <w:t>部分</w:t>
      </w:r>
      <w:bookmarkEnd w:id="163"/>
      <w:bookmarkEnd w:id="164"/>
      <w:bookmarkEnd w:id="165"/>
      <w:bookmarkEnd w:id="166"/>
      <w:bookmarkEnd w:id="167"/>
      <w:bookmarkEnd w:id="168"/>
      <w:bookmarkEnd w:id="169"/>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服务要求</w:t>
            </w:r>
            <w:r>
              <w:rPr>
                <w:rFonts w:hint="eastAsia" w:ascii="微软雅黑" w:hAnsi="微软雅黑" w:eastAsia="微软雅黑" w:cs="微软雅黑"/>
                <w:sz w:val="21"/>
                <w:szCs w:val="21"/>
              </w:rPr>
              <w:t>以及响应文件中的位置（页码）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eastAsia" w:ascii="微软雅黑" w:hAnsi="微软雅黑" w:eastAsia="微软雅黑" w:cs="微软雅黑"/>
          <w:szCs w:val="24"/>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（二）其他资料（格式自定）</w:t>
      </w:r>
    </w:p>
    <w:p>
      <w:pPr>
        <w:pStyle w:val="5"/>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170" w:name="_Toc8192"/>
      <w:bookmarkStart w:id="171" w:name="_Toc342913421"/>
      <w:bookmarkStart w:id="172" w:name="_Toc313008358"/>
      <w:bookmarkStart w:id="173" w:name="_Toc313888362"/>
      <w:bookmarkStart w:id="174" w:name="_Toc30639"/>
      <w:bookmarkStart w:id="175" w:name="_Toc106030908"/>
      <w:bookmarkStart w:id="176" w:name="_Toc76462352"/>
      <w:r>
        <w:rPr>
          <w:rFonts w:hint="eastAsia" w:ascii="微软雅黑" w:hAnsi="微软雅黑" w:eastAsia="微软雅黑" w:cs="微软雅黑"/>
          <w:sz w:val="24"/>
        </w:rPr>
        <w:t>三、商务部分</w:t>
      </w:r>
      <w:bookmarkEnd w:id="170"/>
      <w:bookmarkEnd w:id="171"/>
      <w:bookmarkEnd w:id="172"/>
      <w:bookmarkEnd w:id="173"/>
      <w:bookmarkEnd w:id="174"/>
      <w:bookmarkEnd w:id="175"/>
      <w:bookmarkEnd w:id="176"/>
    </w:p>
    <w:p>
      <w:pPr>
        <w:tabs>
          <w:tab w:val="left" w:pos="6300"/>
        </w:tabs>
        <w:snapToGrid w:val="0"/>
        <w:spacing w:line="400" w:lineRule="exact"/>
        <w:ind w:firstLine="480" w:firstLineChars="200"/>
        <w:rPr>
          <w:rFonts w:hint="eastAsia" w:ascii="微软雅黑" w:hAnsi="微软雅黑" w:eastAsia="微软雅黑" w:cs="微软雅黑"/>
          <w:szCs w:val="24"/>
        </w:rPr>
      </w:pPr>
      <w:bookmarkStart w:id="177" w:name="_Toc283382459"/>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商务要求</w:t>
            </w:r>
            <w:r>
              <w:rPr>
                <w:rFonts w:hint="eastAsia" w:ascii="微软雅黑" w:hAnsi="微软雅黑" w:eastAsia="微软雅黑" w:cs="微软雅黑"/>
                <w:sz w:val="21"/>
                <w:szCs w:val="21"/>
              </w:rPr>
              <w:t>以及响应文件中的位置（页码）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篇  项目</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（二）其它优惠承诺（格式自定）</w:t>
      </w:r>
    </w:p>
    <w:p>
      <w:pPr>
        <w:snapToGrid w:val="0"/>
        <w:spacing w:line="400" w:lineRule="exact"/>
        <w:ind w:firstLine="480" w:firstLineChars="200"/>
        <w:rPr>
          <w:rFonts w:hint="eastAsia" w:ascii="微软雅黑" w:hAnsi="微软雅黑" w:eastAsia="微软雅黑" w:cs="微软雅黑"/>
          <w:sz w:val="24"/>
          <w:szCs w:val="24"/>
        </w:rPr>
      </w:pP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177"/>
      <w:bookmarkStart w:id="178" w:name="_Toc342913422"/>
      <w:bookmarkStart w:id="179" w:name="_Toc313888363"/>
      <w:bookmarkStart w:id="180" w:name="_Toc313008359"/>
      <w:bookmarkStart w:id="181" w:name="_Toc25076"/>
      <w:bookmarkStart w:id="182" w:name="_Toc106030909"/>
      <w:bookmarkStart w:id="183" w:name="_Toc26948"/>
      <w:bookmarkStart w:id="184" w:name="_Toc76462353"/>
      <w:r>
        <w:rPr>
          <w:rFonts w:hint="eastAsia" w:ascii="微软雅黑" w:hAnsi="微软雅黑" w:eastAsia="微软雅黑" w:cs="微软雅黑"/>
          <w:sz w:val="24"/>
        </w:rPr>
        <w:t>四、资格条件</w:t>
      </w:r>
      <w:bookmarkEnd w:id="178"/>
      <w:bookmarkEnd w:id="179"/>
      <w:bookmarkEnd w:id="180"/>
      <w:bookmarkEnd w:id="181"/>
      <w:bookmarkEnd w:id="182"/>
      <w:bookmarkEnd w:id="183"/>
      <w:bookmarkEnd w:id="184"/>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w:t>
      </w:r>
      <w:r>
        <w:rPr>
          <w:rFonts w:hint="eastAsia" w:ascii="微软雅黑" w:hAnsi="微软雅黑" w:eastAsia="微软雅黑" w:cs="微软雅黑"/>
          <w:sz w:val="24"/>
          <w:lang w:val="en-US" w:eastAsia="zh-CN"/>
        </w:rPr>
        <w:t>投标</w:t>
      </w:r>
      <w:r>
        <w:rPr>
          <w:rFonts w:hint="eastAsia" w:ascii="微软雅黑" w:hAnsi="微软雅黑" w:eastAsia="微软雅黑" w:cs="微软雅黑"/>
          <w:sz w:val="24"/>
        </w:rPr>
        <w:t>、签约等具体工作，并签署全部有关文件、协议及合同。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被授权人：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w:t>
      </w:r>
      <w:r>
        <w:rPr>
          <w:rFonts w:hint="eastAsia" w:ascii="微软雅黑" w:hAnsi="微软雅黑" w:eastAsia="微软雅黑" w:cs="微软雅黑"/>
          <w:sz w:val="24"/>
          <w:szCs w:val="24"/>
          <w:u w:val="none"/>
        </w:rPr>
        <w:t xml:space="preserve">  重庆医科大学附属儿童医院  </w:t>
      </w:r>
      <w:r>
        <w:rPr>
          <w:rFonts w:hint="eastAsia" w:ascii="微软雅黑" w:hAnsi="微软雅黑" w:eastAsia="微软雅黑" w:cs="微软雅黑"/>
          <w:sz w:val="24"/>
          <w:szCs w:val="24"/>
        </w:rPr>
        <w:t>：</w:t>
      </w:r>
    </w:p>
    <w:p>
      <w:pPr>
        <w:tabs>
          <w:tab w:val="left" w:pos="6300"/>
        </w:tabs>
        <w:snapToGrid w:val="0"/>
        <w:spacing w:before="0" w:beforeLines="-2147483648"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w:t>
      </w:r>
      <w:r>
        <w:rPr>
          <w:rFonts w:hint="eastAsia" w:ascii="微软雅黑" w:hAnsi="微软雅黑" w:eastAsia="微软雅黑" w:cs="微软雅黑"/>
          <w:sz w:val="24"/>
          <w:szCs w:val="24"/>
          <w:u w:val="single"/>
          <w:lang w:eastAsia="zh-CN"/>
        </w:rPr>
        <w:t>投标单位</w:t>
      </w:r>
      <w:r>
        <w:rPr>
          <w:rFonts w:hint="eastAsia" w:ascii="微软雅黑" w:hAnsi="微软雅黑" w:eastAsia="微软雅黑" w:cs="微软雅黑"/>
          <w:sz w:val="24"/>
          <w:szCs w:val="24"/>
          <w:u w:val="single"/>
        </w:rPr>
        <w:t>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所有要求。</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w:t>
      </w:r>
      <w:r>
        <w:rPr>
          <w:rFonts w:hint="eastAsia" w:ascii="微软雅黑" w:hAnsi="微软雅黑" w:eastAsia="微软雅黑" w:cs="微软雅黑"/>
          <w:sz w:val="24"/>
          <w:szCs w:val="24"/>
          <w:lang w:eastAsia="zh-CN"/>
        </w:rPr>
        <w:t>投标单位</w:t>
      </w:r>
      <w:r>
        <w:rPr>
          <w:rFonts w:hint="eastAsia" w:ascii="微软雅黑" w:hAnsi="微软雅黑" w:eastAsia="微软雅黑" w:cs="微软雅黑"/>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要求，提供招标项目的技术服务。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要求提交的</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为：</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中规定的各项要求以及我方</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的各项承诺，按《政府采购法》、《</w:t>
      </w:r>
      <w:r>
        <w:rPr>
          <w:rFonts w:hint="eastAsia" w:ascii="微软雅黑" w:hAnsi="微软雅黑" w:eastAsia="微软雅黑" w:cs="微软雅黑"/>
          <w:sz w:val="24"/>
          <w:szCs w:val="24"/>
          <w:lang w:val="en-US" w:eastAsia="zh-CN"/>
        </w:rPr>
        <w:t>民法典</w:t>
      </w:r>
      <w:r>
        <w:rPr>
          <w:rFonts w:hint="eastAsia" w:ascii="微软雅黑" w:hAnsi="微软雅黑" w:eastAsia="微软雅黑" w:cs="微软雅黑"/>
          <w:sz w:val="24"/>
          <w:szCs w:val="24"/>
        </w:rPr>
        <w:t>》及合同约定条款承担我方责任。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要求，缴纳足额投标保证金。</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w:t>
      </w:r>
      <w:r>
        <w:rPr>
          <w:rFonts w:hint="eastAsia" w:ascii="微软雅黑" w:hAnsi="微软雅黑" w:eastAsia="微软雅黑" w:cs="微软雅黑"/>
          <w:sz w:val="24"/>
          <w:szCs w:val="24"/>
          <w:lang w:val="en-US" w:eastAsia="zh-CN"/>
        </w:rPr>
        <w:t>人</w:t>
      </w:r>
      <w:r>
        <w:rPr>
          <w:rFonts w:hint="eastAsia" w:ascii="微软雅黑" w:hAnsi="微软雅黑" w:eastAsia="微软雅黑" w:cs="微软雅黑"/>
          <w:sz w:val="24"/>
          <w:szCs w:val="24"/>
        </w:rPr>
        <w:t>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8"/>
        <w:rPr>
          <w:rFonts w:hint="eastAsia" w:ascii="微软雅黑" w:hAnsi="微软雅黑" w:eastAsia="微软雅黑" w:cs="微软雅黑"/>
        </w:rPr>
      </w:pPr>
    </w:p>
    <w:p>
      <w:pPr>
        <w:pStyle w:val="69"/>
        <w:rPr>
          <w:rFonts w:hint="eastAsia" w:ascii="微软雅黑" w:hAnsi="微软雅黑" w:eastAsia="微软雅黑" w:cs="微软雅黑"/>
        </w:rPr>
      </w:pPr>
    </w:p>
    <w:p>
      <w:pPr>
        <w:pStyle w:val="69"/>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5"/>
        <w:adjustRightInd w:val="0"/>
        <w:snapToGrid w:val="0"/>
        <w:spacing w:before="0" w:after="0" w:line="400" w:lineRule="exact"/>
        <w:ind w:firstLine="560" w:firstLineChars="200"/>
        <w:rPr>
          <w:rFonts w:hint="eastAsia" w:ascii="微软雅黑" w:hAnsi="微软雅黑" w:eastAsia="微软雅黑" w:cs="微软雅黑"/>
          <w:sz w:val="24"/>
        </w:rPr>
      </w:pPr>
      <w:bookmarkStart w:id="185" w:name="_Toc14422"/>
      <w:r>
        <w:rPr>
          <w:rFonts w:hint="eastAsia" w:ascii="微软雅黑" w:hAnsi="微软雅黑" w:eastAsia="微软雅黑" w:cs="微软雅黑"/>
          <w:b w:val="0"/>
          <w:sz w:val="28"/>
        </w:rPr>
        <w:br w:type="page"/>
      </w:r>
      <w:bookmarkStart w:id="186" w:name="_Toc737"/>
      <w:bookmarkStart w:id="187" w:name="_Toc76462354"/>
      <w:bookmarkStart w:id="188" w:name="_Toc106030910"/>
      <w:bookmarkStart w:id="189" w:name="_Toc8805"/>
      <w:r>
        <w:rPr>
          <w:rFonts w:hint="eastAsia" w:ascii="微软雅黑" w:hAnsi="微软雅黑" w:eastAsia="微软雅黑" w:cs="微软雅黑"/>
          <w:sz w:val="24"/>
        </w:rPr>
        <w:t>五、其他资料</w:t>
      </w:r>
      <w:bookmarkEnd w:id="185"/>
      <w:bookmarkEnd w:id="186"/>
      <w:bookmarkEnd w:id="187"/>
      <w:bookmarkEnd w:id="188"/>
      <w:bookmarkEnd w:id="18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综合评标条款响应证明材料</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sectPr>
      <w:headerReference r:id="rId16"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embedRegular r:id="rId1" w:fontKey="{EEE25E08-6E31-4145-8616-F5CFD8DD6607}"/>
  </w:font>
  <w:font w:name="华文细黑">
    <w:altName w:val="微软雅黑"/>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embedRegular r:id="rId2" w:fontKey="{8F0BB7C2-D9B9-4134-9190-4B6212920AAF}"/>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1"/>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A044D4"/>
    <w:multiLevelType w:val="singleLevel"/>
    <w:tmpl w:val="9DA044D4"/>
    <w:lvl w:ilvl="0" w:tentative="0">
      <w:start w:val="1"/>
      <w:numFmt w:val="chineseCounting"/>
      <w:suff w:val="nothing"/>
      <w:lvlText w:val="（%1）"/>
      <w:lvlJc w:val="left"/>
      <w:rPr>
        <w:rFonts w:hint="eastAsia"/>
      </w:rPr>
    </w:lvl>
  </w:abstractNum>
  <w:abstractNum w:abstractNumId="1">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3"/>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5"/>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9"/>
  </w:num>
  <w:num w:numId="2">
    <w:abstractNumId w:val="6"/>
  </w:num>
  <w:num w:numId="3">
    <w:abstractNumId w:val="4"/>
  </w:num>
  <w:num w:numId="4">
    <w:abstractNumId w:val="10"/>
  </w:num>
  <w:num w:numId="5">
    <w:abstractNumId w:val="13"/>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21377C"/>
    <w:rsid w:val="026C7369"/>
    <w:rsid w:val="030620E3"/>
    <w:rsid w:val="043206CC"/>
    <w:rsid w:val="079B568B"/>
    <w:rsid w:val="07F103E0"/>
    <w:rsid w:val="092E6FC0"/>
    <w:rsid w:val="0A1B7A08"/>
    <w:rsid w:val="0A823A37"/>
    <w:rsid w:val="0B4077B6"/>
    <w:rsid w:val="0BB87E47"/>
    <w:rsid w:val="0BC54681"/>
    <w:rsid w:val="0D1F249B"/>
    <w:rsid w:val="0D2C3F46"/>
    <w:rsid w:val="0E727B5D"/>
    <w:rsid w:val="100C1CBA"/>
    <w:rsid w:val="147A5E14"/>
    <w:rsid w:val="15935DB5"/>
    <w:rsid w:val="15BB3449"/>
    <w:rsid w:val="17351C20"/>
    <w:rsid w:val="178B1D79"/>
    <w:rsid w:val="17A1211B"/>
    <w:rsid w:val="18ED7A84"/>
    <w:rsid w:val="19255AF5"/>
    <w:rsid w:val="193B151F"/>
    <w:rsid w:val="1A7E6296"/>
    <w:rsid w:val="1ADD79D6"/>
    <w:rsid w:val="1C5F6A76"/>
    <w:rsid w:val="1F0D01CA"/>
    <w:rsid w:val="21864056"/>
    <w:rsid w:val="2486441F"/>
    <w:rsid w:val="2861255A"/>
    <w:rsid w:val="2AA01F44"/>
    <w:rsid w:val="2E2D3EDF"/>
    <w:rsid w:val="300C58E0"/>
    <w:rsid w:val="332D1E43"/>
    <w:rsid w:val="33564527"/>
    <w:rsid w:val="35397720"/>
    <w:rsid w:val="38141CAD"/>
    <w:rsid w:val="39992FFF"/>
    <w:rsid w:val="39AA75C6"/>
    <w:rsid w:val="39C353F8"/>
    <w:rsid w:val="3ACE5D4F"/>
    <w:rsid w:val="3C55524B"/>
    <w:rsid w:val="3CD2331B"/>
    <w:rsid w:val="3DF6488D"/>
    <w:rsid w:val="3EEC6CD3"/>
    <w:rsid w:val="3F1C71CA"/>
    <w:rsid w:val="406334F2"/>
    <w:rsid w:val="409F14A1"/>
    <w:rsid w:val="415F6EA3"/>
    <w:rsid w:val="41B20BF4"/>
    <w:rsid w:val="42395B6E"/>
    <w:rsid w:val="423A7D1B"/>
    <w:rsid w:val="452C7897"/>
    <w:rsid w:val="461406BE"/>
    <w:rsid w:val="479F10AA"/>
    <w:rsid w:val="48794403"/>
    <w:rsid w:val="487A6880"/>
    <w:rsid w:val="494C6B8D"/>
    <w:rsid w:val="497B7CB3"/>
    <w:rsid w:val="4B2D12E0"/>
    <w:rsid w:val="4BEB6B31"/>
    <w:rsid w:val="4D4E307F"/>
    <w:rsid w:val="4DD36371"/>
    <w:rsid w:val="4F070047"/>
    <w:rsid w:val="4F3C244F"/>
    <w:rsid w:val="4FD926DD"/>
    <w:rsid w:val="5115115D"/>
    <w:rsid w:val="521E4A24"/>
    <w:rsid w:val="52D92ACB"/>
    <w:rsid w:val="52D93D20"/>
    <w:rsid w:val="53B4776F"/>
    <w:rsid w:val="53DF1E3A"/>
    <w:rsid w:val="558E730F"/>
    <w:rsid w:val="57857077"/>
    <w:rsid w:val="57EF5962"/>
    <w:rsid w:val="58E12CC4"/>
    <w:rsid w:val="5A857651"/>
    <w:rsid w:val="5B9C3E91"/>
    <w:rsid w:val="5CA67F0E"/>
    <w:rsid w:val="602776D9"/>
    <w:rsid w:val="60E05AE3"/>
    <w:rsid w:val="61625D90"/>
    <w:rsid w:val="62A13B63"/>
    <w:rsid w:val="65C328F3"/>
    <w:rsid w:val="66246E50"/>
    <w:rsid w:val="68BD663A"/>
    <w:rsid w:val="692F74C0"/>
    <w:rsid w:val="696405DD"/>
    <w:rsid w:val="6A6E3B1F"/>
    <w:rsid w:val="6B2E5407"/>
    <w:rsid w:val="6EAD09E0"/>
    <w:rsid w:val="6F4859CD"/>
    <w:rsid w:val="6FE969BF"/>
    <w:rsid w:val="70003319"/>
    <w:rsid w:val="701245F9"/>
    <w:rsid w:val="71175C34"/>
    <w:rsid w:val="747D277F"/>
    <w:rsid w:val="74D70DF7"/>
    <w:rsid w:val="750950F5"/>
    <w:rsid w:val="750D16CF"/>
    <w:rsid w:val="76FE3F87"/>
    <w:rsid w:val="789F3DA6"/>
    <w:rsid w:val="78A52377"/>
    <w:rsid w:val="78EF15F1"/>
    <w:rsid w:val="79082185"/>
    <w:rsid w:val="7A6F77AB"/>
    <w:rsid w:val="7AAC4823"/>
    <w:rsid w:val="7B5B7497"/>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qFormat/>
    <w:uiPriority w:val="0"/>
    <w:pPr>
      <w:keepNext/>
      <w:snapToGrid w:val="0"/>
      <w:spacing w:line="360" w:lineRule="atLeast"/>
      <w:outlineLvl w:val="0"/>
    </w:pPr>
    <w:rPr>
      <w:rFonts w:ascii="宋体"/>
    </w:rPr>
  </w:style>
  <w:style w:type="paragraph" w:styleId="5">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8">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9">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10">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1">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2">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3"/>
    <w:qFormat/>
    <w:uiPriority w:val="0"/>
    <w:rPr>
      <w:rFonts w:ascii="仿宋_GB2312" w:eastAsia="仿宋_GB2312"/>
      <w:sz w:val="32"/>
    </w:rPr>
  </w:style>
  <w:style w:type="paragraph" w:styleId="3">
    <w:name w:val="Body Text First Indent"/>
    <w:basedOn w:val="1"/>
    <w:next w:val="1"/>
    <w:qFormat/>
    <w:uiPriority w:val="0"/>
    <w:pPr>
      <w:spacing w:line="360" w:lineRule="auto"/>
      <w:ind w:firstLine="420"/>
    </w:pPr>
    <w:rPr>
      <w:rFonts w:ascii="宋体" w:hAnsi="宋体"/>
      <w:sz w:val="24"/>
    </w:rPr>
  </w:style>
  <w:style w:type="paragraph" w:styleId="13">
    <w:name w:val="List 3"/>
    <w:basedOn w:val="1"/>
    <w:qFormat/>
    <w:uiPriority w:val="0"/>
    <w:pPr>
      <w:adjustRightInd w:val="0"/>
      <w:snapToGrid w:val="0"/>
      <w:spacing w:line="360" w:lineRule="auto"/>
      <w:ind w:left="100" w:leftChars="400" w:hanging="200" w:hangingChars="200"/>
    </w:pPr>
    <w:rPr>
      <w:sz w:val="24"/>
    </w:rPr>
  </w:style>
  <w:style w:type="paragraph" w:styleId="14">
    <w:name w:val="toc 7"/>
    <w:basedOn w:val="1"/>
    <w:next w:val="1"/>
    <w:qFormat/>
    <w:uiPriority w:val="0"/>
    <w:pPr>
      <w:ind w:left="2520" w:leftChars="1200"/>
    </w:pPr>
  </w:style>
  <w:style w:type="paragraph" w:styleId="15">
    <w:name w:val="List Number 2"/>
    <w:basedOn w:val="1"/>
    <w:qFormat/>
    <w:uiPriority w:val="0"/>
    <w:pPr>
      <w:numPr>
        <w:ilvl w:val="0"/>
        <w:numId w:val="1"/>
      </w:numPr>
      <w:tabs>
        <w:tab w:val="left" w:pos="780"/>
        <w:tab w:val="clear" w:pos="425"/>
      </w:tabs>
      <w:spacing w:line="360" w:lineRule="auto"/>
    </w:pPr>
    <w:rPr>
      <w:sz w:val="24"/>
    </w:rPr>
  </w:style>
  <w:style w:type="paragraph" w:styleId="16">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7">
    <w:name w:val="Normal Indent"/>
    <w:basedOn w:val="1"/>
    <w:qFormat/>
    <w:uiPriority w:val="0"/>
    <w:pPr>
      <w:adjustRightInd w:val="0"/>
      <w:snapToGrid w:val="0"/>
      <w:spacing w:line="360" w:lineRule="auto"/>
      <w:ind w:firstLine="420"/>
    </w:pPr>
    <w:rPr>
      <w:sz w:val="24"/>
    </w:rPr>
  </w:style>
  <w:style w:type="paragraph" w:styleId="18">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9">
    <w:name w:val="Document Map"/>
    <w:basedOn w:val="1"/>
    <w:qFormat/>
    <w:uiPriority w:val="0"/>
    <w:pPr>
      <w:shd w:val="clear" w:color="auto" w:fill="000080"/>
    </w:pPr>
  </w:style>
  <w:style w:type="paragraph" w:styleId="20">
    <w:name w:val="toa heading"/>
    <w:basedOn w:val="1"/>
    <w:next w:val="1"/>
    <w:qFormat/>
    <w:uiPriority w:val="0"/>
    <w:pPr>
      <w:spacing w:before="120" w:beforeLines="0"/>
    </w:pPr>
    <w:rPr>
      <w:rFonts w:ascii="Arial" w:hAnsi="Arial"/>
      <w:sz w:val="24"/>
    </w:rPr>
  </w:style>
  <w:style w:type="paragraph" w:styleId="21">
    <w:name w:val="annotation text"/>
    <w:basedOn w:val="1"/>
    <w:link w:val="72"/>
    <w:qFormat/>
    <w:uiPriority w:val="0"/>
    <w:pPr>
      <w:adjustRightInd w:val="0"/>
      <w:spacing w:line="360" w:lineRule="atLeast"/>
      <w:jc w:val="left"/>
      <w:textAlignment w:val="baseline"/>
    </w:pPr>
    <w:rPr>
      <w:kern w:val="0"/>
      <w:sz w:val="24"/>
    </w:rPr>
  </w:style>
  <w:style w:type="paragraph" w:styleId="22">
    <w:name w:val="Body Text 3"/>
    <w:basedOn w:val="1"/>
    <w:qFormat/>
    <w:uiPriority w:val="0"/>
    <w:pPr>
      <w:adjustRightInd w:val="0"/>
      <w:snapToGrid w:val="0"/>
      <w:spacing w:after="120" w:afterLines="0" w:afterAutospacing="0" w:line="360" w:lineRule="auto"/>
    </w:pPr>
    <w:rPr>
      <w:sz w:val="16"/>
    </w:rPr>
  </w:style>
  <w:style w:type="paragraph" w:styleId="23">
    <w:name w:val="List Bullet 3"/>
    <w:basedOn w:val="1"/>
    <w:qFormat/>
    <w:uiPriority w:val="0"/>
    <w:pPr>
      <w:numPr>
        <w:ilvl w:val="0"/>
        <w:numId w:val="3"/>
      </w:numPr>
      <w:adjustRightInd w:val="0"/>
      <w:snapToGrid w:val="0"/>
      <w:spacing w:line="360" w:lineRule="auto"/>
    </w:pPr>
    <w:rPr>
      <w:sz w:val="24"/>
    </w:rPr>
  </w:style>
  <w:style w:type="paragraph" w:styleId="24">
    <w:name w:val="Body Text Indent"/>
    <w:basedOn w:val="1"/>
    <w:link w:val="73"/>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afterLines="0" w:afterAutospacing="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0"/>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4"/>
    <w:qFormat/>
    <w:uiPriority w:val="0"/>
  </w:style>
  <w:style w:type="paragraph" w:styleId="34">
    <w:name w:val="Body Text Indent 2"/>
    <w:basedOn w:val="1"/>
    <w:link w:val="75"/>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8"/>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6"/>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afterLines="0" w:afterAutospacing="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5">
    <w:name w:val="annotation subject"/>
    <w:basedOn w:val="21"/>
    <w:next w:val="21"/>
    <w:link w:val="77"/>
    <w:qFormat/>
    <w:uiPriority w:val="0"/>
    <w:pPr>
      <w:adjustRightInd/>
      <w:spacing w:line="240" w:lineRule="auto"/>
      <w:textAlignment w:val="auto"/>
    </w:pPr>
  </w:style>
  <w:style w:type="paragraph" w:styleId="56">
    <w:name w:val="Body Text First Indent 2"/>
    <w:basedOn w:val="24"/>
    <w:link w:val="78"/>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basedOn w:val="59"/>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Char"/>
    <w:link w:val="5"/>
    <w:qFormat/>
    <w:uiPriority w:val="0"/>
    <w:rPr>
      <w:rFonts w:ascii="Arial" w:hAnsi="Arial" w:eastAsia="黑体"/>
      <w:b/>
      <w:kern w:val="2"/>
      <w:sz w:val="32"/>
    </w:rPr>
  </w:style>
  <w:style w:type="character" w:customStyle="1" w:styleId="71">
    <w:name w:val="标题 3 Char"/>
    <w:link w:val="6"/>
    <w:qFormat/>
    <w:uiPriority w:val="0"/>
    <w:rPr>
      <w:rFonts w:eastAsia="宋体"/>
      <w:b/>
      <w:kern w:val="2"/>
      <w:sz w:val="32"/>
      <w:lang w:val="en-US" w:eastAsia="zh-CN"/>
    </w:rPr>
  </w:style>
  <w:style w:type="character" w:customStyle="1" w:styleId="72">
    <w:name w:val="批注文字 Char"/>
    <w:link w:val="21"/>
    <w:qFormat/>
    <w:uiPriority w:val="0"/>
    <w:rPr>
      <w:sz w:val="24"/>
    </w:rPr>
  </w:style>
  <w:style w:type="character" w:customStyle="1" w:styleId="73">
    <w:name w:val="正文文本缩进 Char"/>
    <w:link w:val="24"/>
    <w:qFormat/>
    <w:uiPriority w:val="0"/>
    <w:rPr>
      <w:kern w:val="2"/>
      <w:sz w:val="44"/>
    </w:rPr>
  </w:style>
  <w:style w:type="character" w:customStyle="1" w:styleId="74">
    <w:name w:val="日期 Char"/>
    <w:link w:val="33"/>
    <w:qFormat/>
    <w:uiPriority w:val="0"/>
    <w:rPr>
      <w:kern w:val="2"/>
      <w:sz w:val="28"/>
    </w:rPr>
  </w:style>
  <w:style w:type="character" w:customStyle="1" w:styleId="75">
    <w:name w:val="正文文本缩进 2 Char"/>
    <w:link w:val="34"/>
    <w:qFormat/>
    <w:uiPriority w:val="0"/>
    <w:rPr>
      <w:kern w:val="2"/>
      <w:sz w:val="28"/>
    </w:rPr>
  </w:style>
  <w:style w:type="character" w:customStyle="1" w:styleId="76">
    <w:name w:val="脚注文本 Char"/>
    <w:link w:val="41"/>
    <w:qFormat/>
    <w:uiPriority w:val="0"/>
    <w:rPr>
      <w:kern w:val="2"/>
      <w:sz w:val="18"/>
    </w:rPr>
  </w:style>
  <w:style w:type="character" w:customStyle="1" w:styleId="77">
    <w:name w:val="批注主题 Char"/>
    <w:link w:val="55"/>
    <w:qFormat/>
    <w:uiPriority w:val="0"/>
  </w:style>
  <w:style w:type="character" w:customStyle="1" w:styleId="78">
    <w:name w:val="正文首行缩进 2 Char"/>
    <w:link w:val="56"/>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6"/>
    <w:next w:val="3"/>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4"/>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4"/>
    <w:next w:val="4"/>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5"/>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7"/>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9"/>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1"/>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9"/>
    <w:qFormat/>
    <w:uiPriority w:val="0"/>
    <w:rPr>
      <w:rFonts w:ascii="宋体" w:hAnsi="Tahoma"/>
    </w:rPr>
  </w:style>
  <w:style w:type="paragraph" w:customStyle="1" w:styleId="147">
    <w:name w:val="样式 标题 6第五层条 + 三号 段前: 0.5 行"/>
    <w:basedOn w:val="9"/>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4"/>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7"/>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4"/>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6"/>
    <w:qFormat/>
    <w:uiPriority w:val="0"/>
    <w:pPr>
      <w:numPr>
        <w:ilvl w:val="2"/>
        <w:numId w:val="2"/>
      </w:numPr>
      <w:tabs>
        <w:tab w:val="left" w:pos="709"/>
        <w:tab w:val="left" w:pos="1620"/>
      </w:tabs>
      <w:spacing w:line="413" w:lineRule="auto"/>
    </w:pPr>
  </w:style>
  <w:style w:type="paragraph" w:customStyle="1" w:styleId="175">
    <w:name w:val="样式4"/>
    <w:basedOn w:val="7"/>
    <w:qFormat/>
    <w:uiPriority w:val="0"/>
    <w:pPr>
      <w:adjustRightInd w:val="0"/>
      <w:snapToGrid w:val="0"/>
    </w:pPr>
  </w:style>
  <w:style w:type="paragraph" w:customStyle="1" w:styleId="176">
    <w:name w:val="摘要"/>
    <w:basedOn w:val="1"/>
    <w:next w:val="5"/>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7"/>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4"/>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4"/>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1"/>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1"/>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2">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3">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4">
    <w:name w:val="Table Paragraph"/>
    <w:basedOn w:val="1"/>
    <w:qFormat/>
    <w:uiPriority w:val="1"/>
    <w:pPr>
      <w:autoSpaceDE w:val="0"/>
      <w:autoSpaceDN w:val="0"/>
      <w:spacing w:before="99"/>
      <w:jc w:val="left"/>
    </w:pPr>
    <w:rPr>
      <w:rFonts w:hAnsi="宋体" w:cs="宋体"/>
      <w:sz w:val="22"/>
      <w:szCs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8893</Words>
  <Characters>9179</Characters>
  <Lines>170</Lines>
  <Paragraphs>47</Paragraphs>
  <TotalTime>7</TotalTime>
  <ScaleCrop>false</ScaleCrop>
  <LinksUpToDate>false</LinksUpToDate>
  <CharactersWithSpaces>10381</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龚梦嘉</cp:lastModifiedBy>
  <cp:lastPrinted>2015-03-25T02:14:00Z</cp:lastPrinted>
  <dcterms:modified xsi:type="dcterms:W3CDTF">2025-08-05T06:54:16Z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51FA27654339415E9A775571E41CFDF2</vt:lpwstr>
  </property>
  <property fmtid="{D5CDD505-2E9C-101B-9397-08002B2CF9AE}" pid="4" name="KSOTemplateDocerSaveRecord">
    <vt:lpwstr>eyJoZGlkIjoiYzA4ZjMyNjE1MmI1NTRjY2ViMTFiNjZiY2RkMzNiZmYiLCJ1c2VySWQiOiIxMzAwOTA2NjY5In0=</vt:lpwstr>
  </property>
</Properties>
</file>