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rPr>
          <w:rFonts w:cs="宋体" w:asciiTheme="minorEastAsia" w:hAnsiTheme="minorEastAsia" w:eastAsiaTheme="minorEastAsia"/>
          <w:b/>
          <w:bCs/>
          <w:color w:val="333333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b/>
          <w:bCs/>
          <w:color w:val="333333"/>
          <w:sz w:val="24"/>
          <w:szCs w:val="24"/>
        </w:rPr>
        <w:t>附件1：</w:t>
      </w:r>
    </w:p>
    <w:p>
      <w:pPr>
        <w:rPr>
          <w:rFonts w:ascii="Calibri" w:hAnsi="Calibri" w:eastAsia="仿宋" w:cs="Times New Roman"/>
          <w:b/>
          <w:sz w:val="28"/>
          <w:szCs w:val="28"/>
        </w:rPr>
      </w:pPr>
      <w:r>
        <w:rPr>
          <w:rFonts w:hint="eastAsia" w:ascii="Calibri" w:hAnsi="Calibri" w:eastAsia="仿宋" w:cs="Times New Roman"/>
          <w:b/>
          <w:sz w:val="28"/>
          <w:szCs w:val="28"/>
        </w:rPr>
        <w:t xml:space="preserve"> 一、隔热钢质防火门及五金配件技术要求</w:t>
      </w:r>
    </w:p>
    <w:p>
      <w:pPr>
        <w:rPr>
          <w:rFonts w:ascii="Calibri" w:hAnsi="Calibri" w:eastAsia="仿宋" w:cs="Times New Roman"/>
          <w:b/>
          <w:sz w:val="28"/>
          <w:szCs w:val="28"/>
        </w:rPr>
      </w:pPr>
      <w:r>
        <w:rPr>
          <w:rFonts w:hint="eastAsia" w:ascii="Calibri" w:hAnsi="Calibri" w:eastAsia="仿宋" w:cs="Times New Roman"/>
          <w:b/>
          <w:sz w:val="28"/>
          <w:szCs w:val="28"/>
        </w:rPr>
        <w:t>1、防火门技术概况：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（1）本次招标标的物为隔热甲级钢质防火门。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（2）防火门执行规范：GB12955-2008《防火门》、GB50877-2014《防火卷帘、防火门、防火窗施工及验收规范》等现行相关规范；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（3）各个位置的等级及规格参见建筑图，若清单与建筑图不一致时以建筑图为准；</w:t>
      </w:r>
    </w:p>
    <w:p>
      <w:pPr>
        <w:rPr>
          <w:rFonts w:ascii="Calibri" w:hAnsi="Calibri" w:eastAsia="仿宋" w:cs="Times New Roman"/>
          <w:b/>
          <w:sz w:val="28"/>
          <w:szCs w:val="28"/>
        </w:rPr>
      </w:pPr>
      <w:r>
        <w:rPr>
          <w:rFonts w:hint="eastAsia" w:ascii="Calibri" w:hAnsi="Calibri" w:eastAsia="仿宋" w:cs="Times New Roman"/>
          <w:b/>
          <w:sz w:val="28"/>
          <w:szCs w:val="28"/>
        </w:rPr>
        <w:t>2、防火门材质及表面工艺要求：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防火门材料厚度要求：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（1）门扇面板：采用不低于0.8mm冷轧钢板；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  <w:lang w:bidi="ar"/>
        </w:rPr>
        <w:t>门扇四周两侧内置加强筋（角钢）；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（2）门框板：采用不低于1.2mm冷轧钢板；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（3）防火门表面处理：采用喷塑、热转印、PVC覆膜均可，但所投产品各类产品的表面处理必须一致，颜色根据现场原防火门颜色确定；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（4）门体厚度不得低于6公分，颜色为灰色（参照已更换执行），门体荷叶不得少于4个，门套为304不锈钢及多层实木门套；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（5）需要焊接的区域须使用连续焊接工艺，焊接长度不得低于总长度的1/2，单个焊点焊接长度不得低于3cm。</w:t>
      </w:r>
    </w:p>
    <w:p>
      <w:pPr>
        <w:rPr>
          <w:rFonts w:ascii="Calibri" w:hAnsi="Calibri" w:eastAsia="仿宋" w:cs="Times New Roman"/>
          <w:b/>
          <w:sz w:val="28"/>
          <w:szCs w:val="28"/>
        </w:rPr>
      </w:pPr>
      <w:r>
        <w:rPr>
          <w:rFonts w:hint="eastAsia" w:ascii="Calibri" w:hAnsi="Calibri" w:eastAsia="仿宋" w:cs="Times New Roman"/>
          <w:b/>
          <w:sz w:val="28"/>
          <w:szCs w:val="28"/>
        </w:rPr>
        <w:t>3、闭门器要求：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闭门器必须满足GA 93-2004 《防火门闭门器》的要求；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（1）防火门采用电动闭门器，电动闭门器及相关的防火门监控系统已纳入大楼消防工程，中标人必须配合大楼消防施工单位进行孔洞预留、线路预留、配合进行电动闭门器安装；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（2）.常开防火门电动闭门器接线头长度预留不低于40cm,保证可以将线头接至模块接线盒；闭门器接线从门框中进出，门框外预留接线不低于40cm；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（3）常闭防火门闭门器及顺序器在本次招标范围内，要求投标人充分考虑本大楼防火门必须频繁使用的实际情况，选用质量优良、经久耐用的产品（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  <w:lang w:eastAsia="zh-CN"/>
        </w:rPr>
        <w:t>为增加使用寿命，减少故障率，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建议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  <w:lang w:eastAsia="zh-CN"/>
        </w:rPr>
        <w:t>使用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多玛TS68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  <w:lang w:eastAsia="zh-CN"/>
        </w:rPr>
        <w:t>、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施妥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  <w:lang w:eastAsia="zh-CN"/>
        </w:rPr>
        <w:t>、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盖泽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  <w:lang w:eastAsia="zh-CN"/>
        </w:rPr>
        <w:t>等进口大功率闭门器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）。</w:t>
      </w:r>
    </w:p>
    <w:p>
      <w:pPr>
        <w:rPr>
          <w:rFonts w:ascii="Calibri" w:hAnsi="Calibri" w:eastAsia="仿宋" w:cs="Times New Roman"/>
          <w:b/>
          <w:sz w:val="28"/>
          <w:szCs w:val="28"/>
        </w:rPr>
      </w:pPr>
      <w:r>
        <w:rPr>
          <w:rFonts w:hint="eastAsia" w:ascii="Calibri" w:hAnsi="Calibri" w:eastAsia="仿宋" w:cs="Times New Roman"/>
          <w:b/>
          <w:sz w:val="28"/>
          <w:szCs w:val="28"/>
        </w:rPr>
        <w:t>4、防火门拉手形式要求：</w:t>
      </w:r>
      <w:bookmarkStart w:id="0" w:name="_GoBack"/>
      <w:bookmarkEnd w:id="0"/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（1）强电井、弱电井、水井、医用气体井等面向通道的井道门采用内嵌式拉手，如下图二所示；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（2）其余位置采用不锈钢拉手，如下图一所示；</w:t>
      </w:r>
    </w:p>
    <w:p>
      <w:pPr>
        <w:ind w:firstLine="700" w:firstLineChars="250"/>
        <w:rPr>
          <w:rFonts w:ascii="Calibri" w:hAnsi="Calibri" w:eastAsia="仿宋" w:cs="Times New Roman"/>
          <w:sz w:val="28"/>
          <w:szCs w:val="28"/>
        </w:rPr>
      </w:pPr>
      <w:r>
        <w:rPr>
          <w:rFonts w:hint="eastAsia" w:ascii="Calibri" w:hAnsi="Calibri" w:eastAsia="仿宋" w:cs="Times New Roman"/>
          <w:sz w:val="28"/>
          <w:szCs w:val="28"/>
        </w:rPr>
        <w:drawing>
          <wp:inline distT="0" distB="0" distL="0" distR="0">
            <wp:extent cx="1657350" cy="17240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Calibri" w:hAnsi="Calibri" w:eastAsia="仿宋" w:cs="Times New Roman"/>
          <w:sz w:val="28"/>
          <w:szCs w:val="28"/>
        </w:rPr>
        <w:t xml:space="preserve">  图一        </w:t>
      </w:r>
      <w:r>
        <w:rPr>
          <w:rFonts w:hint="eastAsia" w:ascii="Calibri" w:hAnsi="Calibri" w:eastAsia="仿宋" w:cs="Times New Roman"/>
          <w:sz w:val="28"/>
          <w:szCs w:val="28"/>
        </w:rPr>
        <w:drawing>
          <wp:inline distT="0" distB="0" distL="114300" distR="114300">
            <wp:extent cx="1555115" cy="1743075"/>
            <wp:effectExtent l="0" t="0" r="6985" b="9525"/>
            <wp:docPr id="2" name="图片 2" descr="f9c2aff5190a17142bf576beca90db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9c2aff5190a17142bf576beca90dbf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5511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Calibri" w:hAnsi="Calibri" w:eastAsia="仿宋" w:cs="Times New Roman"/>
          <w:sz w:val="28"/>
          <w:szCs w:val="28"/>
        </w:rPr>
        <w:t xml:space="preserve">    图二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(3)投标时提供拉手安装及连接的大样图，要求详细反映拉手在门扇上的固定形式。</w:t>
      </w:r>
    </w:p>
    <w:p>
      <w:pPr>
        <w:rPr>
          <w:rFonts w:ascii="Calibri" w:hAnsi="Calibri" w:eastAsia="仿宋" w:cs="Times New Roman"/>
          <w:b/>
          <w:sz w:val="28"/>
          <w:szCs w:val="28"/>
        </w:rPr>
      </w:pPr>
      <w:r>
        <w:rPr>
          <w:rFonts w:hint="eastAsia" w:ascii="Calibri" w:hAnsi="Calibri" w:eastAsia="仿宋" w:cs="Times New Roman"/>
          <w:b/>
          <w:sz w:val="28"/>
          <w:szCs w:val="28"/>
        </w:rPr>
        <w:t>5、产品质量要求：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Calibri" w:hAnsi="Calibri" w:eastAsia="仿宋" w:cs="Times New Roman"/>
          <w:sz w:val="28"/>
          <w:szCs w:val="28"/>
        </w:rPr>
        <w:t xml:space="preserve">  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 xml:space="preserve"> 一、防火门产品质量要求：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(1)防火门及五金配件以及原材料需完全满足设计要求及国家标准《防火门》（GB12955-2008），取得消防产品的</w:t>
      </w:r>
      <w: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  <w:t>产品型式认可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以及身份证标识。要求所投保产品的消防产品型式认可证必须为有效状态，并提供中国消防产品信息网的证书查询截图。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(2)门型及颜色需满足设计要求。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(3)防火等级满足设计要求。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(4)保温达到一级保温要求。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(5)有切实可行的成品保护系统。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 xml:space="preserve">  二、构造、材质及工艺（根据中标产品确定）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 xml:space="preserve">   （1）外部结构：门框、门扇、门扇封边、门扇钢板厚度符合各相应防火等级要求；材质、工艺根据投标文件。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 xml:space="preserve">   （2）内部构造：加筋、填充料满足设计及相应规范要求。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 xml:space="preserve">   （3）钢材全部采用大厂正规渠道材料，符合GB/T708、GB/T709相应要求。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 xml:space="preserve">  三、其他要求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 xml:space="preserve">   （1）满足</w:t>
      </w:r>
      <w: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  <w:t>《建筑设计防火规范》、《人民防空工程设计防火规范》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现行标准。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 xml:space="preserve">   （2）所有材料满足国家标准</w:t>
      </w:r>
      <w: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  <w:t>《居室空气中甲醛的卫生标准》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 xml:space="preserve">中的规定。 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 xml:space="preserve">   （3）防火门产品与五金件还须满足上述以外其他国家、行业、重庆市的现行相关标准。                                                                          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（4）针对门扇、门框表面损伤修复、修补有专门的工艺。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（5）投标资料的产品说明中须提供门扇门套门框的横截面结构图、安装图纸、与墙体交接处节点大样图。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6、规格尺寸：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（1）防火门外形尺寸须满足原设计门洞尺寸的要求，门洞尺寸按建筑施工图的设计要求执行。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（2）门洞尺寸、门开启方式及方向，中标人根据最终建筑施工图及现场实测进行确认，否则造成损失由中标人自行承担。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7、界面移交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（1）若有图纸与现场洞口尺寸不符的情况，须由中标人列出清单交于招标人，经招标人及设计院确认后，以此为依据加工门框。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（2）中标人收到招标人的书面供货通知后，60天内供货到项目内汽车能到达位置落地交货；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（3）产品到货后，由招标人组织管理各方进行验收，并按照相关规定取样送检。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（4）招标人保留采取在各方见证下，进行现场切割抽检方式，对门框和门扇面板厚度、防火填充材料等进行检测验收的权利，一旦检测不合格，则全部退货处理，由此造成的全部损失由中标人承担。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（5）产品验收合格后，在项目管理各方的共同见证下，由成交供应商完成后续安装施工。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（6）中标人必须履行配合消防验收、其他专项验收及综合验收的义务。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8、门制作安装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（1）门定位：左右方向，以设计门中心线为基准线，进出方向为与开启方向面抹灰面平齐。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（2）因运输贮存不慎引起门框、门扇翘曲、变形，应修复后再进行移交。若发现保护膜脱落，应补贴保护膜。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（3）防火门的开启方向必须为疏散方向，若靠墙开启位置时，应满足门扇开启能达到90度角要求。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9、门检测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各项材料到达现场后，需经建设方各方共同检验合格后，方可进行移交。中标人应提供相应的产品生产许可证、检验合格证、使用说明书等产品资料，方可施工。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10、观感质量要求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（1）门能正常开启和关闭，表面无明显划痕及损坏。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（2） 表面应干净整洁、无明显碰伤变形。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（3） 开启关闭过程中无异响，门扇关闭紧密。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（4） 五金件及铰链无损坏、划痕、生锈、安装牢固无缺少、锁扣使用便捷灵活。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11、成品保护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（1）</w:t>
      </w:r>
      <w: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  <w:t>产品运输、包装应避免碰撞，防止变形损坏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；包装可采用包装箱包装，</w:t>
      </w:r>
      <w: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  <w:t>门扇不得直接接触，严禁在门上堆放重物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（2）</w:t>
      </w:r>
      <w: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  <w:t>产品应贮存通风干燥处。应有防晒、防潮、防腐措施。产品平放时底部须垫平，门框堆码高度不得超过1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.</w:t>
      </w:r>
      <w: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  <w:t>5m，门扇堆放高度不超过1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.</w:t>
      </w:r>
      <w: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  <w:t>2m，产品竖放时，其倾斜角度不得大于20°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，长度不得超过5m。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（3）门必须贴胶纸保护并维持，直到工程移交验收前。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（4）门框、扇在搬运过程中，应防止变形和损坏。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（5）严禁任意撕毁材料保护膜，或在材料饰面上刻、划或用杆件材料做辅助施工用品。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（6）与总包、其他施工单位一起对总包、其他施工单位的现场工作人员进行成品保护的教育培训。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（7）</w:t>
      </w:r>
      <w: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  <w:t>划痕修复：轻微划痕，进行补漆处理，肉眼观察未见色差；严重划痕，现场无法修复的，需卸下回工厂重新进行喷涂处理。投标时，厂家需提供具体的划痕修复方案（费用及工期）。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12、其他要求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1）供应商施工前对地胶、地砖、墙面和墙砖等原装修材料进行保护，严禁损伤和破坏，因施工原因造成损坏由施工方按原装修进行恢复，施工时严格遵守防火门所在使用科室的管理要求，避免对科室正常医疗秩序造成影响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（2）防火门门体、门套颜色参照原有防火门更换，门套材质门诊楼为304不锈钢、医技楼为多层实木门套 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（3）进场的门扇和门框等，应有不少于2道保护膜（即为自粘性聚乙烯保护膜，厚度不小于0.3mm；框扇表面满贴包装泡沫板，厚度为3mm或用硬纸板保护严密也可），成品保护费用中标单位自行负责。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（4） 验收前，承包商应按照规定的检测工序进行全面的质量检查、调整与检测、清理施工现场、拆除保护和恢复原装修等工作，原防火门如有门禁系统等其他设备，由施工方负责恢复并调试，确保完好有效。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（5）自检合格后，报甲方组织验收，并负责成品保护直至通过工程竣工和工程移交为止。验收时，承包商需提交竣工验收所需的所有资料。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（6）钢质防火门有关其它要求以建筑施工图设计说明、现行国家验收规范、行业标准为准。</w:t>
      </w:r>
    </w:p>
    <w:p>
      <w:pPr>
        <w:ind w:left="360"/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 xml:space="preserve"> （7）本工程中标方不得实施分包，一经发现甲方有权单方面中断或废除与中标方的合作，由此对甲方产生的经济损害等由中标方负责，甲方有权追究中标方的法律责任。</w:t>
      </w:r>
    </w:p>
    <w:p>
      <w:pPr>
        <w:rPr>
          <w:rFonts w:ascii="Calibri" w:hAnsi="Calibri" w:eastAsia="仿宋" w:cs="Times New Roman"/>
          <w:sz w:val="28"/>
          <w:szCs w:val="28"/>
        </w:rPr>
      </w:pPr>
    </w:p>
    <w:p>
      <w:pPr>
        <w:rPr>
          <w:rFonts w:ascii="Calibri" w:hAnsi="Calibri" w:eastAsia="仿宋" w:cs="Times New Roman"/>
          <w:sz w:val="28"/>
          <w:szCs w:val="28"/>
        </w:rPr>
      </w:pPr>
    </w:p>
    <w:p>
      <w:pP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13、参照规范</w:t>
      </w:r>
    </w:p>
    <w:p>
      <w:pP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（1）《重庆市建筑门窗安装及验收规程》（DBJ50-065-2007</w:t>
      </w:r>
      <w: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  <w:t>）</w:t>
      </w:r>
    </w:p>
    <w:p>
      <w:pP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（2）《防火门》（GB12955-2008）</w:t>
      </w:r>
    </w:p>
    <w:p>
      <w:pP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（3）《住宅装饰装修工程施工规范》（GB50327-2001</w:t>
      </w:r>
      <w: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  <w:t>）</w:t>
      </w:r>
    </w:p>
    <w:p>
      <w:pP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（4）《建筑装饰装修工程质量验收规范》（GB50210-2001）</w:t>
      </w:r>
    </w:p>
    <w:p>
      <w:pP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（5）《防盗安全门通用技术条件》（GB17565－2007）</w:t>
      </w:r>
    </w:p>
    <w:p>
      <w:pP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（6）《建筑门窗洞口尺寸协调要求》（GB/T30591-2014</w:t>
      </w:r>
      <w: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  <w:t>）</w:t>
      </w:r>
    </w:p>
    <w:p>
      <w:pP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（7）《门窗反复启闭耐久性试验方法》(GB/T29739-2013)</w:t>
      </w:r>
    </w:p>
    <w:p>
      <w:pP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（8）《建筑工程施工质量验收统一标准》(GB50300-2013)</w:t>
      </w:r>
    </w:p>
    <w:p>
      <w:pP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（9）《</w:t>
      </w:r>
      <w: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  <w:t>冷轧钢板和钢带的尺寸、外形、重量及允许偏差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》（GB/T708-2006）、</w:t>
      </w:r>
    </w:p>
    <w:p>
      <w:pP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（10）《</w:t>
      </w:r>
      <w: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  <w:t>热轧钢板和钢带的尺寸、外形、重量及允许偏差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》（GB/T709-2008）</w:t>
      </w:r>
    </w:p>
    <w:p>
      <w:pP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（11）《</w:t>
      </w:r>
      <w: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  <w:t>建筑用安全玻璃:防火玻璃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》（</w:t>
      </w:r>
      <w: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  <w:t>GB 15763.1-2009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）</w:t>
      </w:r>
    </w:p>
    <w:p>
      <w:pP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</w:pP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（12）</w:t>
      </w:r>
      <w: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  <w:t>《建筑设计防火规范》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（</w:t>
      </w:r>
      <w:r>
        <w:rPr>
          <w:rFonts w:ascii="微软雅黑" w:hAnsi="微软雅黑" w:cs="微软雅黑"/>
          <w:color w:val="000000"/>
          <w:sz w:val="24"/>
          <w:szCs w:val="24"/>
          <w:shd w:val="clear" w:color="auto" w:fill="FFFFFF"/>
        </w:rPr>
        <w:t>GB 50016-20</w:t>
      </w:r>
      <w:r>
        <w:rPr>
          <w:rFonts w:hint="eastAsia" w:ascii="微软雅黑" w:hAnsi="微软雅黑" w:cs="微软雅黑"/>
          <w:color w:val="000000"/>
          <w:sz w:val="24"/>
          <w:szCs w:val="24"/>
          <w:shd w:val="clear" w:color="auto" w:fill="FFFFFF"/>
        </w:rPr>
        <w:t>14）</w:t>
      </w:r>
    </w:p>
    <w:p>
      <w:pPr>
        <w:shd w:val="clear" w:color="auto" w:fill="FFFFFF"/>
        <w:rPr>
          <w:rFonts w:cs="宋体" w:asciiTheme="minorEastAsia" w:hAnsiTheme="minorEastAsia" w:eastAsiaTheme="minorEastAsia"/>
          <w:color w:val="333333"/>
          <w:sz w:val="21"/>
          <w:szCs w:val="21"/>
        </w:rPr>
      </w:pPr>
    </w:p>
    <w:p>
      <w:pPr>
        <w:shd w:val="clear" w:color="auto" w:fill="FFFFFF"/>
        <w:rPr>
          <w:rFonts w:cs="宋体" w:asciiTheme="minorEastAsia" w:hAnsiTheme="minorEastAsia" w:eastAsiaTheme="minorEastAsia"/>
          <w:color w:val="333333"/>
          <w:sz w:val="21"/>
          <w:szCs w:val="21"/>
        </w:rPr>
      </w:pPr>
    </w:p>
    <w:p>
      <w:pPr>
        <w:shd w:val="clear" w:color="auto" w:fill="FFFFFF"/>
        <w:rPr>
          <w:rFonts w:cs="宋体" w:asciiTheme="minorEastAsia" w:hAnsiTheme="minorEastAsia" w:eastAsiaTheme="minorEastAsia"/>
          <w:color w:val="333333"/>
          <w:sz w:val="21"/>
          <w:szCs w:val="21"/>
        </w:rPr>
      </w:pPr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50"/>
    <w:rsid w:val="00002C1E"/>
    <w:rsid w:val="0003626B"/>
    <w:rsid w:val="00077CC0"/>
    <w:rsid w:val="00093868"/>
    <w:rsid w:val="000F37A4"/>
    <w:rsid w:val="00121A14"/>
    <w:rsid w:val="00126BC8"/>
    <w:rsid w:val="00161196"/>
    <w:rsid w:val="001A4AE6"/>
    <w:rsid w:val="002012A8"/>
    <w:rsid w:val="0021071A"/>
    <w:rsid w:val="00276B35"/>
    <w:rsid w:val="002B197D"/>
    <w:rsid w:val="00323B43"/>
    <w:rsid w:val="0036590F"/>
    <w:rsid w:val="00370AE8"/>
    <w:rsid w:val="003A4162"/>
    <w:rsid w:val="003B4EDC"/>
    <w:rsid w:val="003C13E5"/>
    <w:rsid w:val="003D37D8"/>
    <w:rsid w:val="00426133"/>
    <w:rsid w:val="004358AB"/>
    <w:rsid w:val="004B3FB9"/>
    <w:rsid w:val="004F5386"/>
    <w:rsid w:val="0055280B"/>
    <w:rsid w:val="00751AB2"/>
    <w:rsid w:val="007658C6"/>
    <w:rsid w:val="007A7F5B"/>
    <w:rsid w:val="008349E9"/>
    <w:rsid w:val="008B7726"/>
    <w:rsid w:val="009E6957"/>
    <w:rsid w:val="00A142E5"/>
    <w:rsid w:val="00B60067"/>
    <w:rsid w:val="00B94B19"/>
    <w:rsid w:val="00C008EA"/>
    <w:rsid w:val="00C04966"/>
    <w:rsid w:val="00D31D50"/>
    <w:rsid w:val="00E73FCD"/>
    <w:rsid w:val="00EE7A8C"/>
    <w:rsid w:val="00EF513E"/>
    <w:rsid w:val="00F36429"/>
    <w:rsid w:val="00F6738A"/>
    <w:rsid w:val="00F9081B"/>
    <w:rsid w:val="00FA4EFB"/>
    <w:rsid w:val="01E369BB"/>
    <w:rsid w:val="04C3795B"/>
    <w:rsid w:val="06CB63FA"/>
    <w:rsid w:val="0C730775"/>
    <w:rsid w:val="14867741"/>
    <w:rsid w:val="17AD4236"/>
    <w:rsid w:val="19910CA2"/>
    <w:rsid w:val="22C508F4"/>
    <w:rsid w:val="255B28DA"/>
    <w:rsid w:val="289C2888"/>
    <w:rsid w:val="35335D81"/>
    <w:rsid w:val="43FF7B5C"/>
    <w:rsid w:val="44E210D2"/>
    <w:rsid w:val="47E726E8"/>
    <w:rsid w:val="48CA481E"/>
    <w:rsid w:val="53162859"/>
    <w:rsid w:val="544C1BF0"/>
    <w:rsid w:val="5BB846A4"/>
    <w:rsid w:val="5C552DF6"/>
    <w:rsid w:val="5C9064B9"/>
    <w:rsid w:val="5E613B12"/>
    <w:rsid w:val="60894B8A"/>
    <w:rsid w:val="6424521F"/>
    <w:rsid w:val="69310EA3"/>
    <w:rsid w:val="70FB22BF"/>
    <w:rsid w:val="72D931FC"/>
    <w:rsid w:val="73D82FDF"/>
    <w:rsid w:val="74566844"/>
    <w:rsid w:val="766B131A"/>
    <w:rsid w:val="7AA921CA"/>
    <w:rsid w:val="7B727525"/>
    <w:rsid w:val="7B9F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paragraph" w:styleId="2">
    <w:name w:val="heading 3"/>
    <w:basedOn w:val="1"/>
    <w:next w:val="1"/>
    <w:link w:val="14"/>
    <w:qFormat/>
    <w:uiPriority w:val="0"/>
    <w:pPr>
      <w:keepNext/>
      <w:keepLines/>
      <w:widowControl w:val="0"/>
      <w:adjustRightInd/>
      <w:snapToGrid/>
      <w:spacing w:before="260" w:after="260" w:line="413" w:lineRule="auto"/>
      <w:jc w:val="both"/>
      <w:outlineLvl w:val="2"/>
    </w:pPr>
    <w:rPr>
      <w:rFonts w:ascii="Times New Roman" w:hAnsi="Times New Roman" w:eastAsia="宋体" w:cs="Times New Roman"/>
      <w:b/>
      <w:kern w:val="2"/>
      <w:sz w:val="32"/>
      <w:szCs w:val="20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link w:val="16"/>
    <w:qFormat/>
    <w:uiPriority w:val="0"/>
    <w:pPr>
      <w:widowControl w:val="0"/>
      <w:adjustRightInd/>
      <w:spacing w:after="0" w:line="560" w:lineRule="atLeast"/>
      <w:ind w:firstLine="540"/>
      <w:jc w:val="both"/>
    </w:pPr>
    <w:rPr>
      <w:rFonts w:asciiTheme="minorHAnsi" w:hAnsiTheme="minorHAnsi"/>
      <w:kern w:val="2"/>
      <w:sz w:val="28"/>
    </w:rPr>
  </w:style>
  <w:style w:type="paragraph" w:styleId="4">
    <w:name w:val="Balloon Text"/>
    <w:basedOn w:val="1"/>
    <w:link w:val="17"/>
    <w:semiHidden/>
    <w:unhideWhenUsed/>
    <w:qFormat/>
    <w:uiPriority w:val="99"/>
    <w:pPr>
      <w:spacing w:after="0"/>
    </w:pPr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页眉 Char"/>
    <w:basedOn w:val="9"/>
    <w:link w:val="6"/>
    <w:qFormat/>
    <w:uiPriority w:val="99"/>
    <w:rPr>
      <w:rFonts w:ascii="Tahoma" w:hAnsi="Tahoma"/>
      <w:sz w:val="18"/>
      <w:szCs w:val="18"/>
    </w:rPr>
  </w:style>
  <w:style w:type="character" w:customStyle="1" w:styleId="13">
    <w:name w:val="页脚 Char"/>
    <w:basedOn w:val="9"/>
    <w:link w:val="5"/>
    <w:qFormat/>
    <w:uiPriority w:val="99"/>
    <w:rPr>
      <w:rFonts w:ascii="Tahoma" w:hAnsi="Tahoma"/>
      <w:sz w:val="18"/>
      <w:szCs w:val="18"/>
    </w:rPr>
  </w:style>
  <w:style w:type="character" w:customStyle="1" w:styleId="14">
    <w:name w:val="标题 3 Char"/>
    <w:basedOn w:val="9"/>
    <w:link w:val="2"/>
    <w:qFormat/>
    <w:uiPriority w:val="0"/>
    <w:rPr>
      <w:rFonts w:ascii="Times New Roman" w:hAnsi="Times New Roman" w:eastAsia="宋体" w:cs="Times New Roman"/>
      <w:b/>
      <w:kern w:val="2"/>
      <w:sz w:val="32"/>
      <w:szCs w:val="20"/>
    </w:rPr>
  </w:style>
  <w:style w:type="character" w:customStyle="1" w:styleId="15">
    <w:name w:val="正文文本缩进 2 Char"/>
    <w:qFormat/>
    <w:uiPriority w:val="0"/>
    <w:rPr>
      <w:kern w:val="2"/>
      <w:sz w:val="28"/>
    </w:rPr>
  </w:style>
  <w:style w:type="character" w:customStyle="1" w:styleId="16">
    <w:name w:val="正文文本缩进 2 Char1"/>
    <w:basedOn w:val="9"/>
    <w:link w:val="3"/>
    <w:semiHidden/>
    <w:qFormat/>
    <w:uiPriority w:val="99"/>
    <w:rPr>
      <w:rFonts w:ascii="Tahoma" w:hAnsi="Tahoma"/>
    </w:rPr>
  </w:style>
  <w:style w:type="character" w:customStyle="1" w:styleId="17">
    <w:name w:val="批注框文本 Char"/>
    <w:basedOn w:val="9"/>
    <w:link w:val="4"/>
    <w:semiHidden/>
    <w:qFormat/>
    <w:uiPriority w:val="99"/>
    <w:rPr>
      <w:rFonts w:ascii="Tahoma" w:hAnsi="Tahoma" w:eastAsia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3A5765B-0381-473A-850D-80D9CD9FCD8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6</Pages>
  <Words>531</Words>
  <Characters>3031</Characters>
  <Lines>25</Lines>
  <Paragraphs>7</Paragraphs>
  <TotalTime>1</TotalTime>
  <ScaleCrop>false</ScaleCrop>
  <LinksUpToDate>false</LinksUpToDate>
  <CharactersWithSpaces>3555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2019-07-09T15:09:00Z</dcterms:created>
  <dc:creator>Admin</dc:creator>
  <cp:lastModifiedBy>李薛龙</cp:lastModifiedBy>
  <dcterms:modified xsi:type="dcterms:W3CDTF">2025-12-30T08:09:21Z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4FFAA98073DB451DB2726B40BAD90DF6</vt:lpwstr>
  </property>
</Properties>
</file>