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89841">
      <w:pPr>
        <w:jc w:val="center"/>
        <w:rPr>
          <w:rFonts w:hint="eastAsia" w:ascii="宋体" w:hAnsi="宋体" w:eastAsia="宋体" w:cs="宋体"/>
          <w:b/>
          <w:sz w:val="52"/>
          <w:szCs w:val="52"/>
        </w:rPr>
      </w:pPr>
      <w:r>
        <w:rPr>
          <w:rFonts w:hint="eastAsia" w:ascii="宋体" w:hAnsi="宋体" w:eastAsia="宋体" w:cs="宋体"/>
          <w:b/>
          <w:sz w:val="52"/>
          <w:szCs w:val="52"/>
        </w:rPr>
        <w:t>重庆医科大学附属儿童医院</w:t>
      </w:r>
    </w:p>
    <w:p w14:paraId="6FD88A15">
      <w:pPr>
        <w:jc w:val="center"/>
        <w:rPr>
          <w:rFonts w:hint="eastAsia" w:ascii="宋体" w:hAnsi="宋体" w:eastAsia="宋体" w:cs="宋体"/>
          <w:b/>
          <w:sz w:val="52"/>
          <w:szCs w:val="52"/>
        </w:rPr>
      </w:pPr>
    </w:p>
    <w:p w14:paraId="5AB760EB">
      <w:pPr>
        <w:jc w:val="center"/>
        <w:rPr>
          <w:rFonts w:hint="eastAsia" w:ascii="宋体" w:hAnsi="宋体" w:eastAsia="宋体" w:cs="宋体"/>
          <w:b/>
          <w:sz w:val="30"/>
          <w:szCs w:val="30"/>
          <w:lang w:val="en-US" w:eastAsia="zh-CN"/>
        </w:rPr>
      </w:pPr>
      <w:r>
        <w:rPr>
          <w:rFonts w:hint="eastAsia" w:ascii="宋体" w:hAnsi="宋体" w:eastAsia="宋体" w:cs="宋体"/>
          <w:b/>
          <w:sz w:val="36"/>
          <w:szCs w:val="36"/>
          <w:lang w:val="en-US" w:eastAsia="zh-CN"/>
        </w:rPr>
        <w:t>两院区5个零星维修改造项目工程</w:t>
      </w:r>
    </w:p>
    <w:p w14:paraId="7D1A0632">
      <w:pPr>
        <w:pStyle w:val="2"/>
        <w:rPr>
          <w:rFonts w:hint="eastAsia" w:ascii="宋体" w:hAnsi="宋体" w:eastAsia="宋体" w:cs="宋体"/>
        </w:rPr>
      </w:pPr>
    </w:p>
    <w:p w14:paraId="0B791579">
      <w:pPr>
        <w:jc w:val="center"/>
        <w:rPr>
          <w:rFonts w:hint="eastAsia" w:ascii="宋体" w:hAnsi="宋体" w:eastAsia="宋体" w:cs="宋体"/>
          <w:b/>
          <w:sz w:val="52"/>
          <w:szCs w:val="52"/>
        </w:rPr>
      </w:pPr>
    </w:p>
    <w:p w14:paraId="012B309A">
      <w:pPr>
        <w:jc w:val="center"/>
        <w:rPr>
          <w:rFonts w:hint="eastAsia" w:ascii="宋体" w:hAnsi="宋体" w:eastAsia="宋体" w:cs="宋体"/>
          <w:b/>
          <w:sz w:val="72"/>
          <w:szCs w:val="72"/>
          <w:lang w:eastAsia="zh-CN"/>
        </w:rPr>
      </w:pPr>
      <w:r>
        <w:rPr>
          <w:rFonts w:hint="eastAsia" w:ascii="宋体" w:hAnsi="宋体" w:eastAsia="宋体" w:cs="宋体"/>
          <w:b/>
          <w:sz w:val="72"/>
          <w:szCs w:val="72"/>
          <w:lang w:val="en-US" w:eastAsia="zh-CN"/>
        </w:rPr>
        <w:t>招</w:t>
      </w:r>
    </w:p>
    <w:p w14:paraId="456D9DC0">
      <w:pPr>
        <w:jc w:val="center"/>
        <w:rPr>
          <w:rFonts w:hint="eastAsia" w:ascii="宋体" w:hAnsi="宋体" w:eastAsia="宋体" w:cs="宋体"/>
          <w:b/>
          <w:sz w:val="72"/>
          <w:szCs w:val="72"/>
        </w:rPr>
      </w:pPr>
    </w:p>
    <w:p w14:paraId="0AEA28B0">
      <w:pPr>
        <w:jc w:val="center"/>
        <w:rPr>
          <w:rFonts w:hint="eastAsia" w:ascii="宋体" w:hAnsi="宋体" w:eastAsia="宋体" w:cs="宋体"/>
          <w:b/>
          <w:sz w:val="72"/>
          <w:szCs w:val="72"/>
        </w:rPr>
      </w:pPr>
      <w:r>
        <w:rPr>
          <w:rFonts w:hint="eastAsia" w:ascii="宋体" w:hAnsi="宋体" w:eastAsia="宋体" w:cs="宋体"/>
          <w:b/>
          <w:sz w:val="72"/>
          <w:szCs w:val="72"/>
        </w:rPr>
        <w:t>标</w:t>
      </w:r>
    </w:p>
    <w:p w14:paraId="7A3AF1FE">
      <w:pPr>
        <w:jc w:val="center"/>
        <w:rPr>
          <w:rFonts w:hint="eastAsia" w:ascii="宋体" w:hAnsi="宋体" w:eastAsia="宋体" w:cs="宋体"/>
          <w:b/>
          <w:sz w:val="72"/>
          <w:szCs w:val="72"/>
        </w:rPr>
      </w:pPr>
    </w:p>
    <w:p w14:paraId="1FAD10D2">
      <w:pPr>
        <w:jc w:val="center"/>
        <w:rPr>
          <w:rFonts w:hint="eastAsia" w:ascii="宋体" w:hAnsi="宋体" w:eastAsia="宋体" w:cs="宋体"/>
          <w:b/>
          <w:sz w:val="72"/>
          <w:szCs w:val="72"/>
        </w:rPr>
      </w:pPr>
      <w:r>
        <w:rPr>
          <w:rFonts w:hint="eastAsia" w:ascii="宋体" w:hAnsi="宋体" w:eastAsia="宋体" w:cs="宋体"/>
          <w:b/>
          <w:sz w:val="72"/>
          <w:szCs w:val="72"/>
        </w:rPr>
        <w:t>文</w:t>
      </w:r>
    </w:p>
    <w:p w14:paraId="16501285">
      <w:pPr>
        <w:jc w:val="center"/>
        <w:rPr>
          <w:rFonts w:hint="eastAsia" w:ascii="宋体" w:hAnsi="宋体" w:eastAsia="宋体" w:cs="宋体"/>
          <w:b/>
          <w:sz w:val="72"/>
          <w:szCs w:val="72"/>
        </w:rPr>
      </w:pPr>
    </w:p>
    <w:p w14:paraId="50B2CB8D">
      <w:pPr>
        <w:jc w:val="center"/>
        <w:rPr>
          <w:rFonts w:hint="eastAsia" w:ascii="宋体" w:hAnsi="宋体" w:eastAsia="宋体" w:cs="宋体"/>
          <w:b/>
          <w:sz w:val="72"/>
          <w:szCs w:val="72"/>
        </w:rPr>
      </w:pPr>
      <w:r>
        <w:rPr>
          <w:rFonts w:hint="eastAsia" w:ascii="宋体" w:hAnsi="宋体" w:eastAsia="宋体" w:cs="宋体"/>
          <w:b/>
          <w:sz w:val="72"/>
          <w:szCs w:val="72"/>
        </w:rPr>
        <w:t>件</w:t>
      </w:r>
    </w:p>
    <w:p w14:paraId="2AE542AD">
      <w:pPr>
        <w:jc w:val="center"/>
        <w:rPr>
          <w:rFonts w:hint="eastAsia" w:ascii="宋体" w:hAnsi="宋体" w:eastAsia="宋体" w:cs="宋体"/>
          <w:sz w:val="48"/>
          <w:szCs w:val="48"/>
        </w:rPr>
      </w:pPr>
    </w:p>
    <w:p w14:paraId="3B4B6A05">
      <w:pPr>
        <w:jc w:val="center"/>
        <w:rPr>
          <w:rFonts w:hint="eastAsia" w:ascii="宋体" w:hAnsi="宋体" w:eastAsia="宋体" w:cs="宋体"/>
          <w:b/>
          <w:bCs/>
          <w:sz w:val="24"/>
          <w:szCs w:val="24"/>
        </w:rPr>
      </w:pPr>
      <w:r>
        <w:rPr>
          <w:rFonts w:hint="eastAsia" w:ascii="宋体" w:hAnsi="宋体" w:eastAsia="宋体" w:cs="宋体"/>
          <w:b/>
          <w:sz w:val="32"/>
          <w:szCs w:val="24"/>
        </w:rPr>
        <w:br w:type="page"/>
      </w:r>
      <w:r>
        <w:rPr>
          <w:rFonts w:hint="eastAsia" w:ascii="宋体" w:hAnsi="宋体" w:eastAsia="宋体" w:cs="宋体"/>
          <w:b/>
          <w:bCs/>
          <w:sz w:val="24"/>
          <w:szCs w:val="24"/>
        </w:rPr>
        <w:t>工程项目技术需求表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9"/>
        <w:gridCol w:w="1658"/>
        <w:gridCol w:w="4644"/>
      </w:tblGrid>
      <w:tr w14:paraId="413BE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0" w:type="auto"/>
            <w:vAlign w:val="center"/>
          </w:tcPr>
          <w:p w14:paraId="58147B4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采购</w:t>
            </w:r>
            <w:r>
              <w:rPr>
                <w:rFonts w:hint="eastAsia" w:ascii="宋体" w:hAnsi="宋体" w:eastAsia="宋体" w:cs="宋体"/>
                <w:b w:val="0"/>
                <w:bCs/>
                <w:color w:val="auto"/>
                <w:kern w:val="0"/>
                <w:sz w:val="24"/>
              </w:rPr>
              <w:t>项目</w:t>
            </w:r>
            <w:r>
              <w:rPr>
                <w:rFonts w:hint="eastAsia" w:ascii="宋体" w:hAnsi="宋体" w:eastAsia="宋体" w:cs="宋体"/>
                <w:b w:val="0"/>
                <w:bCs/>
                <w:color w:val="auto"/>
                <w:kern w:val="0"/>
                <w:sz w:val="24"/>
                <w:lang w:val="en-US" w:eastAsia="zh-CN"/>
              </w:rPr>
              <w:t>类别</w:t>
            </w:r>
          </w:p>
        </w:tc>
        <w:tc>
          <w:tcPr>
            <w:tcW w:w="0" w:type="auto"/>
            <w:gridSpan w:val="2"/>
            <w:vAlign w:val="center"/>
          </w:tcPr>
          <w:p w14:paraId="44B0ED3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工程</w:t>
            </w:r>
          </w:p>
        </w:tc>
      </w:tr>
      <w:tr w14:paraId="6418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vAlign w:val="center"/>
          </w:tcPr>
          <w:p w14:paraId="531920C8">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r>
              <w:rPr>
                <w:rFonts w:hint="eastAsia" w:ascii="宋体" w:hAnsi="宋体" w:eastAsia="宋体" w:cs="宋体"/>
                <w:b w:val="0"/>
                <w:bCs/>
                <w:color w:val="auto"/>
                <w:kern w:val="0"/>
                <w:sz w:val="24"/>
                <w:lang w:val="en-US" w:eastAsia="zh-CN"/>
              </w:rPr>
              <w:t>项目</w:t>
            </w:r>
            <w:r>
              <w:rPr>
                <w:rFonts w:hint="eastAsia" w:ascii="宋体" w:hAnsi="宋体" w:eastAsia="宋体" w:cs="宋体"/>
                <w:b w:val="0"/>
                <w:bCs/>
                <w:color w:val="auto"/>
                <w:kern w:val="0"/>
                <w:sz w:val="24"/>
              </w:rPr>
              <w:t>名称</w:t>
            </w:r>
          </w:p>
        </w:tc>
        <w:tc>
          <w:tcPr>
            <w:tcW w:w="0" w:type="auto"/>
            <w:gridSpan w:val="2"/>
            <w:vAlign w:val="center"/>
          </w:tcPr>
          <w:p w14:paraId="3EE7B159">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highlight w:val="none"/>
                <w:lang w:val="en-US" w:eastAsia="zh-CN"/>
              </w:rPr>
              <w:t>两院区5个零星维修改造项目工程</w:t>
            </w:r>
          </w:p>
        </w:tc>
      </w:tr>
      <w:tr w14:paraId="0B93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0" w:type="auto"/>
            <w:vAlign w:val="center"/>
          </w:tcPr>
          <w:p w14:paraId="77F175CA">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申购科室</w:t>
            </w:r>
          </w:p>
        </w:tc>
        <w:tc>
          <w:tcPr>
            <w:tcW w:w="0" w:type="auto"/>
            <w:gridSpan w:val="2"/>
            <w:vAlign w:val="center"/>
          </w:tcPr>
          <w:p w14:paraId="36441D24">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后勤管理处物业管理科</w:t>
            </w:r>
          </w:p>
        </w:tc>
      </w:tr>
      <w:tr w14:paraId="18D1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Align w:val="center"/>
          </w:tcPr>
          <w:p w14:paraId="5681DDC1">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rPr>
              <w:t>数量</w:t>
            </w:r>
            <w:r>
              <w:rPr>
                <w:rFonts w:hint="eastAsia" w:ascii="宋体" w:hAnsi="宋体" w:eastAsia="宋体" w:cs="宋体"/>
                <w:b w:val="0"/>
                <w:bCs/>
                <w:color w:val="auto"/>
                <w:kern w:val="0"/>
                <w:sz w:val="24"/>
                <w:lang w:val="en-US" w:eastAsia="zh-CN"/>
              </w:rPr>
              <w:t>/单位</w:t>
            </w:r>
          </w:p>
        </w:tc>
        <w:tc>
          <w:tcPr>
            <w:tcW w:w="0" w:type="auto"/>
            <w:gridSpan w:val="2"/>
            <w:vAlign w:val="center"/>
          </w:tcPr>
          <w:p w14:paraId="003A8730">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1</w:t>
            </w:r>
          </w:p>
        </w:tc>
      </w:tr>
      <w:tr w14:paraId="2EEB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0" w:hRule="atLeast"/>
        </w:trPr>
        <w:tc>
          <w:tcPr>
            <w:tcW w:w="0" w:type="auto"/>
            <w:vAlign w:val="center"/>
          </w:tcPr>
          <w:p w14:paraId="03B84369">
            <w:pPr>
              <w:widowControl/>
              <w:adjustRightInd w:val="0"/>
              <w:snapToGrid w:val="0"/>
              <w:jc w:val="center"/>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项目描述</w:t>
            </w:r>
          </w:p>
        </w:tc>
        <w:tc>
          <w:tcPr>
            <w:tcW w:w="0" w:type="auto"/>
            <w:gridSpan w:val="2"/>
            <w:vAlign w:val="top"/>
          </w:tcPr>
          <w:p w14:paraId="59F15944">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eastAsia="微软雅黑"/>
                <w:lang w:eastAsia="zh-CN"/>
              </w:rPr>
            </w:pPr>
            <w:bookmarkStart w:id="0" w:name="OLE_LINK2"/>
            <w:r>
              <w:rPr>
                <w:rFonts w:hint="eastAsia" w:ascii="宋体" w:hAnsi="宋体" w:eastAsia="宋体" w:cs="宋体"/>
                <w:color w:val="000000" w:themeColor="text1"/>
                <w:sz w:val="24"/>
                <w:szCs w:val="24"/>
                <w:highlight w:val="none"/>
                <w:lang w:val="en-US" w:eastAsia="zh-CN"/>
                <w14:textFill>
                  <w14:solidFill>
                    <w14:schemeClr w14:val="tx1"/>
                  </w14:solidFill>
                </w14:textFill>
              </w:rPr>
              <w:t>1.渝中眼科门诊楼4057、4056之间隔墙拆除，以及对应天地墙强弱电给排水设施的拆除、修复与移位等工作，本部分工程需分2个夜间施工完成，每次施工结束后须进行清洁与临时修复，保证次日早6点前可正常开诊使用。</w:t>
            </w:r>
          </w:p>
          <w:p w14:paraId="23EF18A3">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2.两江院区超声科副主任办公</w:t>
            </w:r>
            <w:bookmarkStart w:id="2" w:name="_GoBack"/>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室新增纱窗2个。</w:t>
            </w:r>
          </w:p>
          <w:p w14:paraId="510C897E">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eastAsia="微软雅黑"/>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3.渝中和缘餐厅库房增设不锈钢隔网筐与托盘。</w:t>
            </w:r>
          </w:p>
          <w:p w14:paraId="73732779">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eastAsia="微软雅黑"/>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4.渝中营养科增设传递窗与窗套。</w:t>
            </w:r>
          </w:p>
          <w:p w14:paraId="6DD20D74">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5.渝中院区营养科新增纱窗及百叶窗帘。</w:t>
            </w:r>
          </w:p>
          <w:p w14:paraId="32F280EA">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eastAsia="微软雅黑"/>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6.提供的改造清单仅作参考，改造内容以清单与图纸要求为基础，且不局限于上述范围，具体清单详见附件。</w:t>
            </w:r>
          </w:p>
          <w:p w14:paraId="2A8560FD">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7.本工程采用交钥匙包干总价模式，报价涵盖但不限于工程材料采购、运输、安装与调试，安全保障措施，旧设施拆除，渣土清运，成品保护，现场保洁，施工围挡及文明施工等全部相关杂项费用。</w:t>
            </w:r>
          </w:p>
          <w:bookmarkEnd w:id="0"/>
          <w:p w14:paraId="1C6560D1">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宋体" w:hAnsi="宋体" w:eastAsia="宋体" w:cs="宋体"/>
                <w:sz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本项目报价范围包含完成本项目产生的全部费用，涵盖但不限于施工直接费、间接费、维护保养费、税费、利润、管理费、装卸费、运输费、出渣外运费及配合费等。若因中标人自身原因发生漏报、少报，相关责任由中标人自行承担，采购人不予额外补偿。</w:t>
            </w:r>
          </w:p>
        </w:tc>
      </w:tr>
      <w:tr w14:paraId="479A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0" w:type="auto"/>
            <w:vAlign w:val="center"/>
          </w:tcPr>
          <w:p w14:paraId="586E06B9">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投标人特定资格条件</w:t>
            </w:r>
          </w:p>
        </w:tc>
        <w:tc>
          <w:tcPr>
            <w:tcW w:w="0" w:type="auto"/>
            <w:gridSpan w:val="2"/>
            <w:vAlign w:val="center"/>
          </w:tcPr>
          <w:p w14:paraId="143A2AF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sz w:val="24"/>
                <w:lang w:val="en-US" w:eastAsia="zh-CN"/>
              </w:rPr>
            </w:pPr>
            <w:r>
              <w:rPr>
                <w:rFonts w:hint="eastAsia" w:ascii="宋体" w:hAnsi="宋体" w:eastAsia="宋体" w:cs="宋体"/>
                <w:b w:val="0"/>
                <w:bCs/>
                <w:color w:val="auto"/>
                <w:kern w:val="0"/>
                <w:sz w:val="24"/>
                <w:lang w:val="en-US" w:eastAsia="zh-CN"/>
              </w:rPr>
              <w:t>建筑施工</w:t>
            </w:r>
            <w:r>
              <w:rPr>
                <w:rFonts w:hint="eastAsia" w:ascii="宋体" w:hAnsi="宋体" w:eastAsia="宋体" w:cs="宋体"/>
                <w:b w:val="0"/>
                <w:bCs w:val="0"/>
                <w:color w:val="333333"/>
                <w:sz w:val="24"/>
                <w:szCs w:val="24"/>
                <w:lang w:val="en-US" w:eastAsia="zh-CN"/>
              </w:rPr>
              <w:t>总承包三级及以上或建筑装饰装修工程专业承包二级及以上资质</w:t>
            </w:r>
          </w:p>
        </w:tc>
      </w:tr>
      <w:tr w14:paraId="7427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0" w:type="auto"/>
            <w:vAlign w:val="center"/>
          </w:tcPr>
          <w:p w14:paraId="4CEAB9A4">
            <w:pPr>
              <w:keepNext w:val="0"/>
              <w:keepLines w:val="0"/>
              <w:pageBreakBefore w:val="0"/>
              <w:widowControl/>
              <w:kinsoku/>
              <w:wordWrap/>
              <w:overflowPunct/>
              <w:topLinePunct w:val="0"/>
              <w:autoSpaceDE/>
              <w:autoSpaceDN/>
              <w:bidi w:val="0"/>
              <w:adjustRightInd w:val="0"/>
              <w:snapToGrid w:val="0"/>
              <w:spacing w:after="0" w:line="400" w:lineRule="exact"/>
              <w:textAlignment w:val="auto"/>
              <w:outlineLvl w:val="2"/>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rPr>
              <w:t>技术参数</w:t>
            </w:r>
            <w:r>
              <w:rPr>
                <w:rFonts w:hint="eastAsia" w:ascii="宋体" w:hAnsi="宋体" w:eastAsia="宋体" w:cs="宋体"/>
                <w:b w:val="0"/>
                <w:bCs/>
                <w:color w:val="auto"/>
                <w:kern w:val="0"/>
                <w:sz w:val="24"/>
                <w:lang w:val="en-US" w:eastAsia="zh-CN"/>
              </w:rPr>
              <w:t>要求</w:t>
            </w:r>
            <w:r>
              <w:rPr>
                <w:rFonts w:hint="eastAsia" w:ascii="宋体" w:hAnsi="宋体" w:eastAsia="宋体" w:cs="宋体"/>
                <w:b w:val="0"/>
                <w:bCs/>
                <w:color w:val="auto"/>
                <w:sz w:val="24"/>
                <w:szCs w:val="28"/>
                <w:lang w:val="en-US" w:eastAsia="zh-CN"/>
              </w:rPr>
              <w:t>（可设置</w:t>
            </w:r>
            <w:r>
              <w:rPr>
                <w:rFonts w:hint="eastAsia" w:ascii="宋体" w:hAnsi="宋体" w:eastAsia="宋体" w:cs="宋体"/>
                <w:b w:val="0"/>
                <w:bCs/>
                <w:color w:val="auto"/>
                <w:sz w:val="24"/>
                <w:szCs w:val="28"/>
              </w:rPr>
              <w:t>“※”</w:t>
            </w:r>
            <w:r>
              <w:rPr>
                <w:rFonts w:hint="eastAsia" w:ascii="宋体" w:hAnsi="宋体" w:eastAsia="宋体" w:cs="宋体"/>
                <w:b w:val="0"/>
                <w:bCs/>
                <w:color w:val="auto"/>
                <w:sz w:val="24"/>
                <w:szCs w:val="28"/>
                <w:lang w:val="en-US" w:eastAsia="zh-CN"/>
              </w:rPr>
              <w:t>条款，</w:t>
            </w:r>
            <w:r>
              <w:rPr>
                <w:rFonts w:hint="eastAsia" w:ascii="宋体" w:hAnsi="宋体" w:eastAsia="宋体" w:cs="宋体"/>
                <w:b w:val="0"/>
                <w:bCs/>
                <w:color w:val="auto"/>
                <w:sz w:val="24"/>
                <w:szCs w:val="28"/>
              </w:rPr>
              <w:t>“</w:t>
            </w:r>
            <w:r>
              <w:rPr>
                <w:rFonts w:hint="eastAsia" w:ascii="宋体" w:hAnsi="宋体" w:eastAsia="宋体" w:cs="宋体"/>
                <w:b w:val="0"/>
                <w:bCs/>
                <w:color w:val="auto"/>
                <w:kern w:val="0"/>
                <w:sz w:val="21"/>
                <w:szCs w:val="21"/>
              </w:rPr>
              <w:t>※</w:t>
            </w:r>
            <w:r>
              <w:rPr>
                <w:rFonts w:hint="eastAsia" w:ascii="宋体" w:hAnsi="宋体" w:eastAsia="宋体" w:cs="宋体"/>
                <w:b w:val="0"/>
                <w:bCs/>
                <w:color w:val="auto"/>
                <w:sz w:val="24"/>
                <w:szCs w:val="28"/>
              </w:rPr>
              <w:t>”标注的技术需求为符合性审查中的实质性要求，投标文件若不满足按无效投标处理</w:t>
            </w:r>
            <w:r>
              <w:rPr>
                <w:rFonts w:hint="eastAsia" w:ascii="宋体" w:hAnsi="宋体" w:eastAsia="宋体" w:cs="宋体"/>
                <w:b w:val="0"/>
                <w:bCs/>
                <w:color w:val="auto"/>
                <w:kern w:val="0"/>
                <w:sz w:val="24"/>
                <w:lang w:val="en-US" w:eastAsia="zh-CN"/>
              </w:rPr>
              <w:t>）</w:t>
            </w:r>
          </w:p>
        </w:tc>
        <w:tc>
          <w:tcPr>
            <w:tcW w:w="0" w:type="auto"/>
            <w:gridSpan w:val="2"/>
            <w:vAlign w:val="center"/>
          </w:tcPr>
          <w:p w14:paraId="693A7462">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0"/>
              <w:jc w:val="center"/>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见工程量清单</w:t>
            </w:r>
          </w:p>
        </w:tc>
      </w:tr>
      <w:tr w14:paraId="052A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0" w:type="auto"/>
            <w:vAlign w:val="center"/>
          </w:tcPr>
          <w:p w14:paraId="5D1389B0">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专属试剂耗材</w:t>
            </w:r>
          </w:p>
          <w:p w14:paraId="1107A8F6">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sz w:val="24"/>
                <w:szCs w:val="28"/>
                <w:lang w:val="en-US" w:eastAsia="zh-CN"/>
              </w:rPr>
              <w:t>（适用于设备采购）</w:t>
            </w:r>
          </w:p>
        </w:tc>
        <w:tc>
          <w:tcPr>
            <w:tcW w:w="0" w:type="auto"/>
            <w:gridSpan w:val="2"/>
            <w:vAlign w:val="center"/>
          </w:tcPr>
          <w:p w14:paraId="73F2D1D9">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无</w:t>
            </w:r>
          </w:p>
        </w:tc>
      </w:tr>
      <w:tr w14:paraId="0F3E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0" w:type="auto"/>
            <w:vMerge w:val="restart"/>
            <w:vAlign w:val="center"/>
          </w:tcPr>
          <w:p w14:paraId="016D2305">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商务要求</w:t>
            </w:r>
          </w:p>
          <w:p w14:paraId="238AED52">
            <w:pPr>
              <w:keepNext w:val="0"/>
              <w:keepLines w:val="0"/>
              <w:pageBreakBefore w:val="0"/>
              <w:widowControl/>
              <w:kinsoku/>
              <w:wordWrap/>
              <w:overflowPunct/>
              <w:topLinePunct w:val="0"/>
              <w:autoSpaceDE/>
              <w:autoSpaceDN/>
              <w:bidi w:val="0"/>
              <w:adjustRightInd w:val="0"/>
              <w:snapToGrid w:val="0"/>
              <w:spacing w:after="0" w:line="400" w:lineRule="exact"/>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w:t>
            </w:r>
            <w:bookmarkStart w:id="1" w:name="_Toc267320049"/>
            <w:r>
              <w:rPr>
                <w:rFonts w:hint="eastAsia" w:ascii="宋体" w:hAnsi="宋体" w:eastAsia="宋体" w:cs="宋体"/>
                <w:b w:val="0"/>
                <w:bCs/>
                <w:color w:val="auto"/>
                <w:sz w:val="24"/>
                <w:szCs w:val="28"/>
              </w:rPr>
              <w:t>“</w:t>
            </w:r>
            <w:r>
              <w:rPr>
                <w:rFonts w:hint="eastAsia" w:ascii="宋体" w:hAnsi="宋体" w:eastAsia="宋体" w:cs="宋体"/>
                <w:b w:val="0"/>
                <w:bCs/>
                <w:color w:val="auto"/>
                <w:kern w:val="0"/>
                <w:sz w:val="21"/>
                <w:szCs w:val="21"/>
              </w:rPr>
              <w:t>※</w:t>
            </w:r>
            <w:r>
              <w:rPr>
                <w:rFonts w:hint="eastAsia" w:ascii="宋体" w:hAnsi="宋体" w:eastAsia="宋体" w:cs="宋体"/>
                <w:b w:val="0"/>
                <w:bCs/>
                <w:color w:val="auto"/>
                <w:sz w:val="24"/>
                <w:szCs w:val="28"/>
              </w:rPr>
              <w:t>”标注的商务需求为符合性审查中的实质性要求，投标文件若不满足按无效投标处理</w:t>
            </w:r>
            <w:bookmarkEnd w:id="1"/>
            <w:r>
              <w:rPr>
                <w:rFonts w:hint="eastAsia" w:ascii="宋体" w:hAnsi="宋体" w:eastAsia="宋体" w:cs="宋体"/>
                <w:b w:val="0"/>
                <w:bCs/>
                <w:color w:val="auto"/>
                <w:kern w:val="0"/>
                <w:sz w:val="24"/>
                <w:lang w:val="en-US" w:eastAsia="zh-CN"/>
              </w:rPr>
              <w:t>）</w:t>
            </w:r>
          </w:p>
        </w:tc>
        <w:tc>
          <w:tcPr>
            <w:tcW w:w="0" w:type="auto"/>
            <w:vAlign w:val="center"/>
          </w:tcPr>
          <w:p w14:paraId="5620D48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交货期/服务期、交货地点/服务地点及验收方式</w:t>
            </w:r>
          </w:p>
        </w:tc>
        <w:tc>
          <w:tcPr>
            <w:tcW w:w="0" w:type="auto"/>
            <w:vAlign w:val="center"/>
          </w:tcPr>
          <w:p w14:paraId="36133024">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rPr>
              <w:t>中标通知发出后，</w:t>
            </w:r>
            <w:r>
              <w:rPr>
                <w:rFonts w:hint="eastAsia" w:ascii="宋体" w:hAnsi="宋体" w:eastAsia="宋体" w:cs="宋体"/>
                <w:b w:val="0"/>
                <w:bCs/>
                <w:color w:val="auto"/>
                <w:kern w:val="0"/>
                <w:sz w:val="24"/>
                <w:szCs w:val="24"/>
                <w:lang w:val="en-US" w:eastAsia="zh-CN"/>
              </w:rPr>
              <w:t>10个</w:t>
            </w:r>
            <w:r>
              <w:rPr>
                <w:rFonts w:hint="eastAsia" w:ascii="宋体" w:hAnsi="宋体" w:eastAsia="宋体" w:cs="宋体"/>
                <w:b w:val="0"/>
                <w:bCs/>
                <w:color w:val="auto"/>
                <w:kern w:val="0"/>
                <w:sz w:val="24"/>
                <w:szCs w:val="24"/>
                <w:lang w:val="en-US"/>
              </w:rPr>
              <w:t>日历天内</w:t>
            </w:r>
            <w:r>
              <w:rPr>
                <w:rFonts w:hint="eastAsia" w:ascii="宋体" w:hAnsi="宋体" w:eastAsia="宋体" w:cs="宋体"/>
                <w:b w:val="0"/>
                <w:bCs/>
                <w:color w:val="auto"/>
                <w:kern w:val="0"/>
                <w:sz w:val="24"/>
                <w:szCs w:val="24"/>
                <w:lang w:val="en-US" w:eastAsia="zh-CN"/>
              </w:rPr>
              <w:t>/渝中院区/现场验收</w:t>
            </w:r>
          </w:p>
        </w:tc>
      </w:tr>
      <w:tr w14:paraId="6A0A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0" w:type="auto"/>
            <w:vMerge w:val="continue"/>
            <w:vAlign w:val="center"/>
          </w:tcPr>
          <w:p w14:paraId="13DC8ACA">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367D187B">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报价要求</w:t>
            </w:r>
          </w:p>
        </w:tc>
        <w:tc>
          <w:tcPr>
            <w:tcW w:w="0" w:type="auto"/>
            <w:vAlign w:val="center"/>
          </w:tcPr>
          <w:p w14:paraId="2F404F19">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按工程量清单进行报价，</w:t>
            </w:r>
            <w:r>
              <w:rPr>
                <w:rFonts w:hint="eastAsia" w:ascii="宋体" w:hAnsi="宋体" w:eastAsia="宋体" w:cs="宋体"/>
                <w:b w:val="0"/>
                <w:bCs/>
                <w:color w:val="auto"/>
                <w:kern w:val="0"/>
                <w:sz w:val="24"/>
                <w:szCs w:val="24"/>
                <w:lang w:val="en-US" w:eastAsia="zh-CN"/>
              </w:rPr>
              <w:t>一次性报价、最低价中标，</w:t>
            </w:r>
            <w:r>
              <w:rPr>
                <w:rFonts w:hint="eastAsia" w:ascii="宋体" w:hAnsi="宋体" w:eastAsia="宋体" w:cs="宋体"/>
                <w:b w:val="0"/>
                <w:bCs/>
                <w:color w:val="auto"/>
                <w:kern w:val="0"/>
                <w:sz w:val="24"/>
                <w:szCs w:val="24"/>
                <w:lang w:val="en-US"/>
              </w:rPr>
              <w:t>工程量清单仅作参考，报价包括完成此项工程的所有费用，此工程限价</w:t>
            </w:r>
            <w:r>
              <w:rPr>
                <w:rFonts w:hint="eastAsia" w:ascii="宋体" w:hAnsi="宋体" w:eastAsia="宋体" w:cs="宋体"/>
                <w:b w:val="0"/>
                <w:bCs/>
                <w:color w:val="auto"/>
                <w:kern w:val="0"/>
                <w:sz w:val="24"/>
                <w:szCs w:val="24"/>
                <w:lang w:val="en-US" w:eastAsia="zh-CN"/>
              </w:rPr>
              <w:t>2.625</w:t>
            </w:r>
            <w:r>
              <w:rPr>
                <w:rFonts w:hint="eastAsia" w:ascii="宋体" w:hAnsi="宋体" w:eastAsia="宋体" w:cs="宋体"/>
                <w:b w:val="0"/>
                <w:bCs/>
                <w:color w:val="auto"/>
                <w:kern w:val="0"/>
                <w:sz w:val="24"/>
                <w:szCs w:val="24"/>
                <w:lang w:val="en-US"/>
              </w:rPr>
              <w:t>万元。</w:t>
            </w:r>
          </w:p>
        </w:tc>
      </w:tr>
      <w:tr w14:paraId="1B63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0" w:type="auto"/>
            <w:vMerge w:val="continue"/>
            <w:vAlign w:val="center"/>
          </w:tcPr>
          <w:p w14:paraId="2993A995">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5B9F6A68">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质量保证及售后服务</w:t>
            </w:r>
          </w:p>
        </w:tc>
        <w:tc>
          <w:tcPr>
            <w:tcW w:w="0" w:type="auto"/>
            <w:vAlign w:val="center"/>
          </w:tcPr>
          <w:p w14:paraId="31ECBD15">
            <w:pPr>
              <w:keepNext w:val="0"/>
              <w:keepLines w:val="0"/>
              <w:pageBreakBefore w:val="0"/>
              <w:widowControl/>
              <w:numPr>
                <w:ilvl w:val="0"/>
                <w:numId w:val="0"/>
              </w:numPr>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lang w:val="en-US" w:eastAsia="zh-CN"/>
              </w:rPr>
              <w:t>质保期2年，质保金3%</w:t>
            </w:r>
          </w:p>
        </w:tc>
      </w:tr>
      <w:tr w14:paraId="0EDE8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0" w:type="auto"/>
            <w:vMerge w:val="continue"/>
            <w:vAlign w:val="center"/>
          </w:tcPr>
          <w:p w14:paraId="16CAB973">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536EBE7B">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付款方式</w:t>
            </w:r>
          </w:p>
        </w:tc>
        <w:tc>
          <w:tcPr>
            <w:tcW w:w="0" w:type="auto"/>
            <w:vAlign w:val="center"/>
          </w:tcPr>
          <w:p w14:paraId="239ECEC2">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验收合格后支付合同总价的97%，剩下3%质保金在质保期结束后无息支付。</w:t>
            </w:r>
          </w:p>
        </w:tc>
      </w:tr>
      <w:tr w14:paraId="5FBA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0" w:type="auto"/>
            <w:vMerge w:val="continue"/>
            <w:vAlign w:val="center"/>
          </w:tcPr>
          <w:p w14:paraId="3E0CE306">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6D12020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知识产权</w:t>
            </w:r>
          </w:p>
        </w:tc>
        <w:tc>
          <w:tcPr>
            <w:tcW w:w="0" w:type="auto"/>
            <w:vAlign w:val="center"/>
          </w:tcPr>
          <w:p w14:paraId="2E27CB29">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7B6B9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0" w:type="auto"/>
            <w:vMerge w:val="continue"/>
            <w:vAlign w:val="center"/>
          </w:tcPr>
          <w:p w14:paraId="06A0CAE5">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4A06631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培训要求</w:t>
            </w:r>
          </w:p>
        </w:tc>
        <w:tc>
          <w:tcPr>
            <w:tcW w:w="0" w:type="auto"/>
            <w:vAlign w:val="center"/>
          </w:tcPr>
          <w:p w14:paraId="459021D2">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投标人对其提供产品的使用和操作应尽培训义务。投标人应提供对采购人的基本免费培训，确保使用人员能正常操作。</w:t>
            </w:r>
          </w:p>
        </w:tc>
      </w:tr>
      <w:tr w14:paraId="478E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0" w:type="auto"/>
            <w:vMerge w:val="continue"/>
            <w:vAlign w:val="center"/>
          </w:tcPr>
          <w:p w14:paraId="4B7585BF">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57CB4D0E">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附件、图纸及包装要求</w:t>
            </w:r>
          </w:p>
        </w:tc>
        <w:tc>
          <w:tcPr>
            <w:tcW w:w="0" w:type="auto"/>
            <w:vAlign w:val="center"/>
          </w:tcPr>
          <w:p w14:paraId="79488C09">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所有设备按照制造商规定的产品包装和随机标准附件为准。（参考）</w:t>
            </w:r>
          </w:p>
        </w:tc>
      </w:tr>
      <w:tr w14:paraId="553C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0" w:type="auto"/>
            <w:vMerge w:val="continue"/>
            <w:vAlign w:val="center"/>
          </w:tcPr>
          <w:p w14:paraId="18B80C7D">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rPr>
            </w:pPr>
          </w:p>
        </w:tc>
        <w:tc>
          <w:tcPr>
            <w:tcW w:w="0" w:type="auto"/>
            <w:vAlign w:val="center"/>
          </w:tcPr>
          <w:p w14:paraId="7DA78EAE">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lang w:val="en-US" w:eastAsia="zh-CN"/>
              </w:rPr>
              <w:t>其他商务要求</w:t>
            </w:r>
          </w:p>
        </w:tc>
        <w:tc>
          <w:tcPr>
            <w:tcW w:w="0" w:type="auto"/>
            <w:vAlign w:val="center"/>
          </w:tcPr>
          <w:p w14:paraId="2E6DAA83">
            <w:pPr>
              <w:keepNext w:val="0"/>
              <w:keepLines w:val="0"/>
              <w:pageBreakBefore w:val="0"/>
              <w:widowControl/>
              <w:kinsoku/>
              <w:wordWrap/>
              <w:overflowPunct/>
              <w:topLinePunct w:val="0"/>
              <w:autoSpaceDE/>
              <w:autoSpaceDN/>
              <w:bidi w:val="0"/>
              <w:adjustRightInd w:val="0"/>
              <w:snapToGrid w:val="0"/>
              <w:spacing w:after="0"/>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各投标人必须踏勘现场</w:t>
            </w:r>
          </w:p>
        </w:tc>
      </w:tr>
    </w:tbl>
    <w:p w14:paraId="1BCCA990">
      <w:pPr>
        <w:rPr>
          <w:rFonts w:hint="eastAsia" w:ascii="宋体" w:hAnsi="宋体" w:eastAsia="宋体" w:cs="宋体"/>
        </w:rPr>
      </w:pPr>
    </w:p>
    <w:p w14:paraId="296DA7AB">
      <w:pPr>
        <w:pStyle w:val="2"/>
        <w:rPr>
          <w:rFonts w:hint="eastAsia" w:ascii="宋体" w:hAnsi="宋体" w:eastAsia="宋体" w:cs="宋体"/>
        </w:rPr>
      </w:pPr>
    </w:p>
    <w:p w14:paraId="2CE8189E">
      <w:pPr>
        <w:rPr>
          <w:rFonts w:hint="eastAsia" w:ascii="宋体" w:hAnsi="宋体" w:eastAsia="宋体" w:cs="宋体"/>
        </w:rPr>
      </w:pPr>
    </w:p>
    <w:p w14:paraId="7D3FFA06">
      <w:pPr>
        <w:pStyle w:val="2"/>
        <w:rPr>
          <w:rFonts w:hint="eastAsia" w:ascii="宋体" w:hAnsi="宋体" w:eastAsia="宋体" w:cs="宋体"/>
        </w:rPr>
      </w:pPr>
    </w:p>
    <w:p w14:paraId="0BED46FB">
      <w:pPr>
        <w:rPr>
          <w:rFonts w:hint="eastAsia" w:ascii="宋体" w:hAnsi="宋体" w:eastAsia="宋体" w:cs="宋体"/>
        </w:rPr>
      </w:pPr>
    </w:p>
    <w:p w14:paraId="258C5B19">
      <w:pPr>
        <w:pStyle w:val="2"/>
        <w:rPr>
          <w:rFonts w:hint="eastAsia" w:ascii="宋体" w:hAnsi="宋体" w:eastAsia="宋体" w:cs="宋体"/>
        </w:rPr>
      </w:pPr>
    </w:p>
    <w:p w14:paraId="618D31D5">
      <w:pPr>
        <w:rPr>
          <w:rFonts w:hint="eastAsia" w:ascii="宋体" w:hAnsi="宋体" w:eastAsia="宋体" w:cs="宋体"/>
        </w:rPr>
      </w:pPr>
    </w:p>
    <w:p w14:paraId="707A05CA">
      <w:pPr>
        <w:pStyle w:val="2"/>
        <w:rPr>
          <w:rFonts w:hint="eastAsia" w:ascii="宋体" w:hAnsi="宋体" w:eastAsia="宋体" w:cs="宋体"/>
        </w:rPr>
      </w:pPr>
    </w:p>
    <w:p w14:paraId="5AFC6165">
      <w:pPr>
        <w:rPr>
          <w:rFonts w:hint="eastAsia" w:ascii="宋体" w:hAnsi="宋体" w:eastAsia="宋体" w:cs="宋体"/>
        </w:rPr>
      </w:pPr>
    </w:p>
    <w:p w14:paraId="61D5D914">
      <w:pPr>
        <w:pStyle w:val="2"/>
        <w:rPr>
          <w:rFonts w:hint="eastAsia" w:ascii="宋体" w:hAnsi="宋体" w:eastAsia="宋体" w:cs="宋体"/>
        </w:rPr>
      </w:pPr>
    </w:p>
    <w:p w14:paraId="5BED36E4">
      <w:pPr>
        <w:rPr>
          <w:rFonts w:hint="eastAsia" w:ascii="宋体" w:hAnsi="宋体" w:eastAsia="宋体" w:cs="宋体"/>
        </w:rPr>
      </w:pPr>
    </w:p>
    <w:p w14:paraId="771E31E3">
      <w:pPr>
        <w:pStyle w:val="2"/>
        <w:rPr>
          <w:rFonts w:hint="eastAsia" w:ascii="宋体" w:hAnsi="宋体" w:eastAsia="宋体" w:cs="宋体"/>
        </w:rPr>
      </w:pPr>
    </w:p>
    <w:p w14:paraId="33E9C7A5">
      <w:pPr>
        <w:rPr>
          <w:rFonts w:hint="eastAsia" w:ascii="宋体" w:hAnsi="宋体" w:eastAsia="宋体" w:cs="宋体"/>
        </w:rPr>
      </w:pPr>
    </w:p>
    <w:p w14:paraId="0DFDA8FB">
      <w:pPr>
        <w:pStyle w:val="2"/>
        <w:rPr>
          <w:rFonts w:hint="eastAsia" w:ascii="宋体" w:hAnsi="宋体" w:eastAsia="宋体" w:cs="宋体"/>
        </w:rPr>
      </w:pPr>
    </w:p>
    <w:p w14:paraId="570C0EE3">
      <w:pPr>
        <w:rPr>
          <w:rFonts w:hint="eastAsia" w:ascii="宋体" w:hAnsi="宋体" w:eastAsia="宋体" w:cs="宋体"/>
        </w:rPr>
      </w:pPr>
    </w:p>
    <w:p w14:paraId="2B335A4A">
      <w:pPr>
        <w:pStyle w:val="2"/>
        <w:rPr>
          <w:rFonts w:hint="eastAsia"/>
        </w:rPr>
      </w:pPr>
    </w:p>
    <w:p w14:paraId="2E5B7ACE">
      <w:pPr>
        <w:rPr>
          <w:rFonts w:hint="eastAsia" w:ascii="宋体" w:hAnsi="宋体" w:eastAsia="宋体" w:cs="宋体"/>
        </w:rPr>
      </w:pPr>
    </w:p>
    <w:p w14:paraId="466C43F0">
      <w:pPr>
        <w:pStyle w:val="2"/>
        <w:rPr>
          <w:rFonts w:hint="eastAsia" w:ascii="宋体" w:hAnsi="宋体" w:eastAsia="宋体" w:cs="宋体"/>
        </w:rPr>
      </w:pPr>
    </w:p>
    <w:tbl>
      <w:tblPr>
        <w:tblStyle w:val="8"/>
        <w:tblW w:w="90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6"/>
        <w:gridCol w:w="1916"/>
        <w:gridCol w:w="799"/>
        <w:gridCol w:w="708"/>
        <w:gridCol w:w="1132"/>
        <w:gridCol w:w="1121"/>
        <w:gridCol w:w="2738"/>
      </w:tblGrid>
      <w:tr w14:paraId="126FB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trPr>
        <w:tc>
          <w:tcPr>
            <w:tcW w:w="9000" w:type="dxa"/>
            <w:gridSpan w:val="7"/>
            <w:tcBorders>
              <w:top w:val="nil"/>
              <w:left w:val="nil"/>
              <w:bottom w:val="nil"/>
              <w:right w:val="nil"/>
            </w:tcBorders>
            <w:shd w:val="clear" w:color="auto" w:fill="auto"/>
            <w:vAlign w:val="center"/>
          </w:tcPr>
          <w:p w14:paraId="7E4CA0B6">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渝中院区门诊眼科检查室拆除隔墙费用表</w:t>
            </w:r>
          </w:p>
        </w:tc>
      </w:tr>
      <w:tr w14:paraId="5B7D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8D9CA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6AA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项目</w:t>
            </w:r>
            <w:r>
              <w:rPr>
                <w:rFonts w:hint="eastAsia" w:ascii="黑体" w:hAnsi="宋体" w:eastAsia="黑体" w:cs="黑体"/>
                <w:i w:val="0"/>
                <w:iCs w:val="0"/>
                <w:color w:val="000000"/>
                <w:kern w:val="0"/>
                <w:sz w:val="22"/>
                <w:szCs w:val="22"/>
                <w:u w:val="none"/>
                <w:lang w:val="en-US" w:eastAsia="zh-CN" w:bidi="ar"/>
              </w:rPr>
              <w:t>名称</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0EAF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单位</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C862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11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94A38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综合单价</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7403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合计（元）</w:t>
            </w:r>
          </w:p>
        </w:tc>
        <w:tc>
          <w:tcPr>
            <w:tcW w:w="2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3742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材料说明及施工工艺描述</w:t>
            </w:r>
          </w:p>
        </w:tc>
      </w:tr>
      <w:tr w14:paraId="2B386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74185">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88799">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698A9">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6A5C7">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61382">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BB3C3">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2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C6568">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r>
      <w:tr w14:paraId="4E795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4"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D57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6FC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轻钢龙骨隔墙拆除</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8C6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平方米</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B8E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16.4</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F765">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25662">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42F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一面隔墙拆除</w:t>
            </w:r>
          </w:p>
        </w:tc>
      </w:tr>
      <w:tr w14:paraId="21966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863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1DE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硅钙板吊顶拆除</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E2D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平方米</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2F4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4.92</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1F6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B79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C212">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773D2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D056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3F0F4">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强弱电线路、配电箱、给排水等拆除</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D335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AF3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ADF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4E62">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215C">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42AB4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125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4</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9B2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吊顶阻燃板石膏板假梁制作</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5D1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米</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E01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4.1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EAB6">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9292">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B763">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00C99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B46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5</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37AC">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硅钙板吊顶还原</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619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201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06F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F16D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91CC">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4FF8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269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6</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F67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地面自流平修补、地胶嵌补</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C10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C1E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014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9E9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6610">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3B3AA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2F8C">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7</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E094">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墙面涂料修补</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AFA5">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9144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F0C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4A9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BE8B">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4D78E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F3F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8</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754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强弱电线路配电箱移位恢复</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B17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153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746CC">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A19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B880">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385B8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015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9</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C948">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新增地面地插</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A4836">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79A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CC8A">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A07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AA8B">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default"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地插7个，包括管线施工。</w:t>
            </w:r>
          </w:p>
        </w:tc>
      </w:tr>
      <w:tr w14:paraId="6E2B8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E68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10</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78C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垃圾外运</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B8F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E67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2A2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ADD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53AA">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r w14:paraId="35F1E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4B04">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default" w:ascii="黑体" w:hAnsi="宋体" w:eastAsia="黑体" w:cs="黑体"/>
                <w:i w:val="0"/>
                <w:iCs w:val="0"/>
                <w:color w:val="000000"/>
                <w:sz w:val="24"/>
                <w:szCs w:val="24"/>
                <w:u w:val="none"/>
                <w:lang w:val="en-US"/>
              </w:rPr>
            </w:pPr>
            <w:r>
              <w:rPr>
                <w:rFonts w:hint="eastAsia" w:ascii="黑体" w:hAnsi="宋体" w:eastAsia="黑体" w:cs="黑体"/>
                <w:i w:val="0"/>
                <w:iCs w:val="0"/>
                <w:color w:val="000000"/>
                <w:kern w:val="0"/>
                <w:sz w:val="24"/>
                <w:szCs w:val="24"/>
                <w:u w:val="none"/>
                <w:lang w:val="en-US" w:eastAsia="zh-CN" w:bidi="ar"/>
              </w:rPr>
              <w:t>11</w:t>
            </w:r>
          </w:p>
        </w:tc>
        <w:tc>
          <w:tcPr>
            <w:tcW w:w="1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D23E">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总价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3367">
            <w:pPr>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4AFE">
            <w:pPr>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658C">
            <w:pPr>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i w:val="0"/>
                <w:iCs w:val="0"/>
                <w:color w:val="000000"/>
                <w:sz w:val="22"/>
                <w:szCs w:val="22"/>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96B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0B3B">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需考虑全是夜间施工。</w:t>
            </w:r>
          </w:p>
        </w:tc>
      </w:tr>
    </w:tbl>
    <w:p w14:paraId="6BE189EC">
      <w:pPr>
        <w:pStyle w:val="2"/>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rPr>
      </w:pPr>
    </w:p>
    <w:tbl>
      <w:tblPr>
        <w:tblStyle w:val="8"/>
        <w:tblW w:w="9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3"/>
        <w:gridCol w:w="1972"/>
        <w:gridCol w:w="822"/>
        <w:gridCol w:w="719"/>
        <w:gridCol w:w="1169"/>
        <w:gridCol w:w="1150"/>
        <w:gridCol w:w="2835"/>
      </w:tblGrid>
      <w:tr w14:paraId="7FB58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trPr>
        <w:tc>
          <w:tcPr>
            <w:tcW w:w="9200" w:type="dxa"/>
            <w:gridSpan w:val="7"/>
            <w:tcBorders>
              <w:top w:val="nil"/>
              <w:left w:val="nil"/>
              <w:bottom w:val="nil"/>
              <w:right w:val="nil"/>
            </w:tcBorders>
            <w:shd w:val="clear" w:color="auto" w:fill="auto"/>
            <w:vAlign w:val="center"/>
          </w:tcPr>
          <w:p w14:paraId="40674D9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两江院区超声科副主任办公室新增纱窗费用表</w:t>
            </w:r>
          </w:p>
        </w:tc>
      </w:tr>
      <w:tr w14:paraId="23A3D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5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FFDF7">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3FE6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项目</w:t>
            </w:r>
            <w:r>
              <w:rPr>
                <w:rFonts w:hint="eastAsia" w:ascii="黑体" w:hAnsi="宋体" w:eastAsia="黑体" w:cs="黑体"/>
                <w:i w:val="0"/>
                <w:iCs w:val="0"/>
                <w:color w:val="000000"/>
                <w:kern w:val="0"/>
                <w:sz w:val="22"/>
                <w:szCs w:val="22"/>
                <w:u w:val="none"/>
                <w:lang w:val="en-US" w:eastAsia="zh-CN" w:bidi="ar"/>
              </w:rPr>
              <w:t>名称</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09E6CF">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单位</w:t>
            </w:r>
          </w:p>
        </w:tc>
        <w:tc>
          <w:tcPr>
            <w:tcW w:w="7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429CA">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11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AC07ED">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综合单价</w:t>
            </w:r>
          </w:p>
        </w:tc>
        <w:tc>
          <w:tcPr>
            <w:tcW w:w="11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67F0B4">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合计（元）</w:t>
            </w:r>
          </w:p>
        </w:tc>
        <w:tc>
          <w:tcPr>
            <w:tcW w:w="28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C997B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材料说明及施工工艺描述</w:t>
            </w:r>
          </w:p>
        </w:tc>
      </w:tr>
      <w:tr w14:paraId="11ACA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5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B5016">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BC79">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D573F">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7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95D92">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C8F16">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0A3E0">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28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5D4F3">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r>
      <w:tr w14:paraId="58553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9B1C">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3FC5">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铝合金纱窗（原有悬窗配套）1200*2000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F78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樘</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3165">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5781">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D04E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FB39">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配置滑轨及竖框，纱窗上下滑动可开关悬窗，采用不锈钢金刚纱网，四周耐候结构胶收口</w:t>
            </w:r>
          </w:p>
        </w:tc>
      </w:tr>
      <w:tr w14:paraId="7B634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9B82">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2</w:t>
            </w: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AD33">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总价</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2793">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F39E">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7C15">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黑体" w:hAnsi="宋体" w:eastAsia="黑体" w:cs="黑体"/>
                <w:i w:val="0"/>
                <w:iCs w:val="0"/>
                <w:color w:val="000000"/>
                <w:sz w:val="24"/>
                <w:szCs w:val="24"/>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43C0">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黑体" w:hAnsi="宋体" w:eastAsia="黑体" w:cs="黑体"/>
                <w:i w:val="0"/>
                <w:iCs w:val="0"/>
                <w:color w:val="000000"/>
                <w:sz w:val="24"/>
                <w:szCs w:val="24"/>
                <w:u w:val="none"/>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1681">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黑体" w:hAnsi="宋体" w:eastAsia="黑体" w:cs="黑体"/>
                <w:i w:val="0"/>
                <w:iCs w:val="0"/>
                <w:color w:val="000000"/>
                <w:sz w:val="24"/>
                <w:szCs w:val="24"/>
                <w:u w:val="none"/>
              </w:rPr>
            </w:pPr>
          </w:p>
        </w:tc>
      </w:tr>
    </w:tbl>
    <w:p w14:paraId="6937A701">
      <w:pPr>
        <w:pStyle w:val="2"/>
        <w:rPr>
          <w:rFonts w:hint="eastAsia" w:ascii="宋体" w:hAnsi="宋体" w:eastAsia="宋体" w:cs="宋体"/>
        </w:rPr>
      </w:pPr>
    </w:p>
    <w:tbl>
      <w:tblPr>
        <w:tblStyle w:val="8"/>
        <w:tblW w:w="9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3"/>
        <w:gridCol w:w="2045"/>
        <w:gridCol w:w="853"/>
        <w:gridCol w:w="746"/>
        <w:gridCol w:w="1211"/>
        <w:gridCol w:w="1192"/>
        <w:gridCol w:w="2940"/>
      </w:tblGrid>
      <w:tr w14:paraId="1B2DA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9540" w:type="dxa"/>
            <w:gridSpan w:val="7"/>
            <w:tcBorders>
              <w:top w:val="nil"/>
              <w:left w:val="nil"/>
              <w:bottom w:val="nil"/>
              <w:right w:val="nil"/>
            </w:tcBorders>
            <w:shd w:val="clear" w:color="auto" w:fill="auto"/>
            <w:vAlign w:val="center"/>
          </w:tcPr>
          <w:p w14:paraId="69924D2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渝中院区和缘餐厅零星维修费用表</w:t>
            </w:r>
          </w:p>
        </w:tc>
      </w:tr>
      <w:tr w14:paraId="16926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5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A5DB22">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F7F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项目</w:t>
            </w:r>
            <w:r>
              <w:rPr>
                <w:rFonts w:hint="eastAsia" w:ascii="黑体" w:hAnsi="宋体" w:eastAsia="黑体" w:cs="黑体"/>
                <w:i w:val="0"/>
                <w:iCs w:val="0"/>
                <w:color w:val="000000"/>
                <w:kern w:val="0"/>
                <w:sz w:val="22"/>
                <w:szCs w:val="22"/>
                <w:u w:val="none"/>
                <w:lang w:val="en-US" w:eastAsia="zh-CN" w:bidi="ar"/>
              </w:rPr>
              <w:t>名称</w:t>
            </w:r>
          </w:p>
        </w:tc>
        <w:tc>
          <w:tcPr>
            <w:tcW w:w="8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47496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单位</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1FACA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1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43BC2F">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综合单价</w:t>
            </w:r>
          </w:p>
        </w:tc>
        <w:tc>
          <w:tcPr>
            <w:tcW w:w="11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FFA24D">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合计（元）</w:t>
            </w:r>
          </w:p>
        </w:tc>
        <w:tc>
          <w:tcPr>
            <w:tcW w:w="2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E304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材料说明及施工工艺描述</w:t>
            </w:r>
          </w:p>
        </w:tc>
      </w:tr>
      <w:tr w14:paraId="395B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1780E">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28A0">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CC587">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44A4B">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55530">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02B5C">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2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B2B4A">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r>
      <w:tr w14:paraId="24822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9"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DB3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2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B46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洗碗间排水沟新增定制不锈钢网筐</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382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C91F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566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234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D88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2MM厚304不锈钢冲孔网筐650*350*200</w:t>
            </w:r>
          </w:p>
        </w:tc>
      </w:tr>
      <w:tr w14:paraId="1D1F0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8FEE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2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A0D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米面储藏间定制不锈钢托盘</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3BA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米</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B56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6.7</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FB2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D9A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52D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304不锈钢面板厚度1.5MM立柱50*50*1.5 3900*600*200  2800*600*200</w:t>
            </w:r>
          </w:p>
        </w:tc>
      </w:tr>
      <w:tr w14:paraId="083D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1CCD">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3</w:t>
            </w:r>
          </w:p>
        </w:tc>
        <w:tc>
          <w:tcPr>
            <w:tcW w:w="2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7CA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A1DB">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7D10">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CD0D">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8C61">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9B247">
            <w:pPr>
              <w:keepNext w:val="0"/>
              <w:keepLines w:val="0"/>
              <w:pageBreakBefore w:val="0"/>
              <w:widowControl/>
              <w:kinsoku/>
              <w:wordWrap/>
              <w:overflowPunct/>
              <w:topLinePunct w:val="0"/>
              <w:autoSpaceDE/>
              <w:autoSpaceDN/>
              <w:bidi w:val="0"/>
              <w:adjustRightInd w:val="0"/>
              <w:snapToGrid w:val="0"/>
              <w:spacing w:after="0" w:line="300" w:lineRule="exact"/>
              <w:jc w:val="left"/>
              <w:rPr>
                <w:rFonts w:hint="eastAsia" w:ascii="黑体" w:hAnsi="宋体" w:eastAsia="黑体" w:cs="黑体"/>
                <w:i w:val="0"/>
                <w:iCs w:val="0"/>
                <w:color w:val="000000"/>
                <w:sz w:val="24"/>
                <w:szCs w:val="24"/>
                <w:u w:val="none"/>
              </w:rPr>
            </w:pPr>
          </w:p>
        </w:tc>
      </w:tr>
    </w:tbl>
    <w:p w14:paraId="403E60FE">
      <w:pPr>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rPr>
      </w:pPr>
    </w:p>
    <w:p w14:paraId="78878F0F">
      <w:pPr>
        <w:pStyle w:val="2"/>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rPr>
      </w:pPr>
    </w:p>
    <w:tbl>
      <w:tblPr>
        <w:tblStyle w:val="8"/>
        <w:tblW w:w="95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6"/>
        <w:gridCol w:w="2026"/>
        <w:gridCol w:w="811"/>
        <w:gridCol w:w="775"/>
        <w:gridCol w:w="943"/>
        <w:gridCol w:w="1049"/>
        <w:gridCol w:w="3344"/>
      </w:tblGrid>
      <w:tr w14:paraId="7696E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9534" w:type="dxa"/>
            <w:gridSpan w:val="7"/>
            <w:tcBorders>
              <w:top w:val="nil"/>
              <w:left w:val="nil"/>
              <w:bottom w:val="nil"/>
              <w:right w:val="nil"/>
            </w:tcBorders>
            <w:shd w:val="clear" w:color="auto" w:fill="auto"/>
            <w:vAlign w:val="center"/>
          </w:tcPr>
          <w:p w14:paraId="10A7AA7F">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渝中营养科增加传递窗和窗套费用表</w:t>
            </w:r>
          </w:p>
        </w:tc>
      </w:tr>
      <w:tr w14:paraId="465AB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5C08B">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20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F1419">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项目</w:t>
            </w:r>
            <w:r>
              <w:rPr>
                <w:rFonts w:hint="eastAsia" w:ascii="黑体" w:hAnsi="宋体" w:eastAsia="黑体" w:cs="黑体"/>
                <w:i w:val="0"/>
                <w:iCs w:val="0"/>
                <w:color w:val="000000"/>
                <w:kern w:val="0"/>
                <w:sz w:val="22"/>
                <w:szCs w:val="22"/>
                <w:u w:val="none"/>
                <w:lang w:val="en-US" w:eastAsia="zh-CN" w:bidi="ar"/>
              </w:rPr>
              <w:t>名称</w:t>
            </w:r>
          </w:p>
        </w:tc>
        <w:tc>
          <w:tcPr>
            <w:tcW w:w="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0E947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单位</w:t>
            </w:r>
          </w:p>
        </w:tc>
        <w:tc>
          <w:tcPr>
            <w:tcW w:w="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C0B27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AD026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综合单价</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C319B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合计（元）</w:t>
            </w:r>
          </w:p>
        </w:tc>
        <w:tc>
          <w:tcPr>
            <w:tcW w:w="33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12D51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材料说明及施工工艺描述</w:t>
            </w:r>
          </w:p>
        </w:tc>
      </w:tr>
      <w:tr w14:paraId="11315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49D1C">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20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2CD6">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05A5B">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27D7C">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90910">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E3716">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33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9DF48">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r>
      <w:tr w14:paraId="265A4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2FF7C">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720C">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304不锈钢窗套</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13A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套</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5FFA">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1092">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50C1B">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647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default"/>
                <w:lang w:val="en-US" w:eastAsia="zh-CN"/>
              </w:rPr>
            </w:pPr>
            <w:r>
              <w:rPr>
                <w:rFonts w:hint="default"/>
                <w:lang w:val="en-US" w:eastAsia="zh-CN"/>
              </w:rPr>
              <w:t>1740*1510*460</w:t>
            </w:r>
          </w:p>
          <w:p w14:paraId="17F7A09D">
            <w:pPr>
              <w:pStyle w:val="2"/>
              <w:keepNext w:val="0"/>
              <w:keepLines w:val="0"/>
              <w:pageBreakBefore w:val="0"/>
              <w:widowControl/>
              <w:kinsoku/>
              <w:wordWrap/>
              <w:overflowPunct/>
              <w:topLinePunct w:val="0"/>
              <w:autoSpaceDE/>
              <w:autoSpaceDN/>
              <w:bidi w:val="0"/>
              <w:adjustRightInd w:val="0"/>
              <w:snapToGrid w:val="0"/>
              <w:spacing w:after="0" w:line="300" w:lineRule="exact"/>
              <w:rPr>
                <w:rFonts w:hint="default"/>
                <w:lang w:val="en-US"/>
              </w:rPr>
            </w:pPr>
            <w:r>
              <w:rPr>
                <w:rFonts w:hint="eastAsia" w:ascii="等线" w:hAnsi="等线" w:eastAsia="等线" w:cs="等线"/>
                <w:i w:val="0"/>
                <w:iCs w:val="0"/>
                <w:color w:val="000000"/>
                <w:kern w:val="0"/>
                <w:sz w:val="22"/>
                <w:szCs w:val="22"/>
                <w:u w:val="none"/>
                <w:lang w:val="en-US" w:eastAsia="zh-CN" w:bidi="ar"/>
              </w:rPr>
              <w:t>不锈钢板厚1.0mm，阻燃板基层</w:t>
            </w:r>
          </w:p>
        </w:tc>
      </w:tr>
      <w:tr w14:paraId="358F0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9A3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9871">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304不锈钢传递窗</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DC8A">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台</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BEB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7ED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868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8A0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600*600*600</w:t>
            </w:r>
          </w:p>
        </w:tc>
      </w:tr>
      <w:tr w14:paraId="35D72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885B">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1BA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净化板窗户封堵</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11AA">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套</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64C1">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672A">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B56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A3B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1740*1510</w:t>
            </w:r>
          </w:p>
        </w:tc>
      </w:tr>
      <w:tr w14:paraId="46FAC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ED9C">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4</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F05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旧窗拆除</w:t>
            </w:r>
            <w:r>
              <w:rPr>
                <w:rFonts w:hint="eastAsia" w:ascii="等线" w:hAnsi="等线" w:eastAsia="等线" w:cs="等线"/>
                <w:i w:val="0"/>
                <w:iCs w:val="0"/>
                <w:color w:val="000000"/>
                <w:kern w:val="0"/>
                <w:sz w:val="22"/>
                <w:szCs w:val="22"/>
                <w:u w:val="none"/>
                <w:lang w:val="en-US" w:eastAsia="zh-CN" w:bidi="ar"/>
              </w:rPr>
              <w:t>和收边</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1A7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default" w:ascii="等线" w:hAnsi="等线" w:eastAsia="等线" w:cs="等线"/>
                <w:i w:val="0"/>
                <w:iCs w:val="0"/>
                <w:color w:val="000000"/>
                <w:kern w:val="0"/>
                <w:sz w:val="22"/>
                <w:szCs w:val="22"/>
                <w:u w:val="none"/>
                <w:lang w:val="en-US" w:eastAsia="zh-CN" w:bidi="ar"/>
              </w:rPr>
              <w:t>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F94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F4D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68D9">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A55E0">
            <w:pPr>
              <w:keepNext w:val="0"/>
              <w:keepLines w:val="0"/>
              <w:pageBreakBefore w:val="0"/>
              <w:widowControl/>
              <w:kinsoku/>
              <w:wordWrap/>
              <w:overflowPunct/>
              <w:topLinePunct w:val="0"/>
              <w:autoSpaceDE/>
              <w:autoSpaceDN/>
              <w:bidi w:val="0"/>
              <w:adjustRightInd w:val="0"/>
              <w:snapToGrid w:val="0"/>
              <w:spacing w:after="0" w:line="300" w:lineRule="exact"/>
              <w:jc w:val="left"/>
              <w:rPr>
                <w:rFonts w:hint="eastAsia" w:ascii="黑体" w:hAnsi="宋体" w:eastAsia="黑体" w:cs="黑体"/>
                <w:i w:val="0"/>
                <w:iCs w:val="0"/>
                <w:color w:val="000000"/>
                <w:sz w:val="24"/>
                <w:szCs w:val="24"/>
                <w:u w:val="none"/>
              </w:rPr>
            </w:pPr>
          </w:p>
        </w:tc>
      </w:tr>
      <w:tr w14:paraId="34F0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A4D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5</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1EC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eastAsia="zh-CN"/>
              </w:rPr>
            </w:pPr>
            <w:r>
              <w:rPr>
                <w:rFonts w:hint="eastAsia" w:ascii="黑体" w:hAnsi="宋体" w:eastAsia="黑体" w:cs="黑体"/>
                <w:i w:val="0"/>
                <w:iCs w:val="0"/>
                <w:color w:val="000000"/>
                <w:sz w:val="24"/>
                <w:szCs w:val="24"/>
                <w:u w:val="none"/>
                <w:lang w:eastAsia="zh-CN"/>
              </w:rPr>
              <w:t>垃圾外运</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93B02">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eastAsia="zh-CN"/>
              </w:rPr>
            </w:pPr>
            <w:r>
              <w:rPr>
                <w:rFonts w:hint="eastAsia" w:ascii="黑体" w:hAnsi="宋体" w:eastAsia="黑体" w:cs="黑体"/>
                <w:i w:val="0"/>
                <w:iCs w:val="0"/>
                <w:color w:val="000000"/>
                <w:sz w:val="24"/>
                <w:szCs w:val="24"/>
                <w:u w:val="none"/>
                <w:lang w:eastAsia="zh-CN"/>
              </w:rPr>
              <w:t>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BA5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lang w:val="en-US" w:eastAsia="zh-CN"/>
              </w:rPr>
            </w:pPr>
            <w:r>
              <w:rPr>
                <w:rFonts w:hint="eastAsia" w:ascii="黑体" w:hAnsi="宋体" w:eastAsia="黑体" w:cs="黑体"/>
                <w:i w:val="0"/>
                <w:iCs w:val="0"/>
                <w:color w:val="000000"/>
                <w:sz w:val="24"/>
                <w:szCs w:val="24"/>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D74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56D1">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4B87">
            <w:pPr>
              <w:keepNext w:val="0"/>
              <w:keepLines w:val="0"/>
              <w:pageBreakBefore w:val="0"/>
              <w:widowControl/>
              <w:kinsoku/>
              <w:wordWrap/>
              <w:overflowPunct/>
              <w:topLinePunct w:val="0"/>
              <w:autoSpaceDE/>
              <w:autoSpaceDN/>
              <w:bidi w:val="0"/>
              <w:adjustRightInd w:val="0"/>
              <w:snapToGrid w:val="0"/>
              <w:spacing w:after="0" w:line="300" w:lineRule="exact"/>
              <w:jc w:val="left"/>
              <w:rPr>
                <w:rFonts w:hint="eastAsia" w:ascii="黑体" w:hAnsi="宋体" w:eastAsia="黑体" w:cs="黑体"/>
                <w:i w:val="0"/>
                <w:iCs w:val="0"/>
                <w:color w:val="000000"/>
                <w:sz w:val="24"/>
                <w:szCs w:val="24"/>
                <w:u w:val="none"/>
              </w:rPr>
            </w:pPr>
          </w:p>
        </w:tc>
      </w:tr>
      <w:tr w14:paraId="7A41D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4D6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default" w:ascii="黑体" w:hAnsi="宋体" w:eastAsia="黑体" w:cs="黑体"/>
                <w:i w:val="0"/>
                <w:iCs w:val="0"/>
                <w:color w:val="000000"/>
                <w:sz w:val="24"/>
                <w:szCs w:val="24"/>
                <w:u w:val="none"/>
                <w:lang w:val="en-US"/>
              </w:rPr>
            </w:pPr>
            <w:r>
              <w:rPr>
                <w:rFonts w:hint="eastAsia" w:ascii="黑体" w:hAnsi="宋体" w:eastAsia="黑体" w:cs="黑体"/>
                <w:i w:val="0"/>
                <w:iCs w:val="0"/>
                <w:color w:val="000000"/>
                <w:kern w:val="0"/>
                <w:sz w:val="24"/>
                <w:szCs w:val="24"/>
                <w:u w:val="none"/>
                <w:lang w:val="en-US" w:eastAsia="zh-CN" w:bidi="ar"/>
              </w:rPr>
              <w:t>6</w:t>
            </w:r>
          </w:p>
        </w:tc>
        <w:tc>
          <w:tcPr>
            <w:tcW w:w="2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8E71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总价</w:t>
            </w:r>
          </w:p>
        </w:tc>
        <w:tc>
          <w:tcPr>
            <w:tcW w:w="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9FDE">
            <w:pPr>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i w:val="0"/>
                <w:iCs w:val="0"/>
                <w:color w:val="000000"/>
                <w:sz w:val="22"/>
                <w:szCs w:val="22"/>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59B56">
            <w:pPr>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1243">
            <w:pPr>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i w:val="0"/>
                <w:iCs w:val="0"/>
                <w:color w:val="000000"/>
                <w:sz w:val="22"/>
                <w:szCs w:val="22"/>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4029">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3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B81E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left"/>
              <w:textAlignment w:val="center"/>
              <w:rPr>
                <w:rFonts w:hint="eastAsia" w:ascii="黑体" w:hAnsi="宋体" w:eastAsia="黑体" w:cs="黑体"/>
                <w:i w:val="0"/>
                <w:iCs w:val="0"/>
                <w:color w:val="000000"/>
                <w:sz w:val="24"/>
                <w:szCs w:val="24"/>
                <w:u w:val="none"/>
              </w:rPr>
            </w:pPr>
          </w:p>
        </w:tc>
      </w:tr>
    </w:tbl>
    <w:p w14:paraId="76B003CB">
      <w:pPr>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rPr>
      </w:pPr>
    </w:p>
    <w:p w14:paraId="774C7527">
      <w:pPr>
        <w:pStyle w:val="2"/>
        <w:keepNext w:val="0"/>
        <w:keepLines w:val="0"/>
        <w:pageBreakBefore w:val="0"/>
        <w:widowControl/>
        <w:kinsoku/>
        <w:wordWrap/>
        <w:overflowPunct/>
        <w:topLinePunct w:val="0"/>
        <w:autoSpaceDE/>
        <w:autoSpaceDN/>
        <w:bidi w:val="0"/>
        <w:adjustRightInd w:val="0"/>
        <w:snapToGrid w:val="0"/>
        <w:spacing w:after="0" w:line="300" w:lineRule="exact"/>
        <w:rPr>
          <w:rFonts w:hint="eastAsia" w:ascii="宋体" w:hAnsi="宋体" w:eastAsia="宋体" w:cs="宋体"/>
        </w:rPr>
      </w:pPr>
    </w:p>
    <w:tbl>
      <w:tblPr>
        <w:tblStyle w:val="8"/>
        <w:tblW w:w="9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8"/>
        <w:gridCol w:w="2212"/>
        <w:gridCol w:w="661"/>
        <w:gridCol w:w="740"/>
        <w:gridCol w:w="1202"/>
        <w:gridCol w:w="1182"/>
        <w:gridCol w:w="2915"/>
      </w:tblGrid>
      <w:tr w14:paraId="5FB93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9460" w:type="dxa"/>
            <w:gridSpan w:val="7"/>
            <w:tcBorders>
              <w:top w:val="nil"/>
              <w:left w:val="nil"/>
              <w:bottom w:val="nil"/>
              <w:right w:val="nil"/>
            </w:tcBorders>
            <w:shd w:val="clear" w:color="auto" w:fill="auto"/>
            <w:vAlign w:val="center"/>
          </w:tcPr>
          <w:p w14:paraId="282681E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渝中院区营养科新增纱窗及百叶窗帘费用表</w:t>
            </w:r>
          </w:p>
        </w:tc>
      </w:tr>
      <w:tr w14:paraId="03E09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8F73E5">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221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6434">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项目</w:t>
            </w:r>
            <w:r>
              <w:rPr>
                <w:rStyle w:val="22"/>
                <w:lang w:val="en-US" w:eastAsia="zh-CN" w:bidi="ar"/>
              </w:rPr>
              <w:t>名称</w:t>
            </w: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9954F">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单位</w:t>
            </w:r>
          </w:p>
        </w:tc>
        <w:tc>
          <w:tcPr>
            <w:tcW w:w="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DF5C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12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AE879">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综合单价</w:t>
            </w:r>
          </w:p>
        </w:tc>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9EFBB">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合计（元）</w:t>
            </w:r>
          </w:p>
        </w:tc>
        <w:tc>
          <w:tcPr>
            <w:tcW w:w="2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C8E7C">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材料说明及施工工艺描述</w:t>
            </w:r>
          </w:p>
        </w:tc>
      </w:tr>
      <w:tr w14:paraId="7E7B8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4B2C4">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22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BC39">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36185">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2F756">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2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207FC">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8A598">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2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337E7">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r>
      <w:tr w14:paraId="49EB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9DE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CFC2">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铝合金纱窗（需与原有滑窗配套）1500*1200</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08C91">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樘</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E0C6">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3EB8">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2BAF">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153E">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配置上下滑轨及竖框，采用不锈钢金刚纱网，四周耐候结构胶收口</w:t>
            </w:r>
          </w:p>
        </w:tc>
      </w:tr>
      <w:tr w14:paraId="21DB4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41E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B969">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铝百叶窗帘（需与原有滑窗配套）</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8149D">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CF72">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C4D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F50F">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8DB80">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left"/>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高光天蓝色</w:t>
            </w:r>
          </w:p>
        </w:tc>
      </w:tr>
      <w:tr w14:paraId="0DC03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8DE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EA47">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合计</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4C65">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82CA">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4A09">
            <w:pPr>
              <w:keepNext w:val="0"/>
              <w:keepLines w:val="0"/>
              <w:pageBreakBefore w:val="0"/>
              <w:widowControl/>
              <w:kinsoku/>
              <w:wordWrap/>
              <w:overflowPunct/>
              <w:topLinePunct w:val="0"/>
              <w:autoSpaceDE/>
              <w:autoSpaceDN/>
              <w:bidi w:val="0"/>
              <w:adjustRightInd w:val="0"/>
              <w:snapToGrid w:val="0"/>
              <w:spacing w:after="0" w:line="300" w:lineRule="exact"/>
              <w:jc w:val="center"/>
              <w:rPr>
                <w:rFonts w:hint="eastAsia" w:ascii="黑体" w:hAnsi="宋体" w:eastAsia="黑体" w:cs="黑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3CD3">
            <w:pPr>
              <w:keepNext w:val="0"/>
              <w:keepLines w:val="0"/>
              <w:pageBreakBefore w:val="0"/>
              <w:widowControl/>
              <w:suppressLineNumbers w:val="0"/>
              <w:kinsoku/>
              <w:wordWrap/>
              <w:overflowPunct/>
              <w:topLinePunct w:val="0"/>
              <w:autoSpaceDE/>
              <w:autoSpaceDN/>
              <w:bidi w:val="0"/>
              <w:adjustRightInd w:val="0"/>
              <w:snapToGrid w:val="0"/>
              <w:spacing w:after="0" w:line="300" w:lineRule="exact"/>
              <w:jc w:val="center"/>
              <w:textAlignment w:val="center"/>
              <w:rPr>
                <w:rFonts w:hint="eastAsia" w:ascii="黑体" w:hAnsi="宋体" w:eastAsia="黑体" w:cs="黑体"/>
                <w:i w:val="0"/>
                <w:iCs w:val="0"/>
                <w:color w:val="000000"/>
                <w:sz w:val="24"/>
                <w:szCs w:val="24"/>
                <w:u w:val="none"/>
              </w:rPr>
            </w:pPr>
          </w:p>
        </w:tc>
        <w:tc>
          <w:tcPr>
            <w:tcW w:w="2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6929">
            <w:pPr>
              <w:keepNext w:val="0"/>
              <w:keepLines w:val="0"/>
              <w:pageBreakBefore w:val="0"/>
              <w:widowControl/>
              <w:kinsoku/>
              <w:wordWrap/>
              <w:overflowPunct/>
              <w:topLinePunct w:val="0"/>
              <w:autoSpaceDE/>
              <w:autoSpaceDN/>
              <w:bidi w:val="0"/>
              <w:adjustRightInd w:val="0"/>
              <w:snapToGrid w:val="0"/>
              <w:spacing w:after="0" w:line="300" w:lineRule="exact"/>
              <w:jc w:val="left"/>
              <w:rPr>
                <w:rFonts w:hint="eastAsia" w:ascii="黑体" w:hAnsi="宋体" w:eastAsia="黑体" w:cs="黑体"/>
                <w:i w:val="0"/>
                <w:iCs w:val="0"/>
                <w:color w:val="000000"/>
                <w:sz w:val="24"/>
                <w:szCs w:val="24"/>
                <w:u w:val="none"/>
              </w:rPr>
            </w:pPr>
          </w:p>
        </w:tc>
      </w:tr>
    </w:tbl>
    <w:p w14:paraId="1AEC7376">
      <w:pPr>
        <w:pStyle w:val="2"/>
        <w:rPr>
          <w:rFonts w:hint="eastAsia"/>
        </w:rPr>
      </w:pPr>
    </w:p>
    <w:sectPr>
      <w:pgSz w:w="11906" w:h="16838"/>
      <w:pgMar w:top="737" w:right="1134" w:bottom="1440" w:left="124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47B4"/>
    <w:rsid w:val="000B7479"/>
    <w:rsid w:val="000C7355"/>
    <w:rsid w:val="000F37A4"/>
    <w:rsid w:val="0011050F"/>
    <w:rsid w:val="00126BC8"/>
    <w:rsid w:val="00144E8F"/>
    <w:rsid w:val="001A4AE6"/>
    <w:rsid w:val="001E72E5"/>
    <w:rsid w:val="002012A8"/>
    <w:rsid w:val="0021071A"/>
    <w:rsid w:val="00223628"/>
    <w:rsid w:val="002B197D"/>
    <w:rsid w:val="00323B43"/>
    <w:rsid w:val="0036590F"/>
    <w:rsid w:val="00376BD6"/>
    <w:rsid w:val="003B4EDC"/>
    <w:rsid w:val="003C13E5"/>
    <w:rsid w:val="003D37D8"/>
    <w:rsid w:val="00426133"/>
    <w:rsid w:val="004358AB"/>
    <w:rsid w:val="00435CEF"/>
    <w:rsid w:val="004547F9"/>
    <w:rsid w:val="004649CB"/>
    <w:rsid w:val="0048367D"/>
    <w:rsid w:val="004B3FB9"/>
    <w:rsid w:val="0055280B"/>
    <w:rsid w:val="00586464"/>
    <w:rsid w:val="006140B6"/>
    <w:rsid w:val="00631822"/>
    <w:rsid w:val="0065499D"/>
    <w:rsid w:val="00663A62"/>
    <w:rsid w:val="00670B95"/>
    <w:rsid w:val="00694BAD"/>
    <w:rsid w:val="00734F0A"/>
    <w:rsid w:val="007658C6"/>
    <w:rsid w:val="007E4441"/>
    <w:rsid w:val="00811F63"/>
    <w:rsid w:val="00822D77"/>
    <w:rsid w:val="008349E9"/>
    <w:rsid w:val="00852F41"/>
    <w:rsid w:val="00853B47"/>
    <w:rsid w:val="00882348"/>
    <w:rsid w:val="008B7726"/>
    <w:rsid w:val="008C4841"/>
    <w:rsid w:val="00923D07"/>
    <w:rsid w:val="0096305C"/>
    <w:rsid w:val="00981706"/>
    <w:rsid w:val="009E6957"/>
    <w:rsid w:val="009F0C7F"/>
    <w:rsid w:val="00A41551"/>
    <w:rsid w:val="00A43B07"/>
    <w:rsid w:val="00A453E5"/>
    <w:rsid w:val="00AD321D"/>
    <w:rsid w:val="00B20329"/>
    <w:rsid w:val="00B80B72"/>
    <w:rsid w:val="00B94B19"/>
    <w:rsid w:val="00BB2DA7"/>
    <w:rsid w:val="00C008EA"/>
    <w:rsid w:val="00C04966"/>
    <w:rsid w:val="00C72806"/>
    <w:rsid w:val="00CB0B1D"/>
    <w:rsid w:val="00D31D50"/>
    <w:rsid w:val="00DA2C4B"/>
    <w:rsid w:val="00DB6E1A"/>
    <w:rsid w:val="00E128AE"/>
    <w:rsid w:val="00EB1DB4"/>
    <w:rsid w:val="00EB3BF8"/>
    <w:rsid w:val="00EC71EC"/>
    <w:rsid w:val="00EF513E"/>
    <w:rsid w:val="00F02C8B"/>
    <w:rsid w:val="00F238E1"/>
    <w:rsid w:val="00F532C5"/>
    <w:rsid w:val="00F6738A"/>
    <w:rsid w:val="00F9081B"/>
    <w:rsid w:val="00FA4EFB"/>
    <w:rsid w:val="00FA64C5"/>
    <w:rsid w:val="00FF2981"/>
    <w:rsid w:val="02A611B0"/>
    <w:rsid w:val="03C26779"/>
    <w:rsid w:val="03FF39BF"/>
    <w:rsid w:val="098C3D66"/>
    <w:rsid w:val="0B120C72"/>
    <w:rsid w:val="0FE97F1C"/>
    <w:rsid w:val="107B0976"/>
    <w:rsid w:val="10B9212C"/>
    <w:rsid w:val="12223844"/>
    <w:rsid w:val="122739A1"/>
    <w:rsid w:val="12900330"/>
    <w:rsid w:val="13454A6C"/>
    <w:rsid w:val="13EB3249"/>
    <w:rsid w:val="1541124A"/>
    <w:rsid w:val="18BA49DA"/>
    <w:rsid w:val="1BC31180"/>
    <w:rsid w:val="1D4A7D30"/>
    <w:rsid w:val="1E7159F1"/>
    <w:rsid w:val="22360376"/>
    <w:rsid w:val="23C747B9"/>
    <w:rsid w:val="25093030"/>
    <w:rsid w:val="27ED5331"/>
    <w:rsid w:val="29573085"/>
    <w:rsid w:val="2E156399"/>
    <w:rsid w:val="372B5058"/>
    <w:rsid w:val="37F343C6"/>
    <w:rsid w:val="39C87332"/>
    <w:rsid w:val="3A9D27B5"/>
    <w:rsid w:val="3AA53D0D"/>
    <w:rsid w:val="3CA814C7"/>
    <w:rsid w:val="3CC819A4"/>
    <w:rsid w:val="4102161D"/>
    <w:rsid w:val="4162149D"/>
    <w:rsid w:val="41977C9C"/>
    <w:rsid w:val="44651769"/>
    <w:rsid w:val="467D0B27"/>
    <w:rsid w:val="4AB13002"/>
    <w:rsid w:val="4E42023E"/>
    <w:rsid w:val="4F6D7F61"/>
    <w:rsid w:val="50230FE1"/>
    <w:rsid w:val="5C9064B9"/>
    <w:rsid w:val="5D3B4FD0"/>
    <w:rsid w:val="5EBF6072"/>
    <w:rsid w:val="5FDA1F6A"/>
    <w:rsid w:val="623600B0"/>
    <w:rsid w:val="63464323"/>
    <w:rsid w:val="63ED4792"/>
    <w:rsid w:val="64B1768B"/>
    <w:rsid w:val="651C4BDA"/>
    <w:rsid w:val="65FC1480"/>
    <w:rsid w:val="67135850"/>
    <w:rsid w:val="67C37F23"/>
    <w:rsid w:val="67DE5890"/>
    <w:rsid w:val="6D51666F"/>
    <w:rsid w:val="72FD3E67"/>
    <w:rsid w:val="76BD0C06"/>
    <w:rsid w:val="77C47A03"/>
    <w:rsid w:val="78F17942"/>
    <w:rsid w:val="7B727525"/>
    <w:rsid w:val="7B9F4F33"/>
    <w:rsid w:val="7D500456"/>
    <w:rsid w:val="7D977A10"/>
    <w:rsid w:val="7F5D6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3"/>
    <w:basedOn w:val="1"/>
    <w:next w:val="1"/>
    <w:link w:val="14"/>
    <w:qFormat/>
    <w:uiPriority w:val="0"/>
    <w:pPr>
      <w:keepNext/>
      <w:keepLines/>
      <w:widowControl w:val="0"/>
      <w:adjustRightInd/>
      <w:snapToGrid/>
      <w:spacing w:before="260" w:after="260" w:line="413" w:lineRule="auto"/>
      <w:jc w:val="both"/>
      <w:outlineLvl w:val="2"/>
    </w:pPr>
    <w:rPr>
      <w:rFonts w:ascii="Times New Roman" w:hAnsi="Times New Roman" w:eastAsia="宋体" w:cs="Times New Roman"/>
      <w:b/>
      <w:kern w:val="2"/>
      <w:sz w:val="32"/>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semiHidden/>
    <w:unhideWhenUsed/>
    <w:qFormat/>
    <w:uiPriority w:val="99"/>
    <w:pPr>
      <w:jc w:val="left"/>
    </w:pPr>
  </w:style>
  <w:style w:type="paragraph" w:styleId="5">
    <w:name w:val="Body Text Indent 2"/>
    <w:basedOn w:val="1"/>
    <w:link w:val="16"/>
    <w:qFormat/>
    <w:uiPriority w:val="0"/>
    <w:pPr>
      <w:widowControl w:val="0"/>
      <w:adjustRightInd/>
      <w:spacing w:after="0" w:line="560" w:lineRule="atLeast"/>
      <w:ind w:firstLine="540"/>
      <w:jc w:val="both"/>
    </w:pPr>
    <w:rPr>
      <w:rFonts w:asciiTheme="minorHAnsi" w:hAnsiTheme="minorHAnsi"/>
      <w:kern w:val="2"/>
      <w:sz w:val="28"/>
    </w:rPr>
  </w:style>
  <w:style w:type="paragraph" w:styleId="6">
    <w:name w:val="footer"/>
    <w:basedOn w:val="1"/>
    <w:link w:val="13"/>
    <w:unhideWhenUsed/>
    <w:qFormat/>
    <w:uiPriority w:val="99"/>
    <w:pPr>
      <w:tabs>
        <w:tab w:val="center" w:pos="4153"/>
        <w:tab w:val="right" w:pos="8306"/>
      </w:tabs>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qFormat/>
    <w:uiPriority w:val="34"/>
    <w:pPr>
      <w:ind w:firstLine="420" w:firstLineChars="200"/>
    </w:pPr>
  </w:style>
  <w:style w:type="character" w:customStyle="1" w:styleId="12">
    <w:name w:val="页眉 字符"/>
    <w:basedOn w:val="10"/>
    <w:link w:val="7"/>
    <w:qFormat/>
    <w:uiPriority w:val="99"/>
    <w:rPr>
      <w:rFonts w:ascii="Tahoma" w:hAnsi="Tahoma"/>
      <w:sz w:val="18"/>
      <w:szCs w:val="18"/>
    </w:rPr>
  </w:style>
  <w:style w:type="character" w:customStyle="1" w:styleId="13">
    <w:name w:val="页脚 字符"/>
    <w:basedOn w:val="10"/>
    <w:link w:val="6"/>
    <w:qFormat/>
    <w:uiPriority w:val="99"/>
    <w:rPr>
      <w:rFonts w:ascii="Tahoma" w:hAnsi="Tahoma"/>
      <w:sz w:val="18"/>
      <w:szCs w:val="18"/>
    </w:rPr>
  </w:style>
  <w:style w:type="character" w:customStyle="1" w:styleId="14">
    <w:name w:val="标题 3 字符"/>
    <w:basedOn w:val="10"/>
    <w:link w:val="3"/>
    <w:qFormat/>
    <w:uiPriority w:val="0"/>
    <w:rPr>
      <w:rFonts w:ascii="Times New Roman" w:hAnsi="Times New Roman" w:eastAsia="宋体" w:cs="Times New Roman"/>
      <w:b/>
      <w:kern w:val="2"/>
      <w:sz w:val="32"/>
      <w:szCs w:val="20"/>
    </w:rPr>
  </w:style>
  <w:style w:type="character" w:customStyle="1" w:styleId="15">
    <w:name w:val="正文文本缩进 2 Char"/>
    <w:qFormat/>
    <w:uiPriority w:val="0"/>
    <w:rPr>
      <w:kern w:val="2"/>
      <w:sz w:val="28"/>
    </w:rPr>
  </w:style>
  <w:style w:type="character" w:customStyle="1" w:styleId="16">
    <w:name w:val="正文文本缩进 2 字符"/>
    <w:basedOn w:val="10"/>
    <w:link w:val="5"/>
    <w:semiHidden/>
    <w:qFormat/>
    <w:uiPriority w:val="99"/>
    <w:rPr>
      <w:rFonts w:ascii="Tahoma" w:hAnsi="Tahoma"/>
    </w:rPr>
  </w:style>
  <w:style w:type="character" w:customStyle="1" w:styleId="17">
    <w:name w:val="font31"/>
    <w:basedOn w:val="10"/>
    <w:qFormat/>
    <w:uiPriority w:val="0"/>
    <w:rPr>
      <w:rFonts w:hint="eastAsia" w:ascii="宋体" w:hAnsi="宋体" w:eastAsia="宋体" w:cs="宋体"/>
      <w:b/>
      <w:bCs/>
      <w:color w:val="000000"/>
      <w:sz w:val="24"/>
      <w:szCs w:val="24"/>
      <w:u w:val="none"/>
    </w:rPr>
  </w:style>
  <w:style w:type="character" w:customStyle="1" w:styleId="18">
    <w:name w:val="font21"/>
    <w:basedOn w:val="10"/>
    <w:qFormat/>
    <w:uiPriority w:val="0"/>
    <w:rPr>
      <w:rFonts w:hint="eastAsia" w:ascii="宋体" w:hAnsi="宋体" w:eastAsia="宋体" w:cs="宋体"/>
      <w:b/>
      <w:bCs/>
      <w:color w:val="000000"/>
      <w:sz w:val="32"/>
      <w:szCs w:val="32"/>
      <w:u w:val="none"/>
    </w:rPr>
  </w:style>
  <w:style w:type="character" w:customStyle="1" w:styleId="19">
    <w:name w:val="font61"/>
    <w:basedOn w:val="10"/>
    <w:qFormat/>
    <w:uiPriority w:val="0"/>
    <w:rPr>
      <w:rFonts w:hint="eastAsia" w:ascii="宋体" w:hAnsi="宋体" w:eastAsia="宋体" w:cs="宋体"/>
      <w:b/>
      <w:bCs/>
      <w:color w:val="000000"/>
      <w:sz w:val="24"/>
      <w:szCs w:val="24"/>
      <w:u w:val="none"/>
    </w:rPr>
  </w:style>
  <w:style w:type="character" w:customStyle="1" w:styleId="20">
    <w:name w:val="font11"/>
    <w:basedOn w:val="10"/>
    <w:qFormat/>
    <w:uiPriority w:val="0"/>
    <w:rPr>
      <w:rFonts w:hint="default" w:ascii="Times New Roman" w:hAnsi="Times New Roman" w:cs="Times New Roman"/>
      <w:b/>
      <w:bCs/>
      <w:color w:val="000000"/>
      <w:sz w:val="24"/>
      <w:szCs w:val="24"/>
      <w:u w:val="none"/>
    </w:rPr>
  </w:style>
  <w:style w:type="character" w:customStyle="1" w:styleId="21">
    <w:name w:val="font51"/>
    <w:basedOn w:val="10"/>
    <w:qFormat/>
    <w:uiPriority w:val="0"/>
    <w:rPr>
      <w:rFonts w:hint="eastAsia" w:ascii="宋体" w:hAnsi="宋体" w:eastAsia="宋体" w:cs="宋体"/>
      <w:b/>
      <w:bCs/>
      <w:color w:val="000000"/>
      <w:sz w:val="22"/>
      <w:szCs w:val="22"/>
      <w:u w:val="none"/>
    </w:rPr>
  </w:style>
  <w:style w:type="character" w:customStyle="1" w:styleId="22">
    <w:name w:val="font01"/>
    <w:basedOn w:val="10"/>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c7caa5ac-41b3-4060-bb53-f719a492cdde</errorID>
      <errorWord>和缘餐厅</errorWord>
      <group>L1_Other</group>
      <groupName>其他问题</groupName>
      <ability>L2_Consistency</ability>
      <abilityName>一致性检查</abilityName>
      <candidateList>
        <item>和苑餐厅</item>
      </candidateList>
      <explain>实体一致性错误，前文表述为和缘餐厅，后文明确定名为和苑餐厅，前后表述不一致</explain>
      <paraID>510C897E</paraID>
      <start>4</start>
      <end>8</end>
      <status>ignored</status>
      <modifiedWord/>
      <trackRevisions>false</trackRevisions>
    </reviewItem>
    <reviewItem>
      <errorID>8aee75d5-9a67-4aa1-a873-43fb168406ee</errorID>
      <errorWord>崁</errorWord>
      <group>L1_Word</group>
      <groupName>字词问题</groupName>
      <ability>L2_Typo</ability>
      <abilityName>字词错误</abilityName>
      <candidateList>
        <item>嵌</item>
      </candidateList>
      <explain/>
      <paraID>2A36F673</paraID>
      <start>10</start>
      <end>11</end>
      <status>modified</status>
      <modifiedWord>嵌</modifiedWord>
      <trackRevisions>false</trackRevisions>
    </reviewItem>
    <reviewItem>
      <errorID>c900ae63-c1f9-49b4-9de7-eb465a86d59a</errorID>
      <errorWord>移等位</errorWord>
      <group>L1_Word</group>
      <groupName>字词问题</groupName>
      <ability>L2_Typo</ability>
      <abilityName>字词错误</abilityName>
      <candidateList>
        <item>移位</item>
      </candidateList>
      <explain/>
      <paraID>20A97541</paraID>
      <start>8</start>
      <end>10</end>
      <status>modified</status>
      <modifiedWord>移位</modifiedWord>
      <trackRevisions>false</trackRevisions>
    </reviewItem>
  </reviewItems>
  <config/>
</contractReview>
</file>

<file path=customXml/itemProps1.xml><?xml version="1.0" encoding="utf-8"?>
<ds:datastoreItem xmlns:ds="http://schemas.openxmlformats.org/officeDocument/2006/customXml" ds:itemID="{BD22C830-3BBF-478B-B289-4C9CCA6A4EC4}">
  <ds:schemaRefs/>
</ds:datastoreItem>
</file>

<file path=customXml/itemProps2.xml><?xml version="1.0" encoding="utf-8"?>
<ds:datastoreItem xmlns:ds="http://schemas.openxmlformats.org/officeDocument/2006/customXml" ds:itemID="{21d1aa0c-e1ee-4ff5-9c95-f4a1560ee0ac}">
  <ds:schemaRefs/>
</ds:datastoreItem>
</file>

<file path=docProps/app.xml><?xml version="1.0" encoding="utf-8"?>
<Properties xmlns="http://schemas.openxmlformats.org/officeDocument/2006/extended-properties" xmlns:vt="http://schemas.openxmlformats.org/officeDocument/2006/docPropsVTypes">
  <Template>Normal.dotm</Template>
  <Pages>5</Pages>
  <Words>1079</Words>
  <Characters>1102</Characters>
  <Lines>13</Lines>
  <Paragraphs>3</Paragraphs>
  <TotalTime>40</TotalTime>
  <ScaleCrop>false</ScaleCrop>
  <LinksUpToDate>false</LinksUpToDate>
  <CharactersWithSpaces>1102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2020-05-11T03:51:00Z</dcterms:created>
  <dc:creator>Admin</dc:creator>
  <cp:lastModifiedBy>渔歌</cp:lastModifiedBy>
  <cp:lastPrinted>2025-08-15T00:54:00Z</cp:lastPrinted>
  <dcterms:modified xsi:type="dcterms:W3CDTF">2026-07-09T03:59:38Z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eyJoZGlkIjoiNjRjMzY1YWVhZmE2MDU2MjQ1N2U2NTAwZmRmZjg1NDciLCJ1c2VySWQiOiI1MjUwNDc4NjIifQ==</vt:lpwstr>
  </property>
  <property fmtid="{D5CDD505-2E9C-101B-9397-08002B2CF9AE}" pid="4" name="ICV">
    <vt:lpwstr>018A79048FA2433FB36D9FDFA88A4F64_13</vt:lpwstr>
  </property>
</Properties>
</file>