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密封提交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1095"/>
        <w:gridCol w:w="945"/>
        <w:gridCol w:w="4305"/>
        <w:gridCol w:w="690"/>
        <w:gridCol w:w="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54"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095"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945"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4305"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90"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753"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54" w:type="dxa"/>
            <w:vAlign w:val="center"/>
          </w:tcPr>
          <w:p>
            <w:pPr>
              <w:keepNext w:val="0"/>
              <w:keepLines w:val="0"/>
              <w:widowControl/>
              <w:suppressLineNumbers w:val="0"/>
              <w:jc w:val="center"/>
              <w:textAlignment w:val="center"/>
              <w:rPr>
                <w:rFonts w:hint="eastAsia" w:ascii="宋体" w:hAnsi="宋体" w:eastAsia="宋体" w:cs="宋体"/>
                <w:color w:val="000000"/>
                <w:sz w:val="20"/>
                <w:szCs w:val="20"/>
                <w:lang w:eastAsia="zh-CN"/>
              </w:rPr>
            </w:pPr>
            <w:r>
              <w:rPr>
                <w:rFonts w:hint="eastAsia"/>
              </w:rPr>
              <w:t>2301N006</w:t>
            </w:r>
          </w:p>
        </w:tc>
        <w:tc>
          <w:tcPr>
            <w:tcW w:w="1095" w:type="dxa"/>
            <w:vAlign w:val="center"/>
          </w:tcPr>
          <w:p>
            <w:pPr>
              <w:keepNext w:val="0"/>
              <w:keepLines w:val="0"/>
              <w:widowControl/>
              <w:suppressLineNumbers w:val="0"/>
              <w:jc w:val="center"/>
              <w:textAlignment w:val="center"/>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eastAsia="zh-CN"/>
              </w:rPr>
              <w:t>病理组织摊片烤片仪</w:t>
            </w:r>
          </w:p>
        </w:tc>
        <w:tc>
          <w:tcPr>
            <w:tcW w:w="945" w:type="dxa"/>
            <w:vAlign w:val="center"/>
          </w:tcPr>
          <w:p>
            <w:pPr>
              <w:keepNext w:val="0"/>
              <w:keepLines w:val="0"/>
              <w:widowControl/>
              <w:suppressLineNumbers w:val="0"/>
              <w:jc w:val="center"/>
              <w:textAlignment w:val="center"/>
              <w:rPr>
                <w:rFonts w:hint="eastAsia" w:ascii="宋体" w:hAnsi="宋体" w:eastAsia="宋体"/>
                <w:szCs w:val="21"/>
                <w:lang w:val="en-US" w:eastAsia="zh-CN"/>
              </w:rPr>
            </w:pPr>
            <w:r>
              <w:rPr>
                <w:rFonts w:hint="eastAsia"/>
              </w:rPr>
              <w:t>公共实验平台</w:t>
            </w:r>
          </w:p>
        </w:tc>
        <w:tc>
          <w:tcPr>
            <w:tcW w:w="4305" w:type="dxa"/>
            <w:vAlign w:val="center"/>
          </w:tcPr>
          <w:p>
            <w:pPr>
              <w:pStyle w:val="2"/>
              <w:rPr>
                <w:rFonts w:hint="eastAsia" w:eastAsiaTheme="minorEastAsia"/>
                <w:lang w:val="en-US" w:eastAsia="zh-CN"/>
              </w:rPr>
            </w:pPr>
            <w:r>
              <w:rPr>
                <w:rFonts w:hint="eastAsia" w:eastAsiaTheme="minorEastAsia"/>
                <w:lang w:val="en-US" w:eastAsia="zh-CN"/>
              </w:rPr>
              <w:t>模块化设计，漂片、烘片、烤片三部分独立温度控制；</w:t>
            </w:r>
          </w:p>
          <w:p>
            <w:pPr>
              <w:pStyle w:val="2"/>
              <w:rPr>
                <w:rFonts w:hint="eastAsia" w:eastAsiaTheme="minorEastAsia"/>
                <w:lang w:val="en-US" w:eastAsia="zh-CN"/>
              </w:rPr>
            </w:pPr>
            <w:r>
              <w:rPr>
                <w:rFonts w:hint="eastAsia" w:eastAsiaTheme="minorEastAsia"/>
                <w:lang w:val="en-US" w:eastAsia="zh-CN"/>
              </w:rPr>
              <w:t>技术参数</w:t>
            </w:r>
          </w:p>
          <w:p>
            <w:pPr>
              <w:pStyle w:val="2"/>
              <w:rPr>
                <w:rFonts w:hint="eastAsia" w:eastAsiaTheme="minorEastAsia"/>
                <w:lang w:val="en-US" w:eastAsia="zh-CN"/>
              </w:rPr>
            </w:pPr>
            <w:r>
              <w:rPr>
                <w:rFonts w:hint="eastAsia" w:eastAsiaTheme="minorEastAsia"/>
                <w:lang w:val="en-US" w:eastAsia="zh-CN"/>
              </w:rPr>
              <w:t>（1）温度控制范围：</w:t>
            </w:r>
          </w:p>
          <w:p>
            <w:pPr>
              <w:pStyle w:val="2"/>
              <w:rPr>
                <w:rFonts w:hint="eastAsia" w:eastAsiaTheme="minorEastAsia"/>
                <w:lang w:val="en-US" w:eastAsia="zh-CN"/>
              </w:rPr>
            </w:pPr>
            <w:r>
              <w:rPr>
                <w:rFonts w:hint="eastAsia" w:eastAsiaTheme="minorEastAsia"/>
                <w:lang w:val="en-US" w:eastAsia="zh-CN"/>
              </w:rPr>
              <w:t>漂片缸：室温～90℃</w:t>
            </w:r>
          </w:p>
          <w:p>
            <w:pPr>
              <w:pStyle w:val="2"/>
              <w:rPr>
                <w:rFonts w:hint="eastAsia" w:eastAsiaTheme="minorEastAsia"/>
                <w:lang w:val="en-US" w:eastAsia="zh-CN"/>
              </w:rPr>
            </w:pPr>
            <w:r>
              <w:rPr>
                <w:rFonts w:hint="eastAsia" w:eastAsiaTheme="minorEastAsia"/>
                <w:lang w:val="en-US" w:eastAsia="zh-CN"/>
              </w:rPr>
              <w:t>烘片槽：室温～90℃</w:t>
            </w:r>
          </w:p>
          <w:p>
            <w:pPr>
              <w:pStyle w:val="2"/>
              <w:rPr>
                <w:rFonts w:hint="eastAsia" w:eastAsiaTheme="minorEastAsia"/>
                <w:lang w:val="en-US" w:eastAsia="zh-CN"/>
              </w:rPr>
            </w:pPr>
            <w:r>
              <w:rPr>
                <w:rFonts w:hint="eastAsia" w:eastAsiaTheme="minorEastAsia"/>
                <w:lang w:val="en-US" w:eastAsia="zh-CN"/>
              </w:rPr>
              <w:t>烤片箱：室温～90℃</w:t>
            </w:r>
          </w:p>
          <w:p>
            <w:pPr>
              <w:pStyle w:val="2"/>
              <w:rPr>
                <w:rFonts w:hint="eastAsia" w:eastAsiaTheme="minorEastAsia"/>
                <w:lang w:val="en-US" w:eastAsia="zh-CN"/>
              </w:rPr>
            </w:pPr>
            <w:r>
              <w:rPr>
                <w:rFonts w:hint="eastAsia" w:eastAsiaTheme="minorEastAsia"/>
                <w:lang w:val="en-US" w:eastAsia="zh-CN"/>
              </w:rPr>
              <w:t>（2）温度控制精度：±1℃，自动恒温</w:t>
            </w:r>
          </w:p>
          <w:p>
            <w:pPr>
              <w:pStyle w:val="2"/>
              <w:rPr>
                <w:rFonts w:hint="eastAsia" w:eastAsiaTheme="minorEastAsia"/>
                <w:lang w:val="en-US" w:eastAsia="zh-CN"/>
              </w:rPr>
            </w:pPr>
            <w:r>
              <w:rPr>
                <w:rFonts w:hint="eastAsia" w:eastAsiaTheme="minorEastAsia"/>
                <w:lang w:val="en-US" w:eastAsia="zh-CN"/>
              </w:rPr>
              <w:t>（3） 漂片水槽容积≥2L</w:t>
            </w:r>
          </w:p>
          <w:p>
            <w:pPr>
              <w:pStyle w:val="2"/>
              <w:rPr>
                <w:rFonts w:hint="eastAsia" w:eastAsiaTheme="minorEastAsia"/>
                <w:lang w:val="en-US" w:eastAsia="zh-CN"/>
              </w:rPr>
            </w:pPr>
            <w:r>
              <w:rPr>
                <w:rFonts w:hint="eastAsia" w:eastAsiaTheme="minorEastAsia"/>
                <w:lang w:val="en-US" w:eastAsia="zh-CN"/>
              </w:rPr>
              <w:t>（4）烤片槽可同时处理50块以上玻片；</w:t>
            </w:r>
          </w:p>
          <w:p>
            <w:pPr>
              <w:pStyle w:val="2"/>
              <w:rPr>
                <w:rFonts w:hint="eastAsia" w:eastAsiaTheme="minorEastAsia"/>
                <w:lang w:val="en-US" w:eastAsia="zh-CN"/>
              </w:rPr>
            </w:pPr>
            <w:r>
              <w:rPr>
                <w:rFonts w:hint="eastAsia" w:eastAsiaTheme="minorEastAsia"/>
                <w:lang w:val="en-US" w:eastAsia="zh-CN"/>
              </w:rPr>
              <w:t>（5）烘片室可同时容纳3个30片染色架；</w:t>
            </w:r>
          </w:p>
          <w:p>
            <w:pPr>
              <w:pStyle w:val="2"/>
              <w:rPr>
                <w:rFonts w:hint="eastAsia" w:eastAsiaTheme="minorEastAsia"/>
                <w:lang w:val="en-US" w:eastAsia="zh-CN"/>
              </w:rPr>
            </w:pPr>
            <w:r>
              <w:rPr>
                <w:rFonts w:hint="eastAsia" w:eastAsiaTheme="minorEastAsia"/>
                <w:lang w:val="en-US" w:eastAsia="zh-CN"/>
              </w:rPr>
              <w:t>（6）使用环境温度：10℃～40℃</w:t>
            </w:r>
          </w:p>
          <w:p>
            <w:pPr>
              <w:pStyle w:val="2"/>
              <w:rPr>
                <w:rFonts w:hint="eastAsia" w:eastAsiaTheme="minorEastAsia"/>
                <w:lang w:val="en-US" w:eastAsia="zh-CN"/>
              </w:rPr>
            </w:pPr>
            <w:r>
              <w:rPr>
                <w:rFonts w:hint="eastAsia" w:eastAsiaTheme="minorEastAsia"/>
                <w:lang w:val="en-US" w:eastAsia="zh-CN"/>
              </w:rPr>
              <w:t>（7）有超温报警装置；</w:t>
            </w:r>
          </w:p>
          <w:p>
            <w:pPr>
              <w:pStyle w:val="2"/>
              <w:rPr>
                <w:rFonts w:hint="eastAsia" w:eastAsiaTheme="minorEastAsia"/>
                <w:lang w:val="en-US" w:eastAsia="zh-CN"/>
              </w:rPr>
            </w:pPr>
            <w:r>
              <w:rPr>
                <w:rFonts w:hint="eastAsia" w:eastAsiaTheme="minorEastAsia"/>
                <w:lang w:val="en-US" w:eastAsia="zh-CN"/>
              </w:rPr>
              <w:t>3、液晶数字显示；</w:t>
            </w:r>
          </w:p>
          <w:p>
            <w:pPr>
              <w:pStyle w:val="2"/>
              <w:rPr>
                <w:rFonts w:hint="eastAsia" w:eastAsiaTheme="minorEastAsia"/>
                <w:lang w:val="en-US" w:eastAsia="zh-CN"/>
              </w:rPr>
            </w:pPr>
            <w:r>
              <w:rPr>
                <w:rFonts w:hint="eastAsia" w:eastAsiaTheme="minorEastAsia"/>
                <w:lang w:val="en-US" w:eastAsia="zh-CN"/>
              </w:rPr>
              <w:t>4、调温、设温操作简便，一次设定，恒久有效；</w:t>
            </w:r>
          </w:p>
          <w:p>
            <w:pPr>
              <w:pStyle w:val="2"/>
              <w:rPr>
                <w:rFonts w:hint="eastAsia" w:eastAsiaTheme="minorEastAsia"/>
                <w:lang w:val="en-US" w:eastAsia="zh-CN"/>
              </w:rPr>
            </w:pPr>
            <w:r>
              <w:rPr>
                <w:rFonts w:hint="eastAsia" w:eastAsiaTheme="minorEastAsia"/>
                <w:lang w:val="en-US" w:eastAsia="zh-CN"/>
              </w:rPr>
              <w:t>5、质保期≥3年。</w:t>
            </w:r>
          </w:p>
          <w:p>
            <w:pPr>
              <w:pStyle w:val="2"/>
              <w:rPr>
                <w:rFonts w:hint="eastAsia" w:eastAsia="宋体"/>
                <w:lang w:eastAsia="zh-CN"/>
              </w:rPr>
            </w:pPr>
          </w:p>
          <w:p>
            <w:pPr>
              <w:numPr>
                <w:ilvl w:val="0"/>
                <w:numId w:val="0"/>
              </w:numPr>
              <w:spacing w:line="240" w:lineRule="auto"/>
              <w:rPr>
                <w:rFonts w:hint="eastAsia"/>
                <w:sz w:val="21"/>
                <w:szCs w:val="21"/>
                <w:lang w:eastAsia="zh-CN"/>
              </w:rPr>
            </w:pPr>
            <w:r>
              <w:rPr>
                <w:rFonts w:hint="eastAsia"/>
                <w:b w:val="0"/>
                <w:bCs w:val="0"/>
                <w:sz w:val="21"/>
                <w:szCs w:val="21"/>
                <w:lang w:val="en-US" w:eastAsia="zh-CN"/>
              </w:rPr>
              <w:t>付款方式：</w:t>
            </w:r>
            <w:r>
              <w:rPr>
                <w:rFonts w:hint="eastAsia"/>
                <w:sz w:val="21"/>
                <w:szCs w:val="21"/>
              </w:rPr>
              <w:t>通过双方开户银行进行结算</w:t>
            </w:r>
            <w:r>
              <w:rPr>
                <w:rFonts w:hint="eastAsia"/>
                <w:sz w:val="21"/>
                <w:szCs w:val="21"/>
                <w:lang w:eastAsia="zh-CN"/>
              </w:rPr>
              <w:t>中标或</w:t>
            </w:r>
            <w:r>
              <w:rPr>
                <w:rFonts w:hint="eastAsia"/>
                <w:sz w:val="21"/>
                <w:szCs w:val="21"/>
              </w:rPr>
              <w:t>合同签订后</w:t>
            </w:r>
            <w:r>
              <w:rPr>
                <w:rFonts w:hint="eastAsia"/>
                <w:sz w:val="21"/>
                <w:szCs w:val="21"/>
                <w:lang w:eastAsia="zh-CN"/>
              </w:rPr>
              <w:t>乙方</w:t>
            </w:r>
            <w:r>
              <w:rPr>
                <w:rFonts w:hint="eastAsia"/>
                <w:sz w:val="21"/>
                <w:szCs w:val="21"/>
              </w:rPr>
              <w:t>向</w:t>
            </w:r>
            <w:r>
              <w:rPr>
                <w:rFonts w:hint="eastAsia"/>
                <w:sz w:val="21"/>
                <w:szCs w:val="21"/>
                <w:lang w:eastAsia="zh-CN"/>
              </w:rPr>
              <w:t>甲方</w:t>
            </w:r>
            <w:r>
              <w:rPr>
                <w:rFonts w:hint="eastAsia"/>
                <w:sz w:val="21"/>
                <w:szCs w:val="21"/>
              </w:rPr>
              <w:t>缴纳合同金额5%的履约保证金（以银行转账</w:t>
            </w:r>
            <w:r>
              <w:rPr>
                <w:rFonts w:hint="eastAsia"/>
                <w:sz w:val="21"/>
                <w:szCs w:val="21"/>
                <w:lang w:eastAsia="zh-CN"/>
              </w:rPr>
              <w:t>），乙方按采购合同交货并安装调试完成，经验收合格后甲方出具项目</w:t>
            </w:r>
            <w:bookmarkStart w:id="0" w:name="_GoBack"/>
            <w:bookmarkEnd w:id="0"/>
            <w:r>
              <w:rPr>
                <w:rFonts w:hint="eastAsia"/>
                <w:sz w:val="21"/>
                <w:szCs w:val="21"/>
                <w:lang w:eastAsia="zh-CN"/>
              </w:rPr>
              <w:t>验收报告，乙方向甲方开具发票，甲方于</w:t>
            </w:r>
            <w:r>
              <w:rPr>
                <w:rFonts w:hint="eastAsia"/>
                <w:sz w:val="21"/>
                <w:szCs w:val="21"/>
                <w:lang w:val="en-US" w:eastAsia="zh-CN"/>
              </w:rPr>
              <w:t>60</w:t>
            </w:r>
            <w:r>
              <w:rPr>
                <w:rFonts w:hint="eastAsia"/>
                <w:sz w:val="21"/>
                <w:szCs w:val="21"/>
                <w:lang w:eastAsia="zh-CN"/>
              </w:rPr>
              <w:t>个工作日内以转账方式向乙方支付合同全款，验收合格满一年之后，乙方开具退履约保证金申请书到甲方，甲方收到后于7个日历日内无息退还履约保证金。</w:t>
            </w:r>
          </w:p>
          <w:p>
            <w:pPr>
              <w:numPr>
                <w:ilvl w:val="0"/>
                <w:numId w:val="0"/>
              </w:numPr>
              <w:spacing w:line="240" w:lineRule="auto"/>
              <w:rPr>
                <w:rFonts w:hint="default"/>
                <w:sz w:val="20"/>
                <w:szCs w:val="22"/>
                <w:lang w:val="en-US" w:eastAsia="zh-CN"/>
              </w:rPr>
            </w:pPr>
            <w:r>
              <w:rPr>
                <w:b w:val="0"/>
                <w:bCs w:val="0"/>
                <w:sz w:val="21"/>
                <w:szCs w:val="21"/>
              </w:rPr>
              <w:br w:type="page"/>
            </w:r>
          </w:p>
          <w:p>
            <w:pPr>
              <w:numPr>
                <w:ilvl w:val="0"/>
                <w:numId w:val="0"/>
              </w:numPr>
              <w:spacing w:line="240" w:lineRule="auto"/>
              <w:rPr>
                <w:rFonts w:hint="eastAsia" w:ascii="宋体" w:hAnsi="宋体"/>
                <w:sz w:val="20"/>
                <w:szCs w:val="20"/>
                <w:lang w:val="en-US" w:eastAsia="zh-CN"/>
              </w:rPr>
            </w:pPr>
            <w:r>
              <w:rPr>
                <w:rFonts w:hint="eastAsia"/>
                <w:sz w:val="20"/>
                <w:szCs w:val="22"/>
                <w:lang w:val="en-US" w:eastAsia="zh-CN"/>
              </w:rPr>
              <w:t>注：如产品为列入法定计量检测或强制检定目录的工作计量器具及其他计量器具，乙方则须于产品性能验收时，向甲方提供由第三方出具的检测合格报告。</w:t>
            </w:r>
          </w:p>
        </w:tc>
        <w:tc>
          <w:tcPr>
            <w:tcW w:w="690" w:type="dxa"/>
            <w:vAlign w:val="center"/>
          </w:tcPr>
          <w:p>
            <w:pPr>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台</w:t>
            </w:r>
          </w:p>
        </w:tc>
        <w:tc>
          <w:tcPr>
            <w:tcW w:w="753"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hint="eastAsia" w:ascii="宋体" w:hAnsi="宋体" w:cs="Arial"/>
          <w:b/>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1、报价截止时间：收到本询价通知书后7个日历日内。</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2、报价文件递交地点：重庆医科大学附属儿童医院</w:t>
      </w:r>
      <w:r>
        <w:rPr>
          <w:rFonts w:hint="eastAsia" w:ascii="宋体" w:hAnsi="宋体" w:cs="Arial"/>
          <w:color w:val="000000"/>
          <w:spacing w:val="-6"/>
          <w:szCs w:val="21"/>
          <w:lang w:eastAsia="zh-CN"/>
        </w:rPr>
        <w:t>两江院区</w:t>
      </w:r>
      <w:r>
        <w:rPr>
          <w:rFonts w:hint="eastAsia" w:ascii="宋体" w:hAnsi="宋体" w:cs="Arial"/>
          <w:color w:val="000000"/>
          <w:spacing w:val="-6"/>
          <w:szCs w:val="21"/>
        </w:rPr>
        <w:t>（重庆市渝北区金渝大道20号）</w:t>
      </w:r>
      <w:r>
        <w:rPr>
          <w:rFonts w:hint="eastAsia" w:ascii="宋体" w:hAnsi="宋体" w:cs="Arial"/>
          <w:color w:val="000000"/>
          <w:spacing w:val="-6"/>
          <w:szCs w:val="21"/>
          <w:lang w:eastAsia="zh-CN"/>
        </w:rPr>
        <w:t>科教楼</w:t>
      </w:r>
      <w:r>
        <w:rPr>
          <w:rFonts w:hint="eastAsia" w:ascii="宋体" w:hAnsi="宋体" w:cs="Arial"/>
          <w:color w:val="000000"/>
          <w:spacing w:val="-6"/>
          <w:szCs w:val="21"/>
          <w:lang w:val="en-US" w:eastAsia="zh-CN"/>
        </w:rPr>
        <w:t>517</w:t>
      </w:r>
      <w:r>
        <w:rPr>
          <w:rFonts w:hint="eastAsia" w:ascii="宋体" w:hAnsi="宋体" w:cs="Arial"/>
          <w:color w:val="000000"/>
          <w:spacing w:val="-6"/>
          <w:szCs w:val="21"/>
        </w:rPr>
        <w:t>设备处办公室</w:t>
      </w:r>
    </w:p>
    <w:p>
      <w:pPr>
        <w:spacing w:line="360" w:lineRule="auto"/>
        <w:ind w:firstLine="396" w:firstLineChars="200"/>
      </w:pPr>
      <w:r>
        <w:rPr>
          <w:rFonts w:hint="eastAsia" w:ascii="宋体" w:hAnsi="宋体" w:cs="Arial"/>
          <w:color w:val="000000"/>
          <w:spacing w:val="-6"/>
          <w:szCs w:val="21"/>
        </w:rPr>
        <w:t>3、如果以邮寄方式寄送投标书，</w:t>
      </w:r>
      <w:r>
        <w:rPr>
          <w:rFonts w:hint="eastAsia" w:ascii="宋体" w:hAnsi="宋体" w:cs="Arial"/>
          <w:color w:val="FF0000"/>
          <w:spacing w:val="-6"/>
          <w:szCs w:val="21"/>
        </w:rPr>
        <w:t>我院只接收EMS快递</w:t>
      </w:r>
      <w:r>
        <w:rPr>
          <w:rFonts w:hint="eastAsia" w:ascii="宋体" w:hAnsi="宋体" w:cs="Arial"/>
          <w:color w:val="FF0000"/>
          <w:spacing w:val="-6"/>
          <w:szCs w:val="21"/>
          <w:lang w:eastAsia="zh-CN"/>
        </w:rPr>
        <w:t>和顺丰快递</w:t>
      </w:r>
      <w:r>
        <w:rPr>
          <w:rFonts w:hint="eastAsia" w:ascii="宋体" w:hAnsi="宋体" w:cs="Arial"/>
          <w:color w:val="000000"/>
          <w:spacing w:val="-6"/>
          <w:szCs w:val="21"/>
        </w:rPr>
        <w:t>，送达日期（以招标人实际收到时间为准）需在报价截止时间以内。</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2" w:firstLineChars="200"/>
        <w:rPr>
          <w:rFonts w:hint="eastAsia" w:ascii="宋体" w:hAnsi="宋体" w:eastAsia="宋体"/>
          <w:szCs w:val="21"/>
          <w:lang w:eastAsia="zh-CN"/>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投标报价包括招标内容包括但不仅限于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szCs w:val="21"/>
        </w:rPr>
      </w:pPr>
      <w:r>
        <w:rPr>
          <w:rFonts w:ascii="宋体" w:hAnsi="宋体"/>
          <w:szCs w:val="21"/>
        </w:rPr>
        <w:t>3.提供</w:t>
      </w:r>
      <w:r>
        <w:rPr>
          <w:rFonts w:ascii="宋体" w:hAnsi="宋体"/>
          <w:b/>
          <w:szCs w:val="21"/>
          <w:u w:val="single"/>
        </w:rPr>
        <w:t>参数对照偏离表格</w:t>
      </w:r>
      <w:r>
        <w:rPr>
          <w:rFonts w:ascii="宋体" w:hAnsi="宋体"/>
          <w:szCs w:val="21"/>
        </w:rPr>
        <w:t>。</w:t>
      </w:r>
    </w:p>
    <w:p>
      <w:pPr>
        <w:spacing w:line="276" w:lineRule="auto"/>
        <w:ind w:firstLine="420" w:firstLineChars="200"/>
        <w:rPr>
          <w:rFonts w:ascii="宋体" w:hAnsi="宋体"/>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pStyle w:val="2"/>
        <w:rPr>
          <w:rFonts w:hint="default" w:eastAsia="宋体"/>
          <w:lang w:val="en-US" w:eastAsia="zh-CN"/>
        </w:rPr>
      </w:pPr>
      <w:r>
        <w:rPr>
          <w:rFonts w:hint="eastAsia" w:ascii="宋体" w:hAnsi="宋体"/>
          <w:szCs w:val="21"/>
          <w:lang w:val="en-US" w:eastAsia="zh-CN"/>
        </w:rPr>
        <w:t xml:space="preserve">    3.合格投标单位应首先符合政府采购法第二十二条规定的基本条件，同时符合根据该项目的特定资格条件。</w:t>
      </w:r>
    </w:p>
    <w:p>
      <w:pPr>
        <w:widowControl/>
        <w:spacing w:line="276" w:lineRule="auto"/>
        <w:ind w:firstLine="420" w:firstLineChars="200"/>
        <w:jc w:val="left"/>
        <w:rPr>
          <w:rFonts w:ascii="宋体" w:hAnsi="宋体"/>
          <w:szCs w:val="21"/>
        </w:rPr>
      </w:pPr>
      <w:r>
        <w:rPr>
          <w:rFonts w:hint="eastAsia" w:ascii="宋体" w:hAnsi="宋体"/>
          <w:szCs w:val="21"/>
          <w:lang w:val="en-US" w:eastAsia="zh-CN"/>
        </w:rPr>
        <w:t>4</w:t>
      </w:r>
      <w:r>
        <w:rPr>
          <w:rFonts w:ascii="宋体" w:hAnsi="宋体"/>
          <w:szCs w:val="21"/>
        </w:rPr>
        <w:t>.投标人已具备履行合同所需的财务、技术和生产能力的文件。并且投标人所提供的设备须为全新的非试制品。</w:t>
      </w:r>
    </w:p>
    <w:p>
      <w:pPr>
        <w:widowControl/>
        <w:spacing w:line="276" w:lineRule="auto"/>
        <w:ind w:firstLine="420" w:firstLineChars="200"/>
        <w:jc w:val="left"/>
        <w:rPr>
          <w:rFonts w:hint="eastAsia" w:ascii="宋体" w:hAnsi="宋体" w:eastAsia="宋体"/>
          <w:szCs w:val="21"/>
          <w:lang w:eastAsia="zh-CN"/>
        </w:rPr>
      </w:pPr>
      <w:r>
        <w:rPr>
          <w:rFonts w:hint="eastAsia" w:ascii="宋体" w:hAnsi="宋体"/>
          <w:szCs w:val="21"/>
          <w:lang w:val="en-US" w:eastAsia="zh-CN"/>
        </w:rPr>
        <w:t>5</w:t>
      </w:r>
      <w:r>
        <w:rPr>
          <w:rFonts w:ascii="宋体" w:hAnsi="宋体"/>
          <w:szCs w:val="21"/>
        </w:rPr>
        <w:t>.</w:t>
      </w:r>
      <w:r>
        <w:rPr>
          <w:rFonts w:hint="eastAsia" w:ascii="宋体" w:hAnsi="宋体"/>
          <w:szCs w:val="21"/>
          <w:lang w:eastAsia="zh-CN"/>
        </w:rPr>
        <w:t>采购品为医疗器械的，</w:t>
      </w:r>
      <w:r>
        <w:rPr>
          <w:rFonts w:ascii="宋体" w:hAnsi="宋体"/>
          <w:szCs w:val="21"/>
        </w:rPr>
        <w:t>投标人必须具有在有效期内医疗器械经营许可证</w:t>
      </w:r>
      <w:r>
        <w:rPr>
          <w:rFonts w:hint="eastAsia" w:ascii="宋体" w:hAnsi="宋体"/>
          <w:szCs w:val="21"/>
          <w:lang w:eastAsia="zh-CN"/>
        </w:rPr>
        <w:t>。</w:t>
      </w:r>
    </w:p>
    <w:p>
      <w:pPr>
        <w:widowControl/>
        <w:spacing w:line="276" w:lineRule="auto"/>
        <w:ind w:firstLine="420" w:firstLineChars="200"/>
        <w:jc w:val="left"/>
        <w:rPr>
          <w:rFonts w:hint="eastAsia" w:ascii="宋体" w:hAnsi="宋体" w:eastAsia="宋体"/>
          <w:szCs w:val="21"/>
          <w:lang w:eastAsia="zh-CN"/>
        </w:rPr>
      </w:pPr>
      <w:r>
        <w:rPr>
          <w:rFonts w:hint="eastAsia" w:ascii="宋体" w:hAnsi="宋体"/>
          <w:szCs w:val="21"/>
          <w:lang w:val="en-US" w:eastAsia="zh-CN"/>
        </w:rPr>
        <w:t>6</w:t>
      </w:r>
      <w:r>
        <w:rPr>
          <w:rFonts w:ascii="宋体" w:hAnsi="宋体"/>
          <w:szCs w:val="21"/>
        </w:rPr>
        <w:t>.</w:t>
      </w:r>
      <w:r>
        <w:rPr>
          <w:rFonts w:hint="eastAsia" w:ascii="宋体" w:hAnsi="宋体"/>
          <w:szCs w:val="21"/>
          <w:lang w:eastAsia="zh-CN"/>
        </w:rPr>
        <w:t>采购品为医疗器械的，</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p>
    <w:p>
      <w:pPr>
        <w:widowControl/>
        <w:spacing w:line="276" w:lineRule="auto"/>
        <w:ind w:firstLine="420" w:firstLineChars="200"/>
        <w:jc w:val="left"/>
        <w:rPr>
          <w:rFonts w:hint="eastAsia" w:ascii="宋体" w:hAnsi="宋体" w:eastAsia="宋体"/>
          <w:szCs w:val="21"/>
          <w:lang w:eastAsia="zh-CN"/>
        </w:rPr>
      </w:pPr>
      <w:r>
        <w:rPr>
          <w:rFonts w:hint="eastAsia" w:ascii="宋体" w:hAnsi="宋体"/>
          <w:szCs w:val="21"/>
          <w:lang w:val="en-US" w:eastAsia="zh-CN"/>
        </w:rPr>
        <w:t>7</w:t>
      </w:r>
      <w:r>
        <w:rPr>
          <w:rFonts w:ascii="宋体" w:hAnsi="宋体"/>
          <w:szCs w:val="21"/>
        </w:rPr>
        <w:t>．须提供投标文件签署人的法人授权书（投标文件由法人代表签署时,可不提供法人授权书）</w:t>
      </w:r>
      <w:r>
        <w:rPr>
          <w:rFonts w:hint="eastAsia" w:ascii="宋体" w:hAnsi="宋体"/>
          <w:szCs w:val="21"/>
          <w:lang w:eastAsia="zh-CN"/>
        </w:rPr>
        <w:t>。</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spacing w:line="360" w:lineRule="auto"/>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spacing w:line="360" w:lineRule="auto"/>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rPr>
        <w:t>报价文件需提交</w:t>
      </w:r>
      <w:r>
        <w:rPr>
          <w:rFonts w:ascii="宋体" w:hAnsi="宋体"/>
          <w:b/>
          <w:szCs w:val="21"/>
        </w:rPr>
        <w:t>一正</w:t>
      </w:r>
      <w:r>
        <w:rPr>
          <w:rFonts w:hint="eastAsia" w:ascii="宋体" w:hAnsi="宋体"/>
          <w:b/>
          <w:szCs w:val="21"/>
          <w:lang w:eastAsia="zh-CN"/>
        </w:rPr>
        <w:t>两副</w:t>
      </w:r>
      <w:r>
        <w:rPr>
          <w:rFonts w:hint="eastAsia" w:ascii="宋体" w:hAnsi="宋体"/>
          <w:szCs w:val="21"/>
        </w:rPr>
        <w:t>；并在投标文件封面分别注明“正本”</w:t>
      </w:r>
      <w:r>
        <w:rPr>
          <w:rFonts w:hint="eastAsia" w:ascii="宋体" w:hAnsi="宋体"/>
          <w:szCs w:val="21"/>
          <w:lang w:eastAsia="zh-CN"/>
        </w:rPr>
        <w:t>和“副本”</w:t>
      </w:r>
      <w:r>
        <w:rPr>
          <w:rFonts w:hint="eastAsia" w:ascii="宋体" w:hAnsi="宋体"/>
          <w:szCs w:val="21"/>
        </w:rPr>
        <w:t>字样。</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1850"/>
        <w:gridCol w:w="776"/>
        <w:gridCol w:w="701"/>
        <w:gridCol w:w="1462"/>
        <w:gridCol w:w="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药交所平台挂网最高价/计价单位</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b/>
                <w:color w:val="000000"/>
                <w:szCs w:val="21"/>
              </w:rPr>
            </w:pPr>
            <w:r>
              <w:rPr>
                <w:rFonts w:hint="eastAsia" w:ascii="宋体" w:hAnsi="宋体"/>
                <w:b/>
                <w:color w:val="000000"/>
                <w:szCs w:val="21"/>
              </w:rPr>
              <w:t>投标价（元）</w:t>
            </w:r>
          </w:p>
        </w:tc>
        <w:tc>
          <w:tcPr>
            <w:tcW w:w="674" w:type="dxa"/>
            <w:noWrap w:val="0"/>
            <w:vAlign w:val="center"/>
          </w:tcPr>
          <w:p>
            <w:pPr>
              <w:jc w:val="center"/>
              <w:rPr>
                <w:rFonts w:hint="eastAsia" w:ascii="宋体" w:hAnsi="宋体"/>
                <w:b/>
                <w:color w:val="000000"/>
                <w:szCs w:val="21"/>
              </w:rPr>
            </w:pPr>
            <w:r>
              <w:rPr>
                <w:rFonts w:hint="eastAsia" w:ascii="宋体" w:hAnsi="宋体"/>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674"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674"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674"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674"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10006FF" w:usb1="4000205B" w:usb2="00000010" w:usb3="00000000" w:csb0="2000019F"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D01B4"/>
    <w:rsid w:val="00DF4133"/>
    <w:rsid w:val="00E47CA0"/>
    <w:rsid w:val="00EA45EF"/>
    <w:rsid w:val="00F04FDB"/>
    <w:rsid w:val="00FC7102"/>
    <w:rsid w:val="0369215B"/>
    <w:rsid w:val="0607109D"/>
    <w:rsid w:val="0663237F"/>
    <w:rsid w:val="067303FE"/>
    <w:rsid w:val="06800098"/>
    <w:rsid w:val="09556B0B"/>
    <w:rsid w:val="0E243920"/>
    <w:rsid w:val="0FC73D02"/>
    <w:rsid w:val="107D5F7C"/>
    <w:rsid w:val="10D80E45"/>
    <w:rsid w:val="110218FD"/>
    <w:rsid w:val="11180A20"/>
    <w:rsid w:val="1148374D"/>
    <w:rsid w:val="11A30F9C"/>
    <w:rsid w:val="12D45B57"/>
    <w:rsid w:val="14617DC0"/>
    <w:rsid w:val="17A32E87"/>
    <w:rsid w:val="17B636B4"/>
    <w:rsid w:val="18347EF2"/>
    <w:rsid w:val="18CC4556"/>
    <w:rsid w:val="18D04BA4"/>
    <w:rsid w:val="1A601846"/>
    <w:rsid w:val="1C1023A6"/>
    <w:rsid w:val="1CB95E78"/>
    <w:rsid w:val="1CEA6ADF"/>
    <w:rsid w:val="21680A2B"/>
    <w:rsid w:val="22406A6F"/>
    <w:rsid w:val="237D35BA"/>
    <w:rsid w:val="244D715E"/>
    <w:rsid w:val="25CB7B33"/>
    <w:rsid w:val="276F1A7A"/>
    <w:rsid w:val="28206B3E"/>
    <w:rsid w:val="29913381"/>
    <w:rsid w:val="2A64557B"/>
    <w:rsid w:val="2D5C3356"/>
    <w:rsid w:val="2F2954A2"/>
    <w:rsid w:val="2F5A1410"/>
    <w:rsid w:val="2F6F5B12"/>
    <w:rsid w:val="2FBD214E"/>
    <w:rsid w:val="330501EB"/>
    <w:rsid w:val="33C74F01"/>
    <w:rsid w:val="33D42C62"/>
    <w:rsid w:val="35777FB5"/>
    <w:rsid w:val="37B23BD6"/>
    <w:rsid w:val="38D738D0"/>
    <w:rsid w:val="3C696035"/>
    <w:rsid w:val="3E126089"/>
    <w:rsid w:val="3E564821"/>
    <w:rsid w:val="3FFF6E94"/>
    <w:rsid w:val="42DB254B"/>
    <w:rsid w:val="4423766B"/>
    <w:rsid w:val="4443640D"/>
    <w:rsid w:val="45B10A64"/>
    <w:rsid w:val="48BE5133"/>
    <w:rsid w:val="49D1105F"/>
    <w:rsid w:val="4B4E1BF0"/>
    <w:rsid w:val="4CB24A19"/>
    <w:rsid w:val="4D5D7223"/>
    <w:rsid w:val="4E3A01F6"/>
    <w:rsid w:val="4F2F00D2"/>
    <w:rsid w:val="53F53C67"/>
    <w:rsid w:val="54012368"/>
    <w:rsid w:val="567D6CB5"/>
    <w:rsid w:val="57AD5ED4"/>
    <w:rsid w:val="5C8C1F0C"/>
    <w:rsid w:val="5EF5422B"/>
    <w:rsid w:val="5F313840"/>
    <w:rsid w:val="600F0B5E"/>
    <w:rsid w:val="62D5467E"/>
    <w:rsid w:val="6466418A"/>
    <w:rsid w:val="64A13C91"/>
    <w:rsid w:val="67E72DB6"/>
    <w:rsid w:val="68F22B58"/>
    <w:rsid w:val="697323E5"/>
    <w:rsid w:val="6B8F0529"/>
    <w:rsid w:val="6DA24F1B"/>
    <w:rsid w:val="6E75219B"/>
    <w:rsid w:val="703E6D43"/>
    <w:rsid w:val="71D91BD0"/>
    <w:rsid w:val="763B3228"/>
    <w:rsid w:val="77296268"/>
    <w:rsid w:val="778A766C"/>
    <w:rsid w:val="780A3CD1"/>
    <w:rsid w:val="78B5798B"/>
    <w:rsid w:val="7985492F"/>
    <w:rsid w:val="79E179FA"/>
    <w:rsid w:val="7A6F73D0"/>
    <w:rsid w:val="7A7D0177"/>
    <w:rsid w:val="7A907A7C"/>
    <w:rsid w:val="7A9444BC"/>
    <w:rsid w:val="7B973751"/>
    <w:rsid w:val="7CFA5504"/>
    <w:rsid w:val="7ECB5F7C"/>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4"/>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3"/>
    <w:qFormat/>
    <w:uiPriority w:val="0"/>
    <w:rPr>
      <w:rFonts w:ascii="Arial" w:hAnsi="Arial" w:eastAsia="宋体" w:cs="Times New Roman"/>
      <w:sz w:val="30"/>
      <w:szCs w:val="20"/>
    </w:rPr>
  </w:style>
  <w:style w:type="character" w:customStyle="1" w:styleId="22">
    <w:name w:val="标题 3 Char"/>
    <w:basedOn w:val="8"/>
    <w:link w:val="5"/>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1</TotalTime>
  <ScaleCrop>false</ScaleCrop>
  <LinksUpToDate>false</LinksUpToDate>
  <CharactersWithSpaces>2193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谯淞源</cp:lastModifiedBy>
  <cp:lastPrinted>2018-12-24T07:17:00Z</cp:lastPrinted>
  <dcterms:modified xsi:type="dcterms:W3CDTF">2023-01-31T08:48:45Z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