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5"/>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8"/>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keepNext w:val="0"/>
              <w:keepLines w:val="0"/>
              <w:widowControl/>
              <w:suppressLineNumbers w:val="0"/>
              <w:jc w:val="center"/>
              <w:textAlignment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2303N001</w:t>
            </w:r>
          </w:p>
        </w:tc>
        <w:tc>
          <w:tcPr>
            <w:tcW w:w="1610" w:type="dxa"/>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cs="宋体"/>
                <w:color w:val="000000"/>
                <w:sz w:val="20"/>
                <w:szCs w:val="20"/>
                <w:lang w:val="en-US" w:eastAsia="zh-CN"/>
              </w:rPr>
              <w:t>去托槽粘接剂喷砂箱</w:t>
            </w:r>
          </w:p>
        </w:tc>
        <w:tc>
          <w:tcPr>
            <w:tcW w:w="1240" w:type="dxa"/>
            <w:vAlign w:val="center"/>
          </w:tcPr>
          <w:p>
            <w:pPr>
              <w:keepNext w:val="0"/>
              <w:keepLines w:val="0"/>
              <w:widowControl/>
              <w:suppressLineNumbers w:val="0"/>
              <w:jc w:val="center"/>
              <w:textAlignment w:val="center"/>
              <w:rPr>
                <w:rFonts w:hint="eastAsia" w:ascii="宋体" w:hAnsi="宋体" w:eastAsia="宋体"/>
                <w:szCs w:val="21"/>
                <w:lang w:val="en-US" w:eastAsia="zh-CN"/>
              </w:rPr>
            </w:pPr>
            <w:r>
              <w:rPr>
                <w:rFonts w:hint="eastAsia" w:ascii="宋体" w:hAnsi="宋体"/>
                <w:szCs w:val="21"/>
                <w:lang w:val="en-US" w:eastAsia="zh-CN"/>
              </w:rPr>
              <w:t>口腔门诊</w:t>
            </w:r>
          </w:p>
        </w:tc>
        <w:tc>
          <w:tcPr>
            <w:tcW w:w="3111" w:type="dxa"/>
            <w:vAlign w:val="center"/>
          </w:tcPr>
          <w:p>
            <w:pPr>
              <w:pStyle w:val="2"/>
              <w:rPr>
                <w:rFonts w:hint="eastAsia" w:ascii="宋体" w:hAnsi="宋体"/>
                <w:b w:val="0"/>
                <w:bCs w:val="0"/>
                <w:szCs w:val="21"/>
                <w:lang w:val="en-US" w:eastAsia="zh-CN"/>
              </w:rPr>
            </w:pPr>
            <w:r>
              <w:rPr>
                <w:rFonts w:hint="eastAsia" w:ascii="宋体" w:hAnsi="宋体"/>
                <w:b w:val="0"/>
                <w:bCs w:val="0"/>
                <w:szCs w:val="21"/>
                <w:lang w:val="en-US" w:eastAsia="zh-CN"/>
              </w:rPr>
              <w:t>1.抽屉式双笔喷砂机；</w:t>
            </w:r>
          </w:p>
          <w:p>
            <w:pPr>
              <w:pStyle w:val="2"/>
              <w:rPr>
                <w:rFonts w:hint="eastAsia" w:ascii="宋体" w:hAnsi="宋体"/>
                <w:b w:val="0"/>
                <w:bCs w:val="0"/>
                <w:szCs w:val="21"/>
                <w:lang w:val="en-US" w:eastAsia="zh-CN"/>
              </w:rPr>
            </w:pPr>
            <w:r>
              <w:rPr>
                <w:rFonts w:hint="eastAsia" w:ascii="宋体" w:hAnsi="宋体"/>
                <w:b w:val="0"/>
                <w:bCs w:val="0"/>
                <w:szCs w:val="21"/>
                <w:lang w:val="en-US" w:eastAsia="zh-CN"/>
              </w:rPr>
              <w:t>2.电压：220V 50HA；</w:t>
            </w:r>
          </w:p>
          <w:p>
            <w:pPr>
              <w:pStyle w:val="2"/>
              <w:rPr>
                <w:rFonts w:hint="eastAsia" w:ascii="宋体" w:hAnsi="宋体"/>
                <w:b w:val="0"/>
                <w:bCs w:val="0"/>
                <w:szCs w:val="21"/>
                <w:lang w:val="en-US" w:eastAsia="zh-CN"/>
              </w:rPr>
            </w:pPr>
            <w:r>
              <w:rPr>
                <w:rFonts w:hint="eastAsia" w:ascii="宋体" w:hAnsi="宋体"/>
                <w:b w:val="0"/>
                <w:bCs w:val="0"/>
                <w:szCs w:val="21"/>
                <w:lang w:val="en-US" w:eastAsia="zh-CN"/>
              </w:rPr>
              <w:t>3.砂子粒度：100#-180#；</w:t>
            </w:r>
          </w:p>
          <w:p>
            <w:pPr>
              <w:pStyle w:val="2"/>
              <w:rPr>
                <w:rFonts w:hint="eastAsia"/>
                <w:lang w:val="en-US" w:eastAsia="zh-CN"/>
              </w:rPr>
            </w:pPr>
            <w:r>
              <w:rPr>
                <w:rFonts w:hint="eastAsia" w:ascii="宋体" w:hAnsi="宋体"/>
                <w:b w:val="0"/>
                <w:bCs w:val="0"/>
                <w:szCs w:val="21"/>
                <w:lang w:val="en-US" w:eastAsia="zh-CN"/>
              </w:rPr>
              <w:t>4.压力≥4KG；</w:t>
            </w:r>
          </w:p>
          <w:p>
            <w:pPr>
              <w:pStyle w:val="2"/>
              <w:rPr>
                <w:rFonts w:hint="eastAsia" w:ascii="宋体" w:hAnsi="宋体"/>
                <w:b w:val="0"/>
                <w:bCs w:val="0"/>
                <w:szCs w:val="21"/>
                <w:lang w:val="en-US" w:eastAsia="zh-CN"/>
              </w:rPr>
            </w:pPr>
            <w:r>
              <w:rPr>
                <w:rFonts w:hint="eastAsia" w:ascii="宋体" w:hAnsi="宋体"/>
                <w:b w:val="0"/>
                <w:bCs w:val="0"/>
                <w:szCs w:val="21"/>
                <w:lang w:val="en-US" w:eastAsia="zh-CN"/>
              </w:rPr>
              <w:t>5.用途：主要用于各种微小表面氧化物的清除。同时还可以对塑料基托表面进行玻璃珠的铸造处理等，可用于喷砂托槽，除胶等。</w:t>
            </w:r>
          </w:p>
          <w:p>
            <w:pPr>
              <w:pStyle w:val="2"/>
              <w:rPr>
                <w:rFonts w:hint="eastAsia" w:ascii="宋体" w:hAnsi="宋体"/>
                <w:b w:val="0"/>
                <w:bCs w:val="0"/>
                <w:szCs w:val="21"/>
                <w:lang w:val="en-US" w:eastAsia="zh-CN"/>
              </w:rPr>
            </w:pPr>
            <w:r>
              <w:rPr>
                <w:rFonts w:hint="eastAsia" w:ascii="宋体" w:hAnsi="宋体"/>
                <w:b w:val="0"/>
                <w:bCs w:val="0"/>
                <w:szCs w:val="21"/>
                <w:lang w:val="en-US" w:eastAsia="zh-CN"/>
              </w:rPr>
              <w:t>6.质保期≥2年</w:t>
            </w:r>
          </w:p>
          <w:p>
            <w:pPr>
              <w:rPr>
                <w:rFonts w:hint="eastAsia" w:ascii="宋体" w:hAnsi="宋体"/>
                <w:b w:val="0"/>
                <w:bCs w:val="0"/>
                <w:szCs w:val="21"/>
                <w:lang w:val="en-US" w:eastAsia="zh-CN"/>
              </w:rPr>
            </w:pPr>
            <w:r>
              <w:rPr>
                <w:rFonts w:hint="eastAsia" w:ascii="宋体" w:hAnsi="宋体"/>
                <w:b w:val="0"/>
                <w:bCs w:val="0"/>
                <w:szCs w:val="21"/>
                <w:lang w:val="en-US" w:eastAsia="zh-CN"/>
              </w:rPr>
              <w:t>参考样式：</w:t>
            </w:r>
          </w:p>
          <w:p>
            <w:pPr>
              <w:pStyle w:val="2"/>
              <w:rPr>
                <w:rFonts w:hint="default"/>
                <w:lang w:val="en-US" w:eastAsia="zh-CN"/>
              </w:rPr>
            </w:pPr>
            <w:bookmarkStart w:id="0" w:name="_GoBack"/>
            <w:r>
              <w:rPr>
                <w:rFonts w:hint="default"/>
                <w:lang w:val="en-US" w:eastAsia="zh-CN"/>
              </w:rPr>
              <w:drawing>
                <wp:inline distT="0" distB="0" distL="114300" distR="114300">
                  <wp:extent cx="1827530" cy="1722755"/>
                  <wp:effectExtent l="0" t="0" r="1270" b="10795"/>
                  <wp:docPr id="1" name="图片 1" descr="3e8946db2645a8f08e4813cf6c80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e8946db2645a8f08e4813cf6c80456"/>
                          <pic:cNvPicPr>
                            <a:picLocks noChangeAspect="1"/>
                          </pic:cNvPicPr>
                        </pic:nvPicPr>
                        <pic:blipFill>
                          <a:blip r:embed="rId4"/>
                          <a:stretch>
                            <a:fillRect/>
                          </a:stretch>
                        </pic:blipFill>
                        <pic:spPr>
                          <a:xfrm>
                            <a:off x="0" y="0"/>
                            <a:ext cx="1827530" cy="1722755"/>
                          </a:xfrm>
                          <a:prstGeom prst="rect">
                            <a:avLst/>
                          </a:prstGeom>
                        </pic:spPr>
                      </pic:pic>
                    </a:graphicData>
                  </a:graphic>
                </wp:inline>
              </w:drawing>
            </w:r>
            <w:bookmarkEnd w:id="0"/>
          </w:p>
          <w:p>
            <w:pPr>
              <w:pStyle w:val="2"/>
              <w:rPr>
                <w:rFonts w:hint="eastAsia"/>
                <w:lang w:val="en-US" w:eastAsia="zh-CN"/>
              </w:rPr>
            </w:pPr>
          </w:p>
          <w:p>
            <w:pPr>
              <w:numPr>
                <w:ilvl w:val="0"/>
                <w:numId w:val="0"/>
              </w:numPr>
              <w:spacing w:line="240" w:lineRule="auto"/>
              <w:rPr>
                <w:rFonts w:hint="eastAsia"/>
                <w:sz w:val="21"/>
                <w:szCs w:val="21"/>
                <w:lang w:eastAsia="zh-CN"/>
              </w:rPr>
            </w:pPr>
            <w:r>
              <w:rPr>
                <w:rFonts w:hint="eastAsia"/>
                <w:b w:val="0"/>
                <w:bCs w:val="0"/>
                <w:sz w:val="21"/>
                <w:szCs w:val="21"/>
                <w:lang w:val="en-US" w:eastAsia="zh-CN"/>
              </w:rPr>
              <w:t>付款方式：</w:t>
            </w:r>
            <w:r>
              <w:rPr>
                <w:rFonts w:hint="eastAsia"/>
                <w:sz w:val="21"/>
                <w:szCs w:val="21"/>
              </w:rPr>
              <w:t>通过双方开户银行进行结算。合同签订后</w:t>
            </w:r>
            <w:r>
              <w:rPr>
                <w:rFonts w:hint="eastAsia"/>
                <w:sz w:val="21"/>
                <w:szCs w:val="21"/>
                <w:lang w:eastAsia="zh-CN"/>
              </w:rPr>
              <w:t>乙方</w:t>
            </w:r>
            <w:r>
              <w:rPr>
                <w:rFonts w:hint="eastAsia"/>
                <w:sz w:val="21"/>
                <w:szCs w:val="21"/>
              </w:rPr>
              <w:t>向</w:t>
            </w:r>
            <w:r>
              <w:rPr>
                <w:rFonts w:hint="eastAsia"/>
                <w:sz w:val="21"/>
                <w:szCs w:val="21"/>
                <w:lang w:eastAsia="zh-CN"/>
              </w:rPr>
              <w:t>甲方</w:t>
            </w:r>
            <w:r>
              <w:rPr>
                <w:rFonts w:hint="eastAsia"/>
                <w:sz w:val="21"/>
                <w:szCs w:val="21"/>
              </w:rPr>
              <w:t>缴纳合同金额5%的履约保证金（以银行转账</w:t>
            </w:r>
            <w:r>
              <w:rPr>
                <w:rFonts w:hint="eastAsia"/>
                <w:sz w:val="21"/>
                <w:szCs w:val="21"/>
                <w:lang w:eastAsia="zh-CN"/>
              </w:rPr>
              <w:t>），乙方按采购合同交货并安装调试完成，经验收合格后甲方出具项目验收报告，乙方向甲方开具发票，甲方于</w:t>
            </w:r>
            <w:r>
              <w:rPr>
                <w:rFonts w:hint="eastAsia"/>
                <w:sz w:val="21"/>
                <w:szCs w:val="21"/>
                <w:lang w:val="en-US" w:eastAsia="zh-CN"/>
              </w:rPr>
              <w:t>60</w:t>
            </w:r>
            <w:r>
              <w:rPr>
                <w:rFonts w:hint="eastAsia"/>
                <w:sz w:val="21"/>
                <w:szCs w:val="21"/>
                <w:lang w:eastAsia="zh-CN"/>
              </w:rPr>
              <w:t>个工作日内以转账方式向乙方支付合同全款，验收合格满一年之后，乙方开具退履约保证金申请书到甲方，甲方收到后于7个日历日内无息退还履约保证金。</w:t>
            </w:r>
          </w:p>
          <w:p>
            <w:pPr>
              <w:numPr>
                <w:ilvl w:val="0"/>
                <w:numId w:val="0"/>
              </w:numPr>
              <w:rPr>
                <w:rFonts w:hint="eastAsia" w:ascii="宋体" w:hAnsi="宋体"/>
                <w:b/>
                <w:bCs/>
                <w:szCs w:val="21"/>
                <w:lang w:val="en-US" w:eastAsia="zh-CN"/>
              </w:rPr>
            </w:pPr>
          </w:p>
          <w:p>
            <w:pPr>
              <w:numPr>
                <w:ilvl w:val="0"/>
                <w:numId w:val="0"/>
              </w:numPr>
              <w:rPr>
                <w:rFonts w:hint="eastAsia" w:ascii="宋体" w:hAnsi="宋体"/>
                <w:szCs w:val="21"/>
                <w:lang w:val="en-US" w:eastAsia="zh-CN"/>
              </w:rPr>
            </w:pPr>
            <w:r>
              <w:rPr>
                <w:rFonts w:hint="eastAsia"/>
                <w:lang w:val="en-US" w:eastAsia="zh-CN"/>
              </w:rPr>
              <w:t>注：如产品为列入法定计量检测或强制检定目录的工作计量器具及其他计量器具，乙方则须于产品性能验收时，向甲方提供由第三方出具的检测合格报告。</w:t>
            </w:r>
          </w:p>
        </w:tc>
        <w:tc>
          <w:tcPr>
            <w:tcW w:w="916" w:type="dxa"/>
            <w:vAlign w:val="center"/>
          </w:tcPr>
          <w:p>
            <w:pPr>
              <w:jc w:val="center"/>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台</w:t>
            </w:r>
          </w:p>
        </w:tc>
        <w:tc>
          <w:tcPr>
            <w:tcW w:w="895" w:type="dxa"/>
            <w:vAlign w:val="center"/>
          </w:tcPr>
          <w:p>
            <w:pPr>
              <w:jc w:val="center"/>
              <w:rPr>
                <w:rFonts w:hint="eastAsia" w:ascii="宋体" w:hAnsi="宋体" w:eastAsia="宋体" w:cs="宋体"/>
                <w:color w:val="000000"/>
                <w:sz w:val="20"/>
                <w:szCs w:val="20"/>
                <w:lang w:eastAsia="zh-CN"/>
              </w:rPr>
            </w:pPr>
            <w:r>
              <w:rPr>
                <w:rFonts w:hint="eastAsia"/>
                <w:color w:val="000000"/>
                <w:sz w:val="20"/>
                <w:szCs w:val="20"/>
                <w:lang w:val="en-US" w:eastAsia="zh-CN"/>
              </w:rPr>
              <w:t>2</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1、报价截止时间：收到本询价通知书后7个日历日内。</w:t>
      </w:r>
    </w:p>
    <w:p>
      <w:pPr>
        <w:spacing w:line="360" w:lineRule="auto"/>
        <w:ind w:firstLine="396" w:firstLineChars="200"/>
        <w:rPr>
          <w:rFonts w:hint="eastAsia" w:ascii="宋体" w:hAnsi="宋体" w:eastAsia="宋体" w:cs="Arial"/>
          <w:color w:val="000000"/>
          <w:spacing w:val="-6"/>
          <w:szCs w:val="21"/>
          <w:lang w:eastAsia="zh-CN"/>
        </w:rPr>
      </w:pPr>
      <w:r>
        <w:rPr>
          <w:rFonts w:hint="eastAsia" w:ascii="宋体" w:hAnsi="宋体" w:cs="Arial"/>
          <w:color w:val="000000"/>
          <w:spacing w:val="-6"/>
          <w:szCs w:val="21"/>
        </w:rPr>
        <w:t>2、报价文件递交地点：重庆医科大学附属儿童医院</w:t>
      </w:r>
      <w:r>
        <w:rPr>
          <w:rFonts w:hint="eastAsia" w:ascii="宋体" w:hAnsi="宋体" w:cs="Arial"/>
          <w:color w:val="000000"/>
          <w:spacing w:val="-6"/>
          <w:szCs w:val="21"/>
          <w:lang w:eastAsia="zh-CN"/>
        </w:rPr>
        <w:t>两江院区</w:t>
      </w:r>
      <w:r>
        <w:rPr>
          <w:rFonts w:hint="eastAsia" w:ascii="宋体" w:hAnsi="宋体" w:cs="Arial"/>
          <w:color w:val="000000"/>
          <w:spacing w:val="-6"/>
          <w:szCs w:val="21"/>
        </w:rPr>
        <w:t>（重庆市渝北区金渝大道20号）</w:t>
      </w:r>
      <w:r>
        <w:rPr>
          <w:rFonts w:hint="eastAsia" w:ascii="宋体" w:hAnsi="宋体" w:cs="Arial"/>
          <w:color w:val="000000"/>
          <w:spacing w:val="-6"/>
          <w:szCs w:val="21"/>
          <w:lang w:eastAsia="zh-CN"/>
        </w:rPr>
        <w:t>科教楼</w:t>
      </w:r>
      <w:r>
        <w:rPr>
          <w:rFonts w:hint="eastAsia" w:ascii="宋体" w:hAnsi="宋体" w:cs="Arial"/>
          <w:color w:val="000000"/>
          <w:spacing w:val="-6"/>
          <w:szCs w:val="21"/>
          <w:lang w:val="en-US" w:eastAsia="zh-CN"/>
        </w:rPr>
        <w:t>517</w:t>
      </w:r>
      <w:r>
        <w:rPr>
          <w:rFonts w:hint="eastAsia" w:ascii="宋体" w:hAnsi="宋体" w:cs="Arial"/>
          <w:color w:val="000000"/>
          <w:spacing w:val="-6"/>
          <w:szCs w:val="21"/>
        </w:rPr>
        <w:t>设备处办公室</w:t>
      </w:r>
      <w:r>
        <w:rPr>
          <w:rFonts w:hint="eastAsia" w:ascii="宋体" w:hAnsi="宋体" w:cs="Arial"/>
          <w:color w:val="000000"/>
          <w:spacing w:val="-6"/>
          <w:szCs w:val="21"/>
          <w:lang w:eastAsia="zh-CN"/>
        </w:rPr>
        <w:t>。</w:t>
      </w:r>
    </w:p>
    <w:p>
      <w:pPr>
        <w:spacing w:line="360" w:lineRule="auto"/>
        <w:ind w:firstLine="396" w:firstLineChars="200"/>
      </w:pPr>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FF0000"/>
          <w:spacing w:val="-6"/>
          <w:szCs w:val="21"/>
          <w:lang w:eastAsia="zh-CN"/>
        </w:rPr>
        <w:t>和顺丰快递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2" w:firstLineChars="200"/>
        <w:rPr>
          <w:rFonts w:hint="eastAsia" w:ascii="宋体" w:hAnsi="宋体" w:eastAsia="宋体"/>
          <w:szCs w:val="21"/>
          <w:lang w:eastAsia="zh-CN"/>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投标报价包括招标内容包括但不仅限于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3"/>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2"/>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spacing w:line="360" w:lineRule="auto"/>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lang w:eastAsia="zh-CN"/>
        </w:rPr>
        <w:t>两副</w:t>
      </w:r>
      <w:r>
        <w:rPr>
          <w:rFonts w:hint="eastAsia" w:ascii="宋体" w:hAnsi="宋体"/>
          <w:szCs w:val="21"/>
        </w:rPr>
        <w:t>；并在投标文件封面分别注明“正本”</w:t>
      </w:r>
      <w:r>
        <w:rPr>
          <w:rFonts w:hint="eastAsia" w:ascii="宋体" w:hAnsi="宋体"/>
          <w:szCs w:val="21"/>
          <w:lang w:eastAsia="zh-CN"/>
        </w:rPr>
        <w:t>和“副本”</w:t>
      </w:r>
      <w:r>
        <w:rPr>
          <w:rFonts w:hint="eastAsia" w:ascii="宋体" w:hAnsi="宋体"/>
          <w:szCs w:val="21"/>
        </w:rPr>
        <w:t>字样。</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cs="宋体"/>
          <w:b/>
          <w:szCs w:val="21"/>
        </w:rPr>
      </w:pPr>
      <w:r>
        <w:rPr>
          <w:rFonts w:ascii="宋体" w:hAnsi="宋体"/>
          <w:szCs w:val="21"/>
        </w:rPr>
        <w:br w:type="page"/>
      </w: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8"/>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药交所平台挂网最高价/计价单位</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b/>
                <w:color w:val="000000"/>
                <w:szCs w:val="21"/>
              </w:rPr>
            </w:pPr>
            <w:r>
              <w:rPr>
                <w:rFonts w:hint="eastAsia" w:ascii="宋体" w:hAnsi="宋体"/>
                <w:b/>
                <w:color w:val="000000"/>
                <w:szCs w:val="21"/>
              </w:rPr>
              <w:t>投标价（元）</w:t>
            </w:r>
          </w:p>
        </w:tc>
        <w:tc>
          <w:tcPr>
            <w:tcW w:w="674" w:type="dxa"/>
            <w:noWrap w:val="0"/>
            <w:vAlign w:val="center"/>
          </w:tcPr>
          <w:p>
            <w:pPr>
              <w:jc w:val="center"/>
              <w:rPr>
                <w:rFonts w:hint="eastAsia"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369215B"/>
    <w:rsid w:val="067303FE"/>
    <w:rsid w:val="09556B0B"/>
    <w:rsid w:val="0E243920"/>
    <w:rsid w:val="0FC73D02"/>
    <w:rsid w:val="107D5F7C"/>
    <w:rsid w:val="10D80E45"/>
    <w:rsid w:val="11180A20"/>
    <w:rsid w:val="1148374D"/>
    <w:rsid w:val="11A30F9C"/>
    <w:rsid w:val="140C08A8"/>
    <w:rsid w:val="17B636B4"/>
    <w:rsid w:val="18D04BA4"/>
    <w:rsid w:val="1A601846"/>
    <w:rsid w:val="21680A2B"/>
    <w:rsid w:val="25B64F9A"/>
    <w:rsid w:val="28206B3E"/>
    <w:rsid w:val="29913381"/>
    <w:rsid w:val="2A64557B"/>
    <w:rsid w:val="2CD21507"/>
    <w:rsid w:val="2D5C3356"/>
    <w:rsid w:val="2F5A1410"/>
    <w:rsid w:val="33C74F01"/>
    <w:rsid w:val="33D42C62"/>
    <w:rsid w:val="35777FB5"/>
    <w:rsid w:val="37B23BD6"/>
    <w:rsid w:val="3C696035"/>
    <w:rsid w:val="3E126089"/>
    <w:rsid w:val="3E564821"/>
    <w:rsid w:val="3FFF6E94"/>
    <w:rsid w:val="42DB254B"/>
    <w:rsid w:val="45C95A19"/>
    <w:rsid w:val="48BE5133"/>
    <w:rsid w:val="4B4E1BF0"/>
    <w:rsid w:val="4D5D7223"/>
    <w:rsid w:val="54012368"/>
    <w:rsid w:val="5C8C1F0C"/>
    <w:rsid w:val="5F313840"/>
    <w:rsid w:val="6466418A"/>
    <w:rsid w:val="64A13C91"/>
    <w:rsid w:val="68F22B58"/>
    <w:rsid w:val="697323E5"/>
    <w:rsid w:val="6AB9211A"/>
    <w:rsid w:val="71D91BD0"/>
    <w:rsid w:val="73EA2442"/>
    <w:rsid w:val="763B3228"/>
    <w:rsid w:val="77296268"/>
    <w:rsid w:val="778A766C"/>
    <w:rsid w:val="78B5798B"/>
    <w:rsid w:val="790668BA"/>
    <w:rsid w:val="79E179FA"/>
    <w:rsid w:val="7CFA5504"/>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
    <w:qFormat/>
    <w:uiPriority w:val="0"/>
    <w:pPr>
      <w:keepNext/>
      <w:pBdr>
        <w:bottom w:val="single" w:color="auto" w:sz="6" w:space="1"/>
      </w:pBdr>
      <w:outlineLvl w:val="0"/>
    </w:pPr>
    <w:rPr>
      <w:rFonts w:ascii="Arial" w:hAnsi="Arial"/>
      <w:sz w:val="30"/>
      <w:szCs w:val="20"/>
    </w:rPr>
  </w:style>
  <w:style w:type="paragraph" w:styleId="4">
    <w:name w:val="heading 2"/>
    <w:basedOn w:val="1"/>
    <w:next w:val="1"/>
    <w:link w:val="22"/>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4"/>
    <w:semiHidden/>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Balloon Text"/>
    <w:basedOn w:val="1"/>
    <w:link w:val="26"/>
    <w:semiHidden/>
    <w:unhideWhenUsed/>
    <w:qFormat/>
    <w:uiPriority w:val="99"/>
    <w:rPr>
      <w:sz w:val="18"/>
      <w:szCs w:val="18"/>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rPr>
  </w:style>
  <w:style w:type="character" w:styleId="12">
    <w:name w:val="FollowedHyperlink"/>
    <w:basedOn w:val="10"/>
    <w:semiHidden/>
    <w:unhideWhenUsed/>
    <w:qFormat/>
    <w:uiPriority w:val="99"/>
    <w:rPr>
      <w:color w:val="0066CC"/>
      <w:u w:val="none"/>
    </w:rPr>
  </w:style>
  <w:style w:type="character" w:styleId="13">
    <w:name w:val="HTML Definition"/>
    <w:basedOn w:val="10"/>
    <w:semiHidden/>
    <w:unhideWhenUsed/>
    <w:qFormat/>
    <w:uiPriority w:val="99"/>
    <w:rPr>
      <w:i/>
    </w:rPr>
  </w:style>
  <w:style w:type="character" w:styleId="14">
    <w:name w:val="Hyperlink"/>
    <w:basedOn w:val="10"/>
    <w:semiHidden/>
    <w:unhideWhenUsed/>
    <w:qFormat/>
    <w:uiPriority w:val="99"/>
    <w:rPr>
      <w:color w:val="0066CC"/>
      <w:u w:val="none"/>
    </w:rPr>
  </w:style>
  <w:style w:type="character" w:styleId="15">
    <w:name w:val="HTML Code"/>
    <w:basedOn w:val="10"/>
    <w:semiHidden/>
    <w:unhideWhenUsed/>
    <w:qFormat/>
    <w:uiPriority w:val="99"/>
    <w:rPr>
      <w:rFonts w:hint="default" w:ascii="serif" w:hAnsi="serif" w:eastAsia="serif" w:cs="serif"/>
      <w:sz w:val="21"/>
      <w:szCs w:val="21"/>
    </w:rPr>
  </w:style>
  <w:style w:type="character" w:styleId="16">
    <w:name w:val="HTML Keyboard"/>
    <w:basedOn w:val="10"/>
    <w:semiHidden/>
    <w:unhideWhenUsed/>
    <w:qFormat/>
    <w:uiPriority w:val="99"/>
    <w:rPr>
      <w:rFonts w:hint="default" w:ascii="serif" w:hAnsi="serif" w:eastAsia="serif" w:cs="serif"/>
      <w:sz w:val="21"/>
      <w:szCs w:val="21"/>
    </w:rPr>
  </w:style>
  <w:style w:type="character" w:styleId="17">
    <w:name w:val="HTML Sample"/>
    <w:basedOn w:val="10"/>
    <w:semiHidden/>
    <w:unhideWhenUsed/>
    <w:qFormat/>
    <w:uiPriority w:val="99"/>
    <w:rPr>
      <w:rFonts w:ascii="serif" w:hAnsi="serif" w:eastAsia="serif" w:cs="serif"/>
      <w:sz w:val="21"/>
      <w:szCs w:val="21"/>
    </w:rPr>
  </w:style>
  <w:style w:type="paragraph" w:customStyle="1" w:styleId="18">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9">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0">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1">
    <w:name w:val="样式 标题 2PIM2H2Heading 2 Hidden2nd levelh22Header 2l2DO N...2"/>
    <w:basedOn w:val="4"/>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2">
    <w:name w:val="标题 2 Char"/>
    <w:basedOn w:val="10"/>
    <w:link w:val="4"/>
    <w:semiHidden/>
    <w:qFormat/>
    <w:uiPriority w:val="9"/>
    <w:rPr>
      <w:rFonts w:asciiTheme="majorHAnsi" w:hAnsiTheme="majorHAnsi" w:eastAsiaTheme="majorEastAsia" w:cstheme="majorBidi"/>
      <w:b/>
      <w:bCs/>
      <w:sz w:val="32"/>
      <w:szCs w:val="32"/>
    </w:rPr>
  </w:style>
  <w:style w:type="character" w:customStyle="1" w:styleId="23">
    <w:name w:val="标题 1 Char"/>
    <w:basedOn w:val="10"/>
    <w:link w:val="3"/>
    <w:qFormat/>
    <w:uiPriority w:val="0"/>
    <w:rPr>
      <w:rFonts w:ascii="Arial" w:hAnsi="Arial" w:eastAsia="宋体" w:cs="Times New Roman"/>
      <w:sz w:val="30"/>
      <w:szCs w:val="20"/>
    </w:rPr>
  </w:style>
  <w:style w:type="character" w:customStyle="1" w:styleId="24">
    <w:name w:val="标题 3 Char"/>
    <w:basedOn w:val="10"/>
    <w:link w:val="5"/>
    <w:semiHidden/>
    <w:qFormat/>
    <w:uiPriority w:val="9"/>
    <w:rPr>
      <w:rFonts w:ascii="Times New Roman" w:hAnsi="Times New Roman" w:eastAsia="宋体" w:cs="Times New Roman"/>
      <w:b/>
      <w:bCs/>
      <w:sz w:val="32"/>
      <w:szCs w:val="32"/>
    </w:rPr>
  </w:style>
  <w:style w:type="paragraph" w:styleId="25">
    <w:name w:val="List Paragraph"/>
    <w:basedOn w:val="1"/>
    <w:qFormat/>
    <w:uiPriority w:val="34"/>
    <w:pPr>
      <w:ind w:firstLine="420" w:firstLineChars="200"/>
    </w:pPr>
  </w:style>
  <w:style w:type="character" w:customStyle="1" w:styleId="26">
    <w:name w:val="批注框文本 Char"/>
    <w:basedOn w:val="10"/>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3</TotalTime>
  <ScaleCrop>false</ScaleCrop>
  <LinksUpToDate>false</LinksUpToDate>
  <CharactersWithSpaces>2193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谯淞源</cp:lastModifiedBy>
  <cp:lastPrinted>2018-12-24T07:17:00Z</cp:lastPrinted>
  <dcterms:modified xsi:type="dcterms:W3CDTF">2023-03-09T02:28:09Z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