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eastAsia="宋体"/>
          <w:lang w:eastAsia="zh-CN"/>
        </w:rPr>
      </w:pPr>
    </w:p>
    <w:p>
      <w:pPr>
        <w:jc w:val="center"/>
        <w:rPr>
          <w:rFonts w:hint="eastAsia" w:ascii="宋体" w:hAnsi="宋体" w:eastAsia="宋体"/>
          <w:lang w:eastAsia="zh-CN"/>
        </w:rPr>
      </w:pPr>
    </w:p>
    <w:p>
      <w:pPr>
        <w:spacing w:line="1600" w:lineRule="exact"/>
        <w:jc w:val="center"/>
        <w:outlineLvl w:val="0"/>
        <w:rPr>
          <w:rFonts w:hint="eastAsia" w:ascii="方正黑体_GBK" w:eastAsia="方正黑体_GBK"/>
          <w:sz w:val="100"/>
        </w:rPr>
      </w:pPr>
    </w:p>
    <w:p>
      <w:pPr>
        <w:jc w:val="center"/>
        <w:rPr>
          <w:rFonts w:hint="eastAsia" w:ascii="宋体" w:hAnsi="宋体"/>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竞争性谈判</w:t>
      </w: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rPr>
        <w:t>文件</w:t>
      </w:r>
    </w:p>
    <w:p>
      <w:pPr>
        <w:pStyle w:val="66"/>
        <w:jc w:val="center"/>
        <w:rPr>
          <w:rFonts w:hint="eastAsia" w:ascii="黑体" w:eastAsia="黑体"/>
          <w:sz w:val="32"/>
        </w:rPr>
      </w:pPr>
    </w:p>
    <w:p>
      <w:pPr>
        <w:pStyle w:val="67"/>
        <w:rPr>
          <w:rFonts w:hint="eastAsia"/>
        </w:rPr>
      </w:pPr>
    </w:p>
    <w:p>
      <w:pPr>
        <w:pStyle w:val="67"/>
        <w:rPr>
          <w:rFonts w:hint="eastAsia"/>
        </w:rPr>
      </w:pPr>
    </w:p>
    <w:p>
      <w:pPr>
        <w:pStyle w:val="67"/>
        <w:rPr>
          <w:rFonts w:hint="eastAsia"/>
        </w:rPr>
      </w:pPr>
    </w:p>
    <w:p>
      <w:pPr>
        <w:pStyle w:val="67"/>
        <w:rPr>
          <w:rFonts w:hint="eastAsia"/>
        </w:rPr>
      </w:pPr>
    </w:p>
    <w:p>
      <w:pPr>
        <w:pStyle w:val="67"/>
        <w:rPr>
          <w:rFonts w:hint="eastAsia"/>
        </w:rPr>
      </w:pPr>
    </w:p>
    <w:p>
      <w:pPr>
        <w:pStyle w:val="67"/>
        <w:rPr>
          <w:rFonts w:hint="eastAsia"/>
        </w:rPr>
      </w:pPr>
    </w:p>
    <w:p>
      <w:pPr>
        <w:pStyle w:val="67"/>
        <w:rPr>
          <w:rFonts w:hint="eastAsia"/>
        </w:rPr>
      </w:pPr>
    </w:p>
    <w:p>
      <w:pPr>
        <w:spacing w:line="700" w:lineRule="exact"/>
        <w:jc w:val="center"/>
        <w:rPr>
          <w:rFonts w:hint="eastAsia" w:ascii="黑体" w:eastAsia="黑体"/>
          <w:sz w:val="32"/>
        </w:rPr>
      </w:pPr>
    </w:p>
    <w:p>
      <w:pPr>
        <w:spacing w:line="360" w:lineRule="auto"/>
        <w:jc w:val="center"/>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YBW230175</w:t>
      </w:r>
    </w:p>
    <w:p>
      <w:pPr>
        <w:spacing w:line="360" w:lineRule="auto"/>
        <w:jc w:val="center"/>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 xml:space="preserve">           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两江院区工作区更换钢质防火门</w:t>
      </w:r>
    </w:p>
    <w:p>
      <w:pPr>
        <w:spacing w:line="700" w:lineRule="exact"/>
        <w:jc w:val="center"/>
        <w:rPr>
          <w:rFonts w:hint="eastAsia" w:ascii="方正小标宋_GBK" w:hAnsi="宋体" w:eastAsia="方正小标宋_GBK"/>
          <w:b/>
          <w:sz w:val="36"/>
          <w:szCs w:val="36"/>
        </w:rPr>
      </w:pPr>
    </w:p>
    <w:p>
      <w:pPr>
        <w:spacing w:line="500" w:lineRule="exact"/>
        <w:jc w:val="both"/>
        <w:outlineLvl w:val="0"/>
        <w:rPr>
          <w:rFonts w:hint="eastAsia"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5</w:t>
      </w:r>
      <w:r>
        <w:rPr>
          <w:rFonts w:hint="eastAsia" w:ascii="方正小标宋_GBK" w:hAnsi="宋体" w:eastAsia="方正小标宋_GBK"/>
          <w:sz w:val="36"/>
          <w:szCs w:val="36"/>
        </w:rPr>
        <w:t>月</w:t>
      </w:r>
    </w:p>
    <w:p>
      <w:pPr>
        <w:spacing w:line="480" w:lineRule="exact"/>
        <w:outlineLvl w:val="0"/>
        <w:rPr>
          <w:rFonts w:ascii="方正黑体_GBK" w:eastAsia="方正黑体_GBK"/>
          <w:sz w:val="44"/>
          <w:szCs w:val="28"/>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_Toc24410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第一篇  竞争性谈判邀请书</w:t>
      </w:r>
      <w:r>
        <w:rPr>
          <w:sz w:val="24"/>
          <w:szCs w:val="24"/>
        </w:rPr>
        <w:tab/>
      </w:r>
      <w:r>
        <w:rPr>
          <w:sz w:val="24"/>
          <w:szCs w:val="24"/>
        </w:rPr>
        <w:fldChar w:fldCharType="begin"/>
      </w:r>
      <w:r>
        <w:rPr>
          <w:sz w:val="24"/>
          <w:szCs w:val="24"/>
        </w:rPr>
        <w:instrText xml:space="preserve"> PAGEREF _Toc24410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_Toc12224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一、竞争性谈判内容</w:t>
      </w:r>
      <w:r>
        <w:rPr>
          <w:sz w:val="24"/>
          <w:szCs w:val="24"/>
        </w:rPr>
        <w:tab/>
      </w:r>
      <w:r>
        <w:rPr>
          <w:sz w:val="24"/>
          <w:szCs w:val="24"/>
        </w:rPr>
        <w:fldChar w:fldCharType="begin"/>
      </w:r>
      <w:r>
        <w:rPr>
          <w:sz w:val="24"/>
          <w:szCs w:val="24"/>
        </w:rPr>
        <w:instrText xml:space="preserve"> PAGEREF _Toc12224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_Toc6697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_Toc6697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_Toc8977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、谈判有关说明</w:t>
      </w:r>
      <w:r>
        <w:rPr>
          <w:sz w:val="24"/>
          <w:szCs w:val="24"/>
        </w:rPr>
        <w:tab/>
      </w:r>
      <w:r>
        <w:rPr>
          <w:sz w:val="24"/>
          <w:szCs w:val="24"/>
        </w:rPr>
        <w:fldChar w:fldCharType="begin"/>
      </w:r>
      <w:r>
        <w:rPr>
          <w:sz w:val="24"/>
          <w:szCs w:val="24"/>
        </w:rPr>
        <w:instrText xml:space="preserve"> PAGEREF _Toc8977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_Toc24355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、保证金</w:t>
      </w:r>
      <w:r>
        <w:rPr>
          <w:sz w:val="24"/>
          <w:szCs w:val="24"/>
        </w:rPr>
        <w:tab/>
      </w:r>
      <w:r>
        <w:rPr>
          <w:sz w:val="24"/>
          <w:szCs w:val="24"/>
        </w:rPr>
        <w:fldChar w:fldCharType="begin"/>
      </w:r>
      <w:r>
        <w:rPr>
          <w:sz w:val="24"/>
          <w:szCs w:val="24"/>
        </w:rPr>
        <w:instrText xml:space="preserve"> PAGEREF _Toc24355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_Toc22784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_Toc22784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_Toc2528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_Toc25029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第二篇  技术（质量）需求</w:t>
      </w:r>
      <w:r>
        <w:rPr>
          <w:sz w:val="24"/>
          <w:szCs w:val="24"/>
        </w:rPr>
        <w:tab/>
      </w:r>
      <w:r>
        <w:rPr>
          <w:sz w:val="24"/>
          <w:szCs w:val="24"/>
        </w:rPr>
        <w:fldChar w:fldCharType="begin"/>
      </w:r>
      <w:r>
        <w:rPr>
          <w:sz w:val="24"/>
          <w:szCs w:val="24"/>
        </w:rPr>
        <w:instrText xml:space="preserve"> PAGEREF _Toc25029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一、项目一览表</w:t>
      </w:r>
      <w:r>
        <w:rPr>
          <w:sz w:val="24"/>
          <w:szCs w:val="24"/>
        </w:rPr>
        <w:tab/>
      </w:r>
      <w:r>
        <w:rPr>
          <w:sz w:val="24"/>
          <w:szCs w:val="24"/>
        </w:rPr>
        <w:fldChar w:fldCharType="begin"/>
      </w:r>
      <w:r>
        <w:rPr>
          <w:sz w:val="24"/>
          <w:szCs w:val="24"/>
        </w:rPr>
        <w:instrText xml:space="preserve"> PAGEREF _Toc2230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_Toc32119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二、技术规格及质量要求</w:t>
      </w:r>
      <w:r>
        <w:rPr>
          <w:sz w:val="24"/>
          <w:szCs w:val="24"/>
        </w:rPr>
        <w:tab/>
      </w:r>
      <w:r>
        <w:rPr>
          <w:sz w:val="24"/>
          <w:szCs w:val="24"/>
        </w:rPr>
        <w:fldChar w:fldCharType="begin"/>
      </w:r>
      <w:r>
        <w:rPr>
          <w:sz w:val="24"/>
          <w:szCs w:val="24"/>
        </w:rPr>
        <w:instrText xml:space="preserve"> PAGEREF _Toc32119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_Toc16936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 xml:space="preserve">第三篇  </w:t>
      </w:r>
      <w:r>
        <w:rPr>
          <w:rFonts w:hint="eastAsia" w:ascii="方正小标宋_GBK" w:eastAsia="方正小标宋_GBK"/>
          <w:sz w:val="24"/>
          <w:szCs w:val="24"/>
          <w:lang w:val="en-US" w:eastAsia="zh-CN"/>
        </w:rPr>
        <w:t>商务</w:t>
      </w:r>
      <w:r>
        <w:rPr>
          <w:rFonts w:hint="eastAsia" w:ascii="方正小标宋_GBK" w:eastAsia="方正小标宋_GBK"/>
          <w:sz w:val="24"/>
          <w:szCs w:val="24"/>
        </w:rPr>
        <w:t>需求</w:t>
      </w:r>
      <w:r>
        <w:rPr>
          <w:sz w:val="24"/>
          <w:szCs w:val="24"/>
        </w:rPr>
        <w:tab/>
      </w:r>
      <w:r>
        <w:rPr>
          <w:sz w:val="24"/>
          <w:szCs w:val="24"/>
        </w:rPr>
        <w:fldChar w:fldCharType="begin"/>
      </w:r>
      <w:r>
        <w:rPr>
          <w:sz w:val="24"/>
          <w:szCs w:val="24"/>
        </w:rPr>
        <w:instrText xml:space="preserve"> PAGEREF _Toc16936 \h </w:instrText>
      </w:r>
      <w:r>
        <w:rPr>
          <w:sz w:val="24"/>
          <w:szCs w:val="24"/>
        </w:rPr>
        <w:fldChar w:fldCharType="separate"/>
      </w:r>
      <w:r>
        <w:rPr>
          <w:sz w:val="24"/>
          <w:szCs w:val="24"/>
        </w:rPr>
        <w:t>6</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_Toc11306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第四篇  采购程序、评定成交的标准、无效谈判及采购终止</w:t>
      </w:r>
      <w:r>
        <w:rPr>
          <w:sz w:val="24"/>
          <w:szCs w:val="24"/>
        </w:rPr>
        <w:tab/>
      </w:r>
      <w:r>
        <w:rPr>
          <w:sz w:val="24"/>
          <w:szCs w:val="24"/>
        </w:rPr>
        <w:fldChar w:fldCharType="begin"/>
      </w:r>
      <w:r>
        <w:rPr>
          <w:sz w:val="24"/>
          <w:szCs w:val="24"/>
        </w:rPr>
        <w:instrText xml:space="preserve"> PAGEREF _Toc11306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_Toc8979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一、采购程序</w:t>
      </w:r>
      <w:r>
        <w:rPr>
          <w:sz w:val="24"/>
          <w:szCs w:val="24"/>
        </w:rPr>
        <w:tab/>
      </w:r>
      <w:r>
        <w:rPr>
          <w:sz w:val="24"/>
          <w:szCs w:val="24"/>
        </w:rPr>
        <w:fldChar w:fldCharType="begin"/>
      </w:r>
      <w:r>
        <w:rPr>
          <w:sz w:val="24"/>
          <w:szCs w:val="24"/>
        </w:rPr>
        <w:instrText xml:space="preserve"> PAGEREF _Toc8979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_Toc18428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二、评定成交的标准</w:t>
      </w:r>
      <w:r>
        <w:rPr>
          <w:sz w:val="24"/>
          <w:szCs w:val="24"/>
        </w:rPr>
        <w:tab/>
      </w:r>
      <w:r>
        <w:rPr>
          <w:sz w:val="24"/>
          <w:szCs w:val="24"/>
        </w:rPr>
        <w:fldChar w:fldCharType="begin"/>
      </w:r>
      <w:r>
        <w:rPr>
          <w:sz w:val="24"/>
          <w:szCs w:val="24"/>
        </w:rPr>
        <w:instrText xml:space="preserve"> PAGEREF _Toc18428 \h </w:instrText>
      </w:r>
      <w:r>
        <w:rPr>
          <w:sz w:val="24"/>
          <w:szCs w:val="24"/>
        </w:rPr>
        <w:fldChar w:fldCharType="separate"/>
      </w:r>
      <w:r>
        <w:rPr>
          <w:sz w:val="24"/>
          <w:szCs w:val="24"/>
        </w:rPr>
        <w:t>9</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三、无效谈判</w:t>
      </w:r>
      <w:r>
        <w:rPr>
          <w:sz w:val="24"/>
          <w:szCs w:val="24"/>
        </w:rPr>
        <w:tab/>
      </w:r>
      <w:r>
        <w:rPr>
          <w:sz w:val="24"/>
          <w:szCs w:val="24"/>
        </w:rPr>
        <w:fldChar w:fldCharType="begin"/>
      </w:r>
      <w:r>
        <w:rPr>
          <w:sz w:val="24"/>
          <w:szCs w:val="24"/>
        </w:rPr>
        <w:instrText xml:space="preserve"> PAGEREF _Toc779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四、采购终止</w:t>
      </w:r>
      <w:r>
        <w:rPr>
          <w:sz w:val="24"/>
          <w:szCs w:val="24"/>
        </w:rPr>
        <w:tab/>
      </w:r>
      <w:r>
        <w:rPr>
          <w:sz w:val="24"/>
          <w:szCs w:val="24"/>
        </w:rPr>
        <w:fldChar w:fldCharType="begin"/>
      </w:r>
      <w:r>
        <w:rPr>
          <w:sz w:val="24"/>
          <w:szCs w:val="24"/>
        </w:rPr>
        <w:instrText xml:space="preserve"> PAGEREF _Toc16495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_Toc14526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 xml:space="preserve">第五篇  </w:t>
      </w:r>
      <w:r>
        <w:rPr>
          <w:rFonts w:hint="eastAsia" w:ascii="方正小标宋_GBK" w:eastAsia="方正小标宋_GBK"/>
          <w:sz w:val="24"/>
          <w:szCs w:val="24"/>
          <w:lang w:eastAsia="zh-CN"/>
        </w:rPr>
        <w:t>投标人</w:t>
      </w:r>
      <w:r>
        <w:rPr>
          <w:rFonts w:hint="eastAsia" w:ascii="方正小标宋_GBK" w:eastAsia="方正小标宋_GBK"/>
          <w:sz w:val="24"/>
          <w:szCs w:val="24"/>
        </w:rPr>
        <w:t>须知</w:t>
      </w:r>
      <w:r>
        <w:rPr>
          <w:sz w:val="24"/>
          <w:szCs w:val="24"/>
        </w:rPr>
        <w:tab/>
      </w:r>
      <w:r>
        <w:rPr>
          <w:sz w:val="24"/>
          <w:szCs w:val="24"/>
        </w:rPr>
        <w:fldChar w:fldCharType="begin"/>
      </w:r>
      <w:r>
        <w:rPr>
          <w:sz w:val="24"/>
          <w:szCs w:val="24"/>
        </w:rPr>
        <w:instrText xml:space="preserve"> PAGEREF _Toc14526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_Toc2508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一、谈判费用</w:t>
      </w:r>
      <w:r>
        <w:rPr>
          <w:sz w:val="24"/>
          <w:szCs w:val="24"/>
        </w:rPr>
        <w:tab/>
      </w:r>
      <w:r>
        <w:rPr>
          <w:sz w:val="24"/>
          <w:szCs w:val="24"/>
        </w:rPr>
        <w:fldChar w:fldCharType="begin"/>
      </w:r>
      <w:r>
        <w:rPr>
          <w:sz w:val="24"/>
          <w:szCs w:val="24"/>
        </w:rPr>
        <w:instrText xml:space="preserve"> PAGEREF _Toc2508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_Toc18014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二、竞争性谈判文件</w:t>
      </w:r>
      <w:r>
        <w:rPr>
          <w:sz w:val="24"/>
          <w:szCs w:val="24"/>
        </w:rPr>
        <w:tab/>
      </w:r>
      <w:r>
        <w:rPr>
          <w:sz w:val="24"/>
          <w:szCs w:val="24"/>
        </w:rPr>
        <w:fldChar w:fldCharType="begin"/>
      </w:r>
      <w:r>
        <w:rPr>
          <w:sz w:val="24"/>
          <w:szCs w:val="24"/>
        </w:rPr>
        <w:instrText xml:space="preserve"> PAGEREF _Toc18014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_Toc10338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三、谈判要求</w:t>
      </w:r>
      <w:r>
        <w:rPr>
          <w:sz w:val="24"/>
          <w:szCs w:val="24"/>
        </w:rPr>
        <w:tab/>
      </w:r>
      <w:r>
        <w:rPr>
          <w:sz w:val="24"/>
          <w:szCs w:val="24"/>
        </w:rPr>
        <w:fldChar w:fldCharType="begin"/>
      </w:r>
      <w:r>
        <w:rPr>
          <w:sz w:val="24"/>
          <w:szCs w:val="24"/>
        </w:rPr>
        <w:instrText xml:space="preserve"> PAGEREF _Toc10338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的确定和变更</w:t>
      </w:r>
      <w:r>
        <w:rPr>
          <w:sz w:val="24"/>
          <w:szCs w:val="24"/>
        </w:rPr>
        <w:tab/>
      </w:r>
      <w:r>
        <w:rPr>
          <w:sz w:val="24"/>
          <w:szCs w:val="24"/>
        </w:rPr>
        <w:fldChar w:fldCharType="begin"/>
      </w:r>
      <w:r>
        <w:rPr>
          <w:sz w:val="24"/>
          <w:szCs w:val="24"/>
        </w:rPr>
        <w:instrText xml:space="preserve"> PAGEREF _Toc1627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_Toc16083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_Toc16083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_Toc17142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_Toc17142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_Toc32729 \h </w:instrText>
      </w:r>
      <w:r>
        <w:rPr>
          <w:sz w:val="24"/>
          <w:szCs w:val="24"/>
        </w:rPr>
        <w:fldChar w:fldCharType="separate"/>
      </w:r>
      <w:r>
        <w:rPr>
          <w:sz w:val="24"/>
          <w:szCs w:val="24"/>
        </w:rPr>
        <w:t>14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_Toc14203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w:t>
      </w:r>
      <w:r>
        <w:rPr>
          <w:rFonts w:hint="eastAsia" w:ascii="方正小标宋_GBK" w:eastAsia="方正小标宋_GBK"/>
          <w:sz w:val="24"/>
          <w:szCs w:val="24"/>
          <w:lang w:val="en-US" w:eastAsia="zh-CN"/>
        </w:rPr>
        <w:t>六</w:t>
      </w:r>
      <w:r>
        <w:rPr>
          <w:rFonts w:hint="eastAsia" w:ascii="方正小标宋_GBK" w:eastAsia="方正小标宋_GBK"/>
          <w:sz w:val="24"/>
          <w:szCs w:val="24"/>
        </w:rPr>
        <w:t>篇  响应文件格式要求</w:t>
      </w:r>
      <w:r>
        <w:rPr>
          <w:sz w:val="24"/>
          <w:szCs w:val="24"/>
        </w:rPr>
        <w:tab/>
      </w:r>
      <w:r>
        <w:rPr>
          <w:sz w:val="24"/>
          <w:szCs w:val="24"/>
        </w:rPr>
        <w:fldChar w:fldCharType="begin"/>
      </w:r>
      <w:r>
        <w:rPr>
          <w:sz w:val="24"/>
          <w:szCs w:val="24"/>
        </w:rPr>
        <w:instrText xml:space="preserve"> PAGEREF _Toc14203 \h </w:instrText>
      </w:r>
      <w:r>
        <w:rPr>
          <w:sz w:val="24"/>
          <w:szCs w:val="24"/>
        </w:rPr>
        <w:fldChar w:fldCharType="separate"/>
      </w:r>
      <w:r>
        <w:rPr>
          <w:sz w:val="24"/>
          <w:szCs w:val="24"/>
        </w:rPr>
        <w:t>15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_Toc10023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_Toc10023 \h </w:instrText>
      </w:r>
      <w:r>
        <w:rPr>
          <w:sz w:val="24"/>
          <w:szCs w:val="24"/>
        </w:rPr>
        <w:fldChar w:fldCharType="separate"/>
      </w:r>
      <w:r>
        <w:rPr>
          <w:sz w:val="24"/>
          <w:szCs w:val="24"/>
        </w:rPr>
        <w:t>17</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_Toc31312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二、技术（质量）部分</w:t>
      </w:r>
      <w:r>
        <w:rPr>
          <w:sz w:val="24"/>
          <w:szCs w:val="24"/>
        </w:rPr>
        <w:tab/>
      </w:r>
      <w:r>
        <w:rPr>
          <w:sz w:val="24"/>
          <w:szCs w:val="24"/>
        </w:rPr>
        <w:fldChar w:fldCharType="begin"/>
      </w:r>
      <w:r>
        <w:rPr>
          <w:sz w:val="24"/>
          <w:szCs w:val="24"/>
        </w:rPr>
        <w:instrText xml:space="preserve"> PAGEREF _Toc31312 \h </w:instrText>
      </w:r>
      <w:r>
        <w:rPr>
          <w:sz w:val="24"/>
          <w:szCs w:val="24"/>
        </w:rPr>
        <w:fldChar w:fldCharType="separate"/>
      </w:r>
      <w:r>
        <w:rPr>
          <w:sz w:val="24"/>
          <w:szCs w:val="24"/>
        </w:rPr>
        <w:t>20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_Toc26038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_Toc26038 \h </w:instrText>
      </w:r>
      <w:r>
        <w:rPr>
          <w:sz w:val="24"/>
          <w:szCs w:val="24"/>
        </w:rPr>
        <w:fldChar w:fldCharType="separate"/>
      </w:r>
      <w:r>
        <w:rPr>
          <w:sz w:val="24"/>
          <w:szCs w:val="24"/>
        </w:rPr>
        <w:t>22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_Toc6614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四、资格条件及其他</w:t>
      </w:r>
      <w:r>
        <w:rPr>
          <w:sz w:val="24"/>
          <w:szCs w:val="24"/>
        </w:rPr>
        <w:tab/>
      </w:r>
      <w:r>
        <w:rPr>
          <w:sz w:val="24"/>
          <w:szCs w:val="24"/>
        </w:rPr>
        <w:fldChar w:fldCharType="begin"/>
      </w:r>
      <w:r>
        <w:rPr>
          <w:sz w:val="24"/>
          <w:szCs w:val="24"/>
        </w:rPr>
        <w:instrText xml:space="preserve"> PAGEREF _Toc6614 \h </w:instrText>
      </w:r>
      <w:r>
        <w:rPr>
          <w:sz w:val="24"/>
          <w:szCs w:val="24"/>
        </w:rPr>
        <w:fldChar w:fldCharType="separate"/>
      </w:r>
      <w:r>
        <w:rPr>
          <w:sz w:val="24"/>
          <w:szCs w:val="24"/>
        </w:rPr>
        <w:t>24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_Toc23859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_Toc23859 \h </w:instrText>
      </w:r>
      <w:r>
        <w:rPr>
          <w:sz w:val="24"/>
          <w:szCs w:val="24"/>
        </w:rPr>
        <w:fldChar w:fldCharType="separate"/>
      </w:r>
      <w:r>
        <w:rPr>
          <w:sz w:val="24"/>
          <w:szCs w:val="24"/>
        </w:rPr>
        <w:t>30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rPr>
          <w:rFonts w:ascii="方正仿宋_GBK" w:hAnsi="Calibri" w:eastAsia="方正仿宋_GBK"/>
          <w:sz w:val="18"/>
          <w:szCs w:val="22"/>
        </w:rPr>
        <w:sectPr>
          <w:footerReference r:id="rId7" w:type="default"/>
          <w:pgSz w:w="11907" w:h="16840"/>
          <w:pgMar w:top="1134" w:right="1191" w:bottom="1134" w:left="1304" w:header="851" w:footer="992" w:gutter="0"/>
          <w:pgNumType w:fmt="decimal"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0" w:name="_Toc11641050"/>
      <w:bookmarkStart w:id="1" w:name="_Toc12789052"/>
      <w:bookmarkStart w:id="2" w:name="_Toc24173"/>
      <w:bookmarkStart w:id="3" w:name="_Toc24410"/>
      <w:bookmarkStart w:id="4" w:name="_Toc65660329"/>
      <w:bookmarkStart w:id="5" w:name="_Toc15726"/>
      <w:r>
        <w:rPr>
          <w:rFonts w:hint="eastAsia" w:ascii="方正仿宋_GBK" w:hAnsi="Times New Roman" w:eastAsia="方正仿宋_GBK" w:cs="Times New Roman"/>
          <w:b/>
          <w:sz w:val="44"/>
          <w:szCs w:val="20"/>
          <w:lang w:val="en-US" w:eastAsia="zh-CN"/>
        </w:rPr>
        <w:t>第一篇  竞争性谈判邀请书</w:t>
      </w:r>
      <w:bookmarkEnd w:id="0"/>
      <w:bookmarkEnd w:id="1"/>
      <w:bookmarkEnd w:id="2"/>
      <w:bookmarkEnd w:id="3"/>
      <w:bookmarkEnd w:id="4"/>
      <w:bookmarkEnd w:id="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重庆医科大学附属儿童医院</w:t>
      </w:r>
      <w:r>
        <w:rPr>
          <w:rFonts w:hint="eastAsia" w:ascii="方正仿宋_GBK" w:hAnsi="宋体" w:eastAsia="方正仿宋_GBK"/>
          <w:sz w:val="24"/>
          <w:szCs w:val="24"/>
        </w:rPr>
        <w:t>对</w:t>
      </w:r>
      <w:r>
        <w:rPr>
          <w:rFonts w:hint="eastAsia" w:ascii="方正仿宋_GBK" w:hAnsi="宋体" w:eastAsia="方正仿宋_GBK"/>
          <w:sz w:val="24"/>
          <w:szCs w:val="24"/>
          <w:u w:val="single"/>
          <w:lang w:val="en-US" w:eastAsia="zh-CN"/>
        </w:rPr>
        <w:t>两江院区工作区更换钢质防火门</w:t>
      </w:r>
      <w:r>
        <w:rPr>
          <w:rFonts w:hint="eastAsia" w:ascii="方正仿宋_GBK" w:hAnsi="宋体" w:eastAsia="方正仿宋_GBK"/>
          <w:sz w:val="24"/>
          <w:szCs w:val="24"/>
        </w:rPr>
        <w:t>项目进行竞争性谈判采购。欢迎有资格的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前来参加谈判。</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6" w:name="_Toc7758"/>
      <w:bookmarkStart w:id="7" w:name="_Toc317775175"/>
      <w:bookmarkStart w:id="8" w:name="_Toc12224"/>
      <w:bookmarkStart w:id="9" w:name="_Toc313893526"/>
      <w:bookmarkStart w:id="10" w:name="_Toc65660330"/>
      <w:bookmarkStart w:id="11" w:name="_Toc18246"/>
      <w:r>
        <w:rPr>
          <w:rFonts w:hint="eastAsia" w:ascii="方正仿宋_GBK" w:hAnsi="宋体" w:eastAsia="方正仿宋_GBK"/>
          <w:sz w:val="24"/>
        </w:rPr>
        <w:t>一、竞争性谈判内容</w:t>
      </w:r>
      <w:bookmarkEnd w:id="6"/>
      <w:bookmarkEnd w:id="7"/>
      <w:bookmarkEnd w:id="8"/>
      <w:bookmarkEnd w:id="9"/>
      <w:bookmarkEnd w:id="10"/>
      <w:bookmarkEnd w:id="11"/>
    </w:p>
    <w:tbl>
      <w:tblPr>
        <w:tblStyle w:val="57"/>
        <w:tblW w:w="43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3"/>
        <w:gridCol w:w="2578"/>
        <w:gridCol w:w="1345"/>
        <w:gridCol w:w="1154"/>
        <w:gridCol w:w="1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17" w:type="pct"/>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项目编号</w:t>
            </w:r>
          </w:p>
        </w:tc>
        <w:tc>
          <w:tcPr>
            <w:tcW w:w="1503"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项目</w:t>
            </w:r>
            <w:r>
              <w:rPr>
                <w:rFonts w:hint="eastAsia" w:ascii="方正仿宋_GBK" w:hAnsi="宋体" w:eastAsia="方正仿宋_GBK" w:cs="宋体"/>
                <w:b/>
                <w:bCs/>
                <w:kern w:val="0"/>
                <w:sz w:val="21"/>
                <w:szCs w:val="24"/>
              </w:rPr>
              <w:t>名称</w:t>
            </w:r>
          </w:p>
        </w:tc>
        <w:tc>
          <w:tcPr>
            <w:tcW w:w="784" w:type="pct"/>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最高限价（万元）</w:t>
            </w:r>
          </w:p>
        </w:tc>
        <w:tc>
          <w:tcPr>
            <w:tcW w:w="673"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保证金（元）</w:t>
            </w:r>
          </w:p>
        </w:tc>
        <w:tc>
          <w:tcPr>
            <w:tcW w:w="1120" w:type="pct"/>
            <w:tcBorders>
              <w:top w:val="single" w:color="auto" w:sz="4" w:space="0"/>
              <w:left w:val="single" w:color="auto" w:sz="4" w:space="0"/>
              <w:right w:val="single" w:color="auto" w:sz="4" w:space="0"/>
            </w:tcBorders>
            <w:noWrap w:val="0"/>
            <w:vAlign w:val="center"/>
          </w:tcPr>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1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4"/>
                <w:lang w:val="en-US" w:eastAsia="zh-CN"/>
              </w:rPr>
            </w:pPr>
            <w:bookmarkStart w:id="12" w:name="_Hlk344477914"/>
            <w:r>
              <w:rPr>
                <w:rFonts w:hint="eastAsia" w:ascii="方正仿宋_GBK" w:hAnsi="宋体" w:eastAsia="方正仿宋_GBK" w:cs="宋体"/>
                <w:kern w:val="0"/>
                <w:sz w:val="21"/>
                <w:szCs w:val="24"/>
                <w:lang w:val="en-US" w:eastAsia="zh-CN"/>
              </w:rPr>
              <w:t>YBW230175</w:t>
            </w:r>
          </w:p>
        </w:tc>
        <w:tc>
          <w:tcPr>
            <w:tcW w:w="150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两江院区工作区更换钢质防火门</w:t>
            </w:r>
          </w:p>
        </w:tc>
        <w:tc>
          <w:tcPr>
            <w:tcW w:w="7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19</w:t>
            </w:r>
          </w:p>
        </w:tc>
        <w:tc>
          <w:tcPr>
            <w:tcW w:w="67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120"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bookmarkEnd w:id="12"/>
    </w:tbl>
    <w:p>
      <w:pPr>
        <w:pStyle w:val="4"/>
        <w:pageBreakBefore w:val="0"/>
        <w:widowControl w:val="0"/>
        <w:kinsoku/>
        <w:wordWrap/>
        <w:overflowPunct/>
        <w:topLinePunct w:val="0"/>
        <w:autoSpaceDE/>
        <w:autoSpaceDN/>
        <w:bidi w:val="0"/>
        <w:adjustRightInd w:val="0"/>
        <w:snapToGrid w:val="0"/>
        <w:spacing w:before="0" w:after="0" w:line="380" w:lineRule="exact"/>
        <w:ind w:firstLine="480" w:firstLineChars="200"/>
        <w:textAlignment w:val="auto"/>
        <w:rPr>
          <w:rFonts w:hint="eastAsia" w:ascii="方正仿宋_GBK" w:hAnsi="宋体" w:eastAsia="方正仿宋_GBK"/>
          <w:sz w:val="24"/>
        </w:rPr>
      </w:pPr>
      <w:bookmarkStart w:id="13" w:name="_Toc18548"/>
      <w:bookmarkStart w:id="14" w:name="_Toc65660332"/>
      <w:bookmarkStart w:id="15" w:name="_Toc13541"/>
      <w:bookmarkStart w:id="16" w:name="_Toc64731996"/>
      <w:bookmarkStart w:id="17" w:name="_Toc6697"/>
      <w:bookmarkStart w:id="18" w:name="_Toc373860293"/>
      <w:bookmarkStart w:id="19" w:name="_Toc317775178"/>
      <w:r>
        <w:rPr>
          <w:rFonts w:hint="eastAsia" w:ascii="方正仿宋_GBK" w:hAnsi="宋体" w:eastAsia="方正仿宋_GBK"/>
          <w:sz w:val="24"/>
          <w:lang w:val="en-US" w:eastAsia="zh-CN"/>
        </w:rPr>
        <w:t>二</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资格条件</w:t>
      </w:r>
      <w:bookmarkEnd w:id="13"/>
      <w:bookmarkEnd w:id="14"/>
      <w:bookmarkEnd w:id="15"/>
      <w:bookmarkEnd w:id="16"/>
      <w:bookmarkEnd w:id="17"/>
    </w:p>
    <w:p>
      <w:pPr>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（二）本项目的特定资格要求：</w:t>
      </w:r>
      <w:r>
        <w:rPr>
          <w:rFonts w:hint="eastAsia" w:ascii="方正仿宋_GBK" w:hAnsi="宋体" w:eastAsia="方正仿宋_GBK" w:cs="Times New Roman"/>
          <w:sz w:val="24"/>
          <w:szCs w:val="24"/>
          <w:lang w:val="en-US" w:eastAsia="zh-CN"/>
        </w:rPr>
        <w:t>无</w:t>
      </w:r>
    </w:p>
    <w:p>
      <w:pPr>
        <w:pStyle w:val="4"/>
        <w:pageBreakBefore w:val="0"/>
        <w:widowControl w:val="0"/>
        <w:kinsoku/>
        <w:wordWrap/>
        <w:overflowPunct/>
        <w:topLinePunct w:val="0"/>
        <w:autoSpaceDE/>
        <w:autoSpaceDN/>
        <w:bidi w:val="0"/>
        <w:adjustRightInd w:val="0"/>
        <w:snapToGrid w:val="0"/>
        <w:spacing w:before="0" w:after="0" w:line="380" w:lineRule="exact"/>
        <w:ind w:firstLine="480" w:firstLineChars="200"/>
        <w:textAlignment w:val="auto"/>
        <w:rPr>
          <w:rFonts w:hint="eastAsia" w:ascii="方正仿宋_GBK" w:hAnsi="宋体" w:eastAsia="方正仿宋_GBK"/>
          <w:sz w:val="24"/>
        </w:rPr>
      </w:pPr>
      <w:bookmarkStart w:id="20" w:name="_Toc65660333"/>
      <w:bookmarkStart w:id="21" w:name="_Toc1386"/>
      <w:bookmarkStart w:id="22" w:name="_Toc8977"/>
      <w:bookmarkStart w:id="23" w:name="_Toc11908"/>
      <w:r>
        <w:rPr>
          <w:rFonts w:hint="eastAsia" w:ascii="方正仿宋_GBK" w:hAnsi="宋体" w:eastAsia="方正仿宋_GBK"/>
          <w:sz w:val="24"/>
          <w:lang w:val="en-US" w:eastAsia="zh-CN"/>
        </w:rPr>
        <w:t>三</w:t>
      </w:r>
      <w:r>
        <w:rPr>
          <w:rFonts w:hint="eastAsia" w:ascii="方正仿宋_GBK" w:hAnsi="宋体" w:eastAsia="方正仿宋_GBK"/>
          <w:sz w:val="24"/>
        </w:rPr>
        <w:t>、谈判有关说明</w:t>
      </w:r>
      <w:bookmarkEnd w:id="18"/>
      <w:bookmarkEnd w:id="20"/>
      <w:bookmarkEnd w:id="21"/>
      <w:bookmarkEnd w:id="22"/>
      <w:bookmarkEnd w:id="23"/>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进行注册和报名</w:t>
      </w:r>
      <w:r>
        <w:rPr>
          <w:rFonts w:hint="eastAsia" w:ascii="方正仿宋_GBK" w:hAnsi="宋体" w:eastAsia="方正仿宋_GBK"/>
          <w:sz w:val="24"/>
          <w:szCs w:val="24"/>
        </w:rPr>
        <w:t>。</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rPr>
        <w:t>（二）凡有意参加谈判的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下载本项目竞争性谈判文件以及</w:t>
      </w:r>
      <w:r>
        <w:rPr>
          <w:rFonts w:hint="eastAsia" w:ascii="方正仿宋_GBK" w:hAnsi="宋体" w:eastAsia="方正仿宋_GBK"/>
          <w:sz w:val="24"/>
          <w:szCs w:val="24"/>
          <w:lang w:val="en-US" w:eastAsia="zh-CN"/>
        </w:rPr>
        <w:t>其他</w:t>
      </w:r>
      <w:r>
        <w:rPr>
          <w:rFonts w:hint="eastAsia" w:ascii="方正仿宋_GBK" w:hAnsi="宋体" w:eastAsia="方正仿宋_GBK"/>
          <w:sz w:val="24"/>
          <w:szCs w:val="24"/>
        </w:rPr>
        <w:t>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下载与否，均视为已知晓所有谈判实质性要求内容。</w:t>
      </w:r>
    </w:p>
    <w:p>
      <w:pPr>
        <w:pageBreakBefore w:val="0"/>
        <w:widowControl w:val="0"/>
        <w:kinsoku/>
        <w:wordWrap/>
        <w:overflowPunct/>
        <w:topLinePunct w:val="0"/>
        <w:autoSpaceDE/>
        <w:autoSpaceDN/>
        <w:bidi w:val="0"/>
        <w:spacing w:line="380" w:lineRule="exact"/>
        <w:ind w:firstLine="480" w:firstLineChars="200"/>
        <w:textAlignment w:val="auto"/>
        <w:rPr>
          <w:rFonts w:hint="default" w:ascii="方正仿宋_GBK" w:hAnsi="宋体" w:eastAsia="方正仿宋_GBK"/>
          <w:color w:val="FF0000"/>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投标文件后才视为完成项目报名；当投标人的电子版投标文件与现场提交的纸质版投标文件出现内容上的出入时，以提交的纸质版投标文件作为谈判依据。</w:t>
      </w:r>
    </w:p>
    <w:p>
      <w:pPr>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）竞争性谈判公告期限</w:t>
      </w:r>
      <w:r>
        <w:rPr>
          <w:rFonts w:hint="eastAsia" w:ascii="方正仿宋_GBK" w:hAnsi="宋体" w:eastAsia="方正仿宋_GBK"/>
          <w:sz w:val="24"/>
          <w:szCs w:val="24"/>
          <w:lang w:val="en-US" w:eastAsia="zh-CN"/>
        </w:rPr>
        <w:t>及报名截止期限</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谈判地点：</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）谈判开始时间：</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keepNext w:val="0"/>
        <w:keepLines w:val="0"/>
        <w:pageBreakBefore w:val="0"/>
        <w:widowControl w:val="0"/>
        <w:tabs>
          <w:tab w:val="left" w:pos="1635"/>
        </w:tabs>
        <w:kinsoku/>
        <w:wordWrap/>
        <w:overflowPunct/>
        <w:topLinePunct w:val="0"/>
        <w:autoSpaceDE/>
        <w:autoSpaceDN/>
        <w:bidi w:val="0"/>
        <w:adjustRightInd/>
        <w:snapToGrid/>
        <w:spacing w:line="380" w:lineRule="exact"/>
        <w:ind w:firstLine="480" w:firstLineChars="200"/>
        <w:textAlignment w:val="auto"/>
        <w:outlineLvl w:val="1"/>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以上</w:t>
      </w:r>
      <w:r>
        <w:rPr>
          <w:rFonts w:hint="eastAsia" w:ascii="方正仿宋_GBK" w:hAnsi="宋体" w:eastAsia="方正仿宋_GBK" w:cs="Times New Roman"/>
          <w:sz w:val="24"/>
          <w:szCs w:val="24"/>
          <w:lang w:val="en-US" w:eastAsia="zh-CN"/>
        </w:rPr>
        <w:t>内容若在挂网公示后有所变更，投标人注册手机号码将会收到相关短信通知，请及时查收。</w:t>
      </w:r>
    </w:p>
    <w:bookmarkEnd w:id="19"/>
    <w:p>
      <w:pPr>
        <w:pStyle w:val="4"/>
        <w:pageBreakBefore w:val="0"/>
        <w:widowControl w:val="0"/>
        <w:kinsoku/>
        <w:wordWrap/>
        <w:overflowPunct/>
        <w:topLinePunct w:val="0"/>
        <w:autoSpaceDE/>
        <w:autoSpaceDN/>
        <w:bidi w:val="0"/>
        <w:adjustRightInd w:val="0"/>
        <w:snapToGrid w:val="0"/>
        <w:spacing w:before="0" w:after="0" w:line="380" w:lineRule="exact"/>
        <w:ind w:firstLine="480" w:firstLineChars="200"/>
        <w:textAlignment w:val="auto"/>
        <w:rPr>
          <w:rFonts w:hint="default" w:ascii="方正仿宋_GBK" w:hAnsi="宋体" w:eastAsia="方正仿宋_GBK"/>
          <w:color w:val="C00000"/>
          <w:sz w:val="24"/>
          <w:lang w:val="en-US" w:eastAsia="zh-CN"/>
        </w:rPr>
      </w:pPr>
      <w:bookmarkStart w:id="24" w:name="_Toc11956"/>
      <w:bookmarkStart w:id="25" w:name="_Toc6178"/>
      <w:bookmarkStart w:id="26" w:name="_Toc373860294"/>
      <w:bookmarkStart w:id="27" w:name="_Toc65660334"/>
      <w:bookmarkStart w:id="28" w:name="_Toc24355"/>
      <w:bookmarkStart w:id="29" w:name="_Toc525047161"/>
      <w:bookmarkStart w:id="30" w:name="_Toc521053053"/>
      <w:r>
        <w:rPr>
          <w:rFonts w:hint="eastAsia" w:ascii="方正仿宋_GBK" w:hAnsi="宋体" w:eastAsia="方正仿宋_GBK"/>
          <w:sz w:val="24"/>
          <w:lang w:val="en-US" w:eastAsia="zh-CN"/>
        </w:rPr>
        <w:t>四</w:t>
      </w:r>
      <w:r>
        <w:rPr>
          <w:rFonts w:hint="eastAsia" w:ascii="方正仿宋_GBK" w:hAnsi="宋体" w:eastAsia="方正仿宋_GBK"/>
          <w:sz w:val="24"/>
        </w:rPr>
        <w:t>、保证金</w:t>
      </w:r>
      <w:bookmarkEnd w:id="24"/>
      <w:bookmarkEnd w:id="25"/>
      <w:bookmarkEnd w:id="26"/>
      <w:bookmarkEnd w:id="27"/>
      <w:bookmarkEnd w:id="28"/>
      <w:bookmarkEnd w:id="29"/>
      <w:bookmarkEnd w:id="30"/>
    </w:p>
    <w:p>
      <w:pPr>
        <w:pageBreakBefore w:val="0"/>
        <w:widowControl w:val="0"/>
        <w:kinsoku/>
        <w:wordWrap/>
        <w:overflowPunct/>
        <w:topLinePunct w:val="0"/>
        <w:autoSpaceDE/>
        <w:autoSpaceDN/>
        <w:bidi w:val="0"/>
        <w:snapToGrid w:val="0"/>
        <w:spacing w:line="380" w:lineRule="exact"/>
        <w:ind w:firstLine="480" w:firstLineChars="200"/>
        <w:textAlignment w:val="auto"/>
        <w:outlineLvl w:val="2"/>
        <w:rPr>
          <w:rFonts w:hint="eastAsia" w:ascii="方正仿宋_GBK" w:hAnsi="宋体" w:eastAsia="方正仿宋_GBK"/>
          <w:sz w:val="24"/>
          <w:szCs w:val="24"/>
        </w:rPr>
      </w:pPr>
      <w:r>
        <w:rPr>
          <w:rFonts w:hint="eastAsia" w:ascii="方正仿宋_GBK" w:hAnsi="宋体" w:eastAsia="方正仿宋_GBK"/>
          <w:sz w:val="24"/>
          <w:szCs w:val="24"/>
        </w:rPr>
        <w:t>（一）保证金递交</w:t>
      </w:r>
    </w:p>
    <w:p>
      <w:pPr>
        <w:pStyle w:val="33"/>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应足额交纳保证金（保证金金额详见本篇，一、竞争性谈判内容），并</w:t>
      </w:r>
      <w:r>
        <w:rPr>
          <w:rFonts w:hint="eastAsia" w:ascii="方正仿宋_GBK" w:hAnsi="宋体" w:eastAsia="方正仿宋_GBK"/>
          <w:sz w:val="24"/>
          <w:szCs w:val="24"/>
          <w:lang w:val="en-US" w:eastAsia="zh-CN"/>
        </w:rPr>
        <w:t>通过银行转账的方式直接转入重庆医科大学附属儿童医院对公账户</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（单位：重庆医科大学附属儿童医院，开户行：中国建设银行股份有限公司重庆渝中区观音岩支行，账号：50050101380000000168），并备注项目编号、项目名称（例：YXX220001服务器项目投标保证金）。</w:t>
      </w:r>
    </w:p>
    <w:p>
      <w:pPr>
        <w:pStyle w:val="33"/>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2.保证金须在响应文件上传前缴纳，并上传缴纳凭据至重庆医科大学附属儿童医院电子招投标平台。</w:t>
      </w:r>
    </w:p>
    <w:p>
      <w:pPr>
        <w:pStyle w:val="33"/>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pageBreakBefore w:val="0"/>
        <w:widowControl w:val="0"/>
        <w:kinsoku/>
        <w:wordWrap/>
        <w:overflowPunct/>
        <w:topLinePunct w:val="0"/>
        <w:autoSpaceDE/>
        <w:autoSpaceDN/>
        <w:bidi w:val="0"/>
        <w:snapToGrid w:val="0"/>
        <w:spacing w:line="380" w:lineRule="exact"/>
        <w:ind w:firstLine="360" w:firstLineChars="150"/>
        <w:textAlignment w:val="auto"/>
        <w:outlineLvl w:val="2"/>
        <w:rPr>
          <w:rFonts w:hint="eastAsia" w:ascii="方正仿宋_GBK" w:hAnsi="宋体" w:eastAsia="方正仿宋_GBK"/>
          <w:sz w:val="24"/>
          <w:szCs w:val="24"/>
        </w:rPr>
      </w:pPr>
      <w:r>
        <w:rPr>
          <w:rFonts w:hint="eastAsia" w:ascii="方正仿宋_GBK" w:hAnsi="宋体" w:eastAsia="方正仿宋_GBK"/>
          <w:sz w:val="24"/>
          <w:szCs w:val="24"/>
        </w:rPr>
        <w:t>（二）保证金退还方式</w:t>
      </w:r>
    </w:p>
    <w:p>
      <w:pPr>
        <w:pageBreakBefore w:val="0"/>
        <w:widowControl w:val="0"/>
        <w:kinsoku/>
        <w:wordWrap/>
        <w:overflowPunct/>
        <w:topLinePunct w:val="0"/>
        <w:autoSpaceDE/>
        <w:autoSpaceDN/>
        <w:bidi w:val="0"/>
        <w:snapToGrid w:val="0"/>
        <w:spacing w:line="380" w:lineRule="exact"/>
        <w:ind w:firstLine="480" w:firstLineChars="200"/>
        <w:textAlignment w:val="auto"/>
        <w:rPr>
          <w:rFonts w:ascii="方正仿宋_GBK" w:hAnsi="宋体" w:eastAsia="方正仿宋_GBK"/>
          <w:sz w:val="24"/>
          <w:szCs w:val="24"/>
        </w:rPr>
      </w:pPr>
      <w:bookmarkStart w:id="31" w:name="_Toc479668114"/>
      <w:bookmarkStart w:id="32" w:name="_Toc525047162"/>
      <w:bookmarkStart w:id="33" w:name="_Toc65660335"/>
      <w:bookmarkStart w:id="34" w:name="_Toc2945"/>
      <w:bookmarkStart w:id="35" w:name="_Toc4355"/>
      <w:bookmarkStart w:id="36" w:name="_Toc521053054"/>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的保证金，在成交通知书发放后45个日历日内退还至项目报名时所填写的投标单位对公账户。</w:t>
      </w:r>
    </w:p>
    <w:p>
      <w:pPr>
        <w:pageBreakBefore w:val="0"/>
        <w:widowControl w:val="0"/>
        <w:kinsoku/>
        <w:wordWrap/>
        <w:overflowPunct/>
        <w:topLinePunct w:val="0"/>
        <w:autoSpaceDE/>
        <w:autoSpaceDN/>
        <w:bidi w:val="0"/>
        <w:snapToGrid w:val="0"/>
        <w:spacing w:line="380" w:lineRule="exact"/>
        <w:ind w:firstLine="480" w:firstLineChars="200"/>
        <w:textAlignment w:val="auto"/>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w:t>
      </w:r>
      <w:r>
        <w:rPr>
          <w:rFonts w:hint="eastAsia" w:ascii="方正仿宋_GBK" w:hAnsi="宋体" w:eastAsia="方正仿宋_GBK"/>
          <w:sz w:val="24"/>
          <w:szCs w:val="24"/>
          <w:lang w:val="en-US" w:eastAsia="zh-CN"/>
        </w:rPr>
        <w:t>指定</w:t>
      </w:r>
      <w:r>
        <w:rPr>
          <w:rFonts w:hint="eastAsia" w:ascii="方正仿宋_GBK" w:hAnsi="宋体" w:eastAsia="方正仿宋_GBK"/>
          <w:sz w:val="24"/>
          <w:szCs w:val="24"/>
        </w:rPr>
        <w:t>的投标单位对公账户。</w:t>
      </w:r>
    </w:p>
    <w:p>
      <w:pPr>
        <w:pStyle w:val="4"/>
        <w:pageBreakBefore w:val="0"/>
        <w:widowControl w:val="0"/>
        <w:kinsoku/>
        <w:wordWrap/>
        <w:overflowPunct/>
        <w:topLinePunct w:val="0"/>
        <w:autoSpaceDE/>
        <w:autoSpaceDN/>
        <w:bidi w:val="0"/>
        <w:adjustRightInd w:val="0"/>
        <w:snapToGrid w:val="0"/>
        <w:spacing w:before="0" w:after="0" w:line="380" w:lineRule="exact"/>
        <w:ind w:firstLine="480" w:firstLineChars="200"/>
        <w:textAlignment w:val="auto"/>
        <w:rPr>
          <w:rFonts w:hint="eastAsia" w:ascii="方正仿宋_GBK" w:hAnsi="宋体" w:eastAsia="方正仿宋_GBK"/>
          <w:sz w:val="24"/>
        </w:rPr>
      </w:pPr>
      <w:bookmarkStart w:id="37" w:name="_Toc22784"/>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1"/>
      <w:bookmarkEnd w:id="32"/>
      <w:bookmarkEnd w:id="33"/>
      <w:bookmarkEnd w:id="34"/>
      <w:bookmarkEnd w:id="35"/>
      <w:bookmarkEnd w:id="36"/>
      <w:bookmarkStart w:id="38" w:name="_Toc16269"/>
      <w:bookmarkStart w:id="39" w:name="_Toc521053055"/>
      <w:bookmarkStart w:id="40" w:name="_Toc6563"/>
      <w:bookmarkStart w:id="41" w:name="_Toc65660336"/>
      <w:bookmarkStart w:id="42" w:name="_Toc525047163"/>
      <w:r>
        <w:rPr>
          <w:rFonts w:hint="eastAsia" w:ascii="方正仿宋_GBK" w:hAnsi="宋体" w:eastAsia="方正仿宋_GBK"/>
          <w:sz w:val="24"/>
        </w:rPr>
        <w:t>其它</w:t>
      </w:r>
      <w:bookmarkEnd w:id="37"/>
      <w:bookmarkEnd w:id="38"/>
      <w:bookmarkEnd w:id="39"/>
      <w:bookmarkEnd w:id="40"/>
      <w:bookmarkEnd w:id="41"/>
      <w:bookmarkEnd w:id="42"/>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（一）采购人所作出的一切书面通知、修改、补充说明、答疑等内容，都是采购文件不可分割的组成部分。</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投标人如对本邀标文件有任何实质性疑问，应当以书面形式向采购人提出质疑，并须将该质疑文件纸质版（须加盖提出质疑单位的公章确认）在投标截止时间前送达重庆医科大学附属儿童医院招标办公室，否则即视为完全放弃对本邀标文件的质疑权利。如采购人认为上述质疑有回复必要，将以书面形式将回复内容通知所有投标方。</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（三）投标人应仔细阅读和检查邀标文件的全部内容。如发现缺页或附件不全，应及时提出，以便补齐。如有疑问，请在投标截止日前向招标单位提出，超过此时间规定，招标单位不再受理对于邀标文件的疑问。</w:t>
      </w:r>
    </w:p>
    <w:p>
      <w:pPr>
        <w:pStyle w:val="4"/>
        <w:pageBreakBefore w:val="0"/>
        <w:widowControl w:val="0"/>
        <w:kinsoku/>
        <w:wordWrap/>
        <w:overflowPunct/>
        <w:topLinePunct w:val="0"/>
        <w:autoSpaceDE/>
        <w:autoSpaceDN/>
        <w:bidi w:val="0"/>
        <w:adjustRightInd w:val="0"/>
        <w:snapToGrid w:val="0"/>
        <w:spacing w:before="0" w:after="0" w:line="380" w:lineRule="exact"/>
        <w:ind w:firstLine="480" w:firstLineChars="200"/>
        <w:textAlignment w:val="auto"/>
        <w:rPr>
          <w:rFonts w:hint="eastAsia" w:ascii="方正仿宋_GBK" w:hAnsi="宋体" w:eastAsia="方正仿宋_GBK"/>
          <w:sz w:val="24"/>
        </w:rPr>
      </w:pPr>
      <w:bookmarkStart w:id="43" w:name="_Toc10415"/>
      <w:bookmarkStart w:id="44" w:name="_Toc65660337"/>
      <w:bookmarkStart w:id="45" w:name="_Toc521053056"/>
      <w:bookmarkStart w:id="46" w:name="_Toc525047164"/>
      <w:bookmarkStart w:id="47" w:name="_Toc2528"/>
      <w:bookmarkStart w:id="48" w:name="_Toc1733"/>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3"/>
      <w:bookmarkEnd w:id="44"/>
      <w:bookmarkEnd w:id="45"/>
      <w:bookmarkEnd w:id="46"/>
      <w:bookmarkEnd w:id="47"/>
      <w:bookmarkEnd w:id="48"/>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rPr>
        <w:t>联系人：</w:t>
      </w:r>
      <w:r>
        <w:rPr>
          <w:rFonts w:hint="eastAsia" w:ascii="方正仿宋_GBK" w:hAnsi="宋体" w:eastAsia="方正仿宋_GBK"/>
          <w:sz w:val="24"/>
          <w:szCs w:val="24"/>
          <w:lang w:val="en-US" w:eastAsia="zh-CN"/>
        </w:rPr>
        <w:t>招标办公室周老师</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rPr>
        <w:t>电  话：023-</w:t>
      </w:r>
      <w:r>
        <w:rPr>
          <w:rFonts w:hint="eastAsia" w:ascii="方正仿宋_GBK" w:hAnsi="宋体" w:eastAsia="方正仿宋_GBK"/>
          <w:sz w:val="24"/>
          <w:szCs w:val="24"/>
          <w:lang w:val="en-US" w:eastAsia="zh-CN"/>
        </w:rPr>
        <w:t>63632469</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邮  箱：zbb63633469@qq.com</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地  址：重庆市两江新区金渝大道20号重庆医科大学附属儿童医院两江院区科教楼630招标管理科办公室</w:t>
      </w:r>
    </w:p>
    <w:p>
      <w:pPr>
        <w:snapToGrid w:val="0"/>
        <w:spacing w:line="380" w:lineRule="exact"/>
        <w:ind w:firstLine="480" w:firstLineChars="200"/>
        <w:rPr>
          <w:rFonts w:hint="eastAsia" w:ascii="方正仿宋_GBK" w:hAnsi="宋体" w:eastAsia="方正仿宋_GBK"/>
          <w:sz w:val="24"/>
          <w:szCs w:val="24"/>
        </w:rPr>
        <w:sectPr>
          <w:pgSz w:w="11907" w:h="16840"/>
          <w:pgMar w:top="907" w:right="1134" w:bottom="907" w:left="1134" w:header="964" w:footer="992" w:gutter="0"/>
          <w:pgNumType w:fmt="decimal"/>
          <w:cols w:space="0" w:num="1"/>
          <w:rtlGutter w:val="0"/>
          <w:docGrid w:linePitch="312" w:charSpace="0"/>
        </w:sectPr>
      </w:pP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49" w:name="_Toc1292"/>
      <w:bookmarkStart w:id="50" w:name="_Toc25029"/>
      <w:bookmarkStart w:id="51" w:name="_Toc14516"/>
      <w:bookmarkStart w:id="52" w:name="_Toc65660338"/>
      <w:bookmarkStart w:id="53" w:name="_Toc102227313"/>
      <w:r>
        <w:rPr>
          <w:rFonts w:hint="eastAsia" w:ascii="方正仿宋_GBK" w:hAnsi="Times New Roman" w:eastAsia="方正仿宋_GBK" w:cs="Times New Roman"/>
          <w:b/>
          <w:sz w:val="44"/>
          <w:szCs w:val="20"/>
          <w:lang w:val="en-US" w:eastAsia="zh-CN"/>
        </w:rPr>
        <w:t>第二篇  技术（质量）需求</w:t>
      </w:r>
      <w:bookmarkEnd w:id="49"/>
      <w:bookmarkEnd w:id="50"/>
      <w:bookmarkEnd w:id="51"/>
      <w:bookmarkEnd w:id="5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54" w:name="_Toc2230"/>
      <w:bookmarkStart w:id="55" w:name="_Toc24129"/>
      <w:bookmarkStart w:id="56" w:name="_Toc65660339"/>
      <w:bookmarkStart w:id="57" w:name="_Toc26971"/>
      <w:r>
        <w:rPr>
          <w:rFonts w:hint="eastAsia" w:ascii="方正仿宋_GBK" w:hAnsi="宋体" w:eastAsia="方正仿宋_GBK"/>
          <w:sz w:val="24"/>
        </w:rPr>
        <w:t>一、项目一览表</w:t>
      </w:r>
      <w:bookmarkEnd w:id="54"/>
      <w:bookmarkEnd w:id="55"/>
      <w:bookmarkEnd w:id="56"/>
      <w:bookmarkEnd w:id="57"/>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8"/>
        <w:gridCol w:w="3976"/>
        <w:gridCol w:w="1563"/>
        <w:gridCol w:w="2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jc w:val="center"/>
              <w:rPr>
                <w:rFonts w:hint="eastAsia" w:ascii="方正仿宋_GBK" w:hAnsi="宋体" w:eastAsia="方正仿宋_GBK"/>
                <w:b/>
                <w:sz w:val="21"/>
                <w:szCs w:val="21"/>
              </w:rPr>
            </w:pPr>
            <w:bookmarkStart w:id="58" w:name="_Toc32119"/>
            <w:bookmarkStart w:id="59" w:name="_Toc65660340"/>
            <w:bookmarkStart w:id="60" w:name="_Toc11439"/>
            <w:bookmarkStart w:id="61" w:name="_Toc10723"/>
            <w:r>
              <w:rPr>
                <w:rFonts w:hint="eastAsia" w:ascii="方正仿宋_GBK" w:hAnsi="宋体" w:eastAsia="方正仿宋_GBK"/>
                <w:b/>
                <w:sz w:val="21"/>
                <w:szCs w:val="21"/>
              </w:rPr>
              <w:t>序号</w:t>
            </w:r>
          </w:p>
        </w:tc>
        <w:tc>
          <w:tcPr>
            <w:tcW w:w="3976"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产品名称（设备名称）</w:t>
            </w:r>
          </w:p>
        </w:tc>
        <w:tc>
          <w:tcPr>
            <w:tcW w:w="1563"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数量/单位</w:t>
            </w:r>
          </w:p>
        </w:tc>
        <w:tc>
          <w:tcPr>
            <w:tcW w:w="2168"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3976" w:type="dxa"/>
            <w:noWrap w:val="0"/>
            <w:vAlign w:val="center"/>
          </w:tcPr>
          <w:p>
            <w:pPr>
              <w:pStyle w:val="23"/>
              <w:spacing w:line="240" w:lineRule="auto"/>
              <w:ind w:left="0"/>
              <w:jc w:val="center"/>
              <w:outlineLvl w:val="0"/>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钢制防火门</w:t>
            </w:r>
          </w:p>
        </w:tc>
        <w:tc>
          <w:tcPr>
            <w:tcW w:w="1563" w:type="dxa"/>
            <w:noWrap w:val="0"/>
            <w:vAlign w:val="center"/>
          </w:tcPr>
          <w:p>
            <w:pPr>
              <w:pStyle w:val="23"/>
              <w:spacing w:line="240" w:lineRule="auto"/>
              <w:ind w:left="0"/>
              <w:jc w:val="center"/>
              <w:outlineLvl w:val="0"/>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42樘</w:t>
            </w:r>
          </w:p>
        </w:tc>
        <w:tc>
          <w:tcPr>
            <w:tcW w:w="2168" w:type="dxa"/>
            <w:noWrap w:val="0"/>
            <w:vAlign w:val="center"/>
          </w:tcPr>
          <w:p>
            <w:pPr>
              <w:rPr>
                <w:rFonts w:hint="eastAsia" w:ascii="方正仿宋_GBK" w:hAnsi="宋体" w:eastAsia="方正仿宋_GBK"/>
                <w:sz w:val="21"/>
                <w:szCs w:val="21"/>
              </w:rPr>
            </w:pPr>
          </w:p>
        </w:tc>
      </w:tr>
    </w:tbl>
    <w:p>
      <w:pPr>
        <w:pStyle w:val="4"/>
        <w:adjustRightInd w:val="0"/>
        <w:snapToGrid w:val="0"/>
        <w:spacing w:before="0" w:after="0"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sz w:val="24"/>
        </w:rPr>
        <w:t>二、技术规格及质量要求</w:t>
      </w:r>
      <w:bookmarkEnd w:id="58"/>
      <w:bookmarkEnd w:id="59"/>
      <w:bookmarkEnd w:id="60"/>
      <w:bookmarkEnd w:id="61"/>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（一）防火门技术概况：</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1.投标产品应为隔热甲级钢质防火门，参考品牌：美心、盼盼、大川、新新等国内知名品牌。</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2.防火门执行规范：GB12955-2008《防火门》、GB50877-2014《防火卷帘、防火门、防火窗施工及验收规范》等现行相关规范；</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3.各个位置的等级及规格参见建筑图，若清单与建筑图不一致时以建筑图为准；</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（二）防火门材质及表面工艺要求：</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1.门扇面板：采用0.8-1.5mm冷轧钢板；</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2.门框板：采用板1.2mm-2.0mm冷轧钢板；</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3.防火门表面处理：采用喷塑、热转印、PVC覆膜均可，但所投产品各类产品的表面处理必须一致，颜色根据现场原防火门颜色确定；</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4.防火门单侧合页不低于4副；</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5.需要焊接的区域须使用连续焊接工艺，焊接长度不得低于总长度的1/2，单个焊点焊接长度不得低于3cm。</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（三）闭门器要求：</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1.闭门器必须满足GA 93-2004 《防火门闭门器》的要求；</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2.防火门采用电动闭门器，电动闭门器及相关的防火门监控系统已纳入大楼消防工程，中标人必须配合大楼消防施工单位进行孔洞预留、线路预留、配合进行电动闭门器安装；</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3.常开防火门电动闭门器接线头长度预留不低于40cm,保证可以将线头接至模块接线盒；闭门器接线从门框中进出，门框外预留接线不低于40cm；</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4.常闭防火门闭门器及顺序器在本次招标范围内，要求投标人充分考虑本大楼防火门必须频繁使用的实际情况，选用质量优良、经久耐用的产品。</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（四）防火门拉手形式要求：</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default" w:ascii="方正仿宋_GBK" w:hAnsi="宋体" w:eastAsia="方正仿宋_GBK" w:cs="Times New Roman"/>
          <w:sz w:val="24"/>
          <w:szCs w:val="24"/>
          <w:lang w:val="en-US" w:eastAsia="zh-CN"/>
        </w:rPr>
        <w:drawing>
          <wp:anchor distT="0" distB="0" distL="0" distR="0" simplePos="0" relativeHeight="251661312" behindDoc="1" locked="0" layoutInCell="1" allowOverlap="1">
            <wp:simplePos x="0" y="0"/>
            <wp:positionH relativeFrom="column">
              <wp:posOffset>1028700</wp:posOffset>
            </wp:positionH>
            <wp:positionV relativeFrom="paragraph">
              <wp:posOffset>348615</wp:posOffset>
            </wp:positionV>
            <wp:extent cx="1066800" cy="1103630"/>
            <wp:effectExtent l="0" t="0" r="0" b="1270"/>
            <wp:wrapThrough wrapText="bothSides">
              <wp:wrapPolygon>
                <wp:start x="0" y="0"/>
                <wp:lineTo x="0" y="21252"/>
                <wp:lineTo x="21214" y="21252"/>
                <wp:lineTo x="21214" y="0"/>
                <wp:lineTo x="0" y="0"/>
              </wp:wrapPolygon>
            </wp:wrapThrough>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5" cstate="print"/>
                    <a:srcRect/>
                    <a:stretch>
                      <a:fillRect/>
                    </a:stretch>
                  </pic:blipFill>
                  <pic:spPr>
                    <a:xfrm>
                      <a:off x="0" y="0"/>
                      <a:ext cx="1066800" cy="1103630"/>
                    </a:xfrm>
                    <a:prstGeom prst="rect">
                      <a:avLst/>
                    </a:prstGeom>
                    <a:noFill/>
                    <a:ln w="9525">
                      <a:noFill/>
                      <a:miter lim="800000"/>
                      <a:headEnd/>
                      <a:tailEnd/>
                    </a:ln>
                  </pic:spPr>
                </pic:pic>
              </a:graphicData>
            </a:graphic>
          </wp:anchor>
        </w:drawing>
      </w:r>
      <w:r>
        <w:rPr>
          <w:rFonts w:hint="eastAsia" w:ascii="方正仿宋_GBK" w:hAnsi="宋体" w:eastAsia="方正仿宋_GBK" w:cs="Times New Roman"/>
          <w:sz w:val="24"/>
          <w:szCs w:val="24"/>
          <w:lang w:val="en-US" w:eastAsia="zh-CN"/>
        </w:rPr>
        <w:t>1.强电井、弱电井、水井、医用气体井等面向通道的井道门采用内嵌式拉手，如下图所示：</w:t>
      </w:r>
    </w:p>
    <w:p>
      <w:pPr>
        <w:pStyle w:val="2"/>
        <w:rPr>
          <w:rFonts w:hint="eastAsia"/>
          <w:lang w:val="en-US" w:eastAsia="zh-CN"/>
        </w:rPr>
      </w:pP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2.其余位置采用不锈钢拉手，如下图所示：</w:t>
      </w:r>
    </w:p>
    <w:p>
      <w:pPr>
        <w:pageBreakBefore w:val="0"/>
        <w:widowControl w:val="0"/>
        <w:kinsoku/>
        <w:wordWrap/>
        <w:overflowPunct/>
        <w:topLinePunct w:val="0"/>
        <w:autoSpaceDE/>
        <w:autoSpaceDN/>
        <w:bidi w:val="0"/>
        <w:snapToGrid w:val="0"/>
        <w:spacing w:line="380" w:lineRule="exact"/>
        <w:ind w:firstLine="560" w:firstLineChars="200"/>
        <w:textAlignment w:val="auto"/>
        <w:rPr>
          <w:rFonts w:hint="eastAsia" w:ascii="方正仿宋_GBK" w:hAnsi="宋体" w:eastAsia="方正仿宋_GBK" w:cs="Times New Roman"/>
          <w:sz w:val="24"/>
          <w:szCs w:val="24"/>
          <w:lang w:val="en-US" w:eastAsia="zh-CN"/>
        </w:rPr>
      </w:pPr>
      <w:r>
        <w:rPr>
          <w:rFonts w:hint="eastAsia" w:ascii="Calibri" w:hAnsi="Calibri" w:eastAsia="仿宋" w:cs="Times New Roman"/>
          <w:sz w:val="28"/>
          <w:szCs w:val="28"/>
        </w:rPr>
        <w:drawing>
          <wp:anchor distT="0" distB="0" distL="0" distR="0" simplePos="0" relativeHeight="251659264" behindDoc="1" locked="0" layoutInCell="1" allowOverlap="1">
            <wp:simplePos x="0" y="0"/>
            <wp:positionH relativeFrom="column">
              <wp:posOffset>1498600</wp:posOffset>
            </wp:positionH>
            <wp:positionV relativeFrom="paragraph">
              <wp:posOffset>54610</wp:posOffset>
            </wp:positionV>
            <wp:extent cx="1048385" cy="1090295"/>
            <wp:effectExtent l="0" t="0" r="18415" b="14605"/>
            <wp:wrapThrough wrapText="bothSides">
              <wp:wrapPolygon>
                <wp:start x="0" y="0"/>
                <wp:lineTo x="0" y="21135"/>
                <wp:lineTo x="21194" y="21135"/>
                <wp:lineTo x="21194" y="0"/>
                <wp:lineTo x="0" y="0"/>
              </wp:wrapPolygon>
            </wp:wrapThrough>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6"/>
                    <a:srcRect/>
                    <a:stretch>
                      <a:fillRect/>
                    </a:stretch>
                  </pic:blipFill>
                  <pic:spPr>
                    <a:xfrm>
                      <a:off x="0" y="0"/>
                      <a:ext cx="1048385" cy="1090295"/>
                    </a:xfrm>
                    <a:prstGeom prst="rect">
                      <a:avLst/>
                    </a:prstGeom>
                    <a:noFill/>
                    <a:ln w="9525">
                      <a:noFill/>
                      <a:miter lim="800000"/>
                      <a:headEnd/>
                      <a:tailEnd/>
                    </a:ln>
                  </pic:spPr>
                </pic:pic>
              </a:graphicData>
            </a:graphic>
          </wp:anchor>
        </w:drawing>
      </w:r>
    </w:p>
    <w:p>
      <w:pPr>
        <w:pageBreakBefore w:val="0"/>
        <w:widowControl w:val="0"/>
        <w:kinsoku/>
        <w:wordWrap/>
        <w:overflowPunct/>
        <w:topLinePunct w:val="0"/>
        <w:autoSpaceDE/>
        <w:autoSpaceDN/>
        <w:bidi w:val="0"/>
        <w:snapToGrid w:val="0"/>
        <w:spacing w:line="380" w:lineRule="exact"/>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3.投标时提供拉手安装及连接的大样图，要求详细反映拉手在门扇上的固定形式。</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（五）质量要求：</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1.防火门产品质量要求：</w:t>
      </w:r>
    </w:p>
    <w:p>
      <w:pPr>
        <w:pageBreakBefore w:val="0"/>
        <w:widowControl w:val="0"/>
        <w:kinsoku/>
        <w:wordWrap/>
        <w:overflowPunct/>
        <w:topLinePunct w:val="0"/>
        <w:autoSpaceDE/>
        <w:autoSpaceDN/>
        <w:bidi w:val="0"/>
        <w:snapToGrid w:val="0"/>
        <w:spacing w:line="380" w:lineRule="exact"/>
        <w:ind w:firstLine="720" w:firstLineChars="3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防火门及五金配件以及原材料需完全满足设计要求及国家标准《防火门》（GB12955-2008），取得消防产品的产品型式认可以及身份证标识。要求所投保产品的消防产品型式认可证必须为有效状态，并提供中国消防产品信息网的证书查询截图。</w:t>
      </w:r>
    </w:p>
    <w:p>
      <w:pPr>
        <w:pageBreakBefore w:val="0"/>
        <w:widowControl w:val="0"/>
        <w:kinsoku/>
        <w:wordWrap/>
        <w:overflowPunct/>
        <w:topLinePunct w:val="0"/>
        <w:autoSpaceDE/>
        <w:autoSpaceDN/>
        <w:bidi w:val="0"/>
        <w:snapToGrid w:val="0"/>
        <w:spacing w:line="380" w:lineRule="exact"/>
        <w:ind w:firstLine="720" w:firstLineChars="3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（2）防火门门体、门套颜色参照原有防火门更换，门套材质门诊楼为304不锈钢、医技楼为多层实木门套 。</w:t>
      </w:r>
    </w:p>
    <w:p>
      <w:pPr>
        <w:pageBreakBefore w:val="0"/>
        <w:widowControl w:val="0"/>
        <w:kinsoku/>
        <w:wordWrap/>
        <w:overflowPunct/>
        <w:topLinePunct w:val="0"/>
        <w:autoSpaceDE/>
        <w:autoSpaceDN/>
        <w:bidi w:val="0"/>
        <w:snapToGrid w:val="0"/>
        <w:spacing w:line="380" w:lineRule="exact"/>
        <w:ind w:firstLine="720" w:firstLineChars="3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（3）防火等级满足设计要求。</w:t>
      </w:r>
    </w:p>
    <w:p>
      <w:pPr>
        <w:pageBreakBefore w:val="0"/>
        <w:widowControl w:val="0"/>
        <w:kinsoku/>
        <w:wordWrap/>
        <w:overflowPunct/>
        <w:topLinePunct w:val="0"/>
        <w:autoSpaceDE/>
        <w:autoSpaceDN/>
        <w:bidi w:val="0"/>
        <w:snapToGrid w:val="0"/>
        <w:spacing w:line="380" w:lineRule="exact"/>
        <w:ind w:firstLine="720" w:firstLineChars="3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（4）保温达到一级保温要求。</w:t>
      </w:r>
    </w:p>
    <w:p>
      <w:pPr>
        <w:pageBreakBefore w:val="0"/>
        <w:widowControl w:val="0"/>
        <w:kinsoku/>
        <w:wordWrap/>
        <w:overflowPunct/>
        <w:topLinePunct w:val="0"/>
        <w:autoSpaceDE/>
        <w:autoSpaceDN/>
        <w:bidi w:val="0"/>
        <w:snapToGrid w:val="0"/>
        <w:spacing w:line="380" w:lineRule="exact"/>
        <w:ind w:firstLine="720" w:firstLineChars="3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（5）有切实可行的成品保护系统。</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2.构造、材质及工艺（根据中标产品确定）</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（1）外部结构：门框、门扇、门扇封边、门扇钢板厚度符合各相应防火等级要求；材质、工艺根据投标文件。</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（2）内部构造：加筋、填充料满足设计及相应规范要求。</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（3）钢材全部采用大厂正规渠道材料，符合GB/T708、GB/T709相应要求。</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3.其他要求</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（1）满足《建筑设计防火规范》、《人民防空工程设计防火规范》现行标准。</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（2）所有材料满足国家标准《居室空气中甲醛的卫生标准》中的规定。 </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（3）防火门产品与五金件还须满足上述以外其他国家、行业、重庆市的现行相关标准。                                                             </w:t>
      </w:r>
    </w:p>
    <w:p>
      <w:pPr>
        <w:pageBreakBefore w:val="0"/>
        <w:widowControl w:val="0"/>
        <w:kinsoku/>
        <w:wordWrap/>
        <w:overflowPunct/>
        <w:topLinePunct w:val="0"/>
        <w:autoSpaceDE/>
        <w:autoSpaceDN/>
        <w:bidi w:val="0"/>
        <w:snapToGrid w:val="0"/>
        <w:spacing w:line="380" w:lineRule="exact"/>
        <w:ind w:firstLine="720" w:firstLineChars="3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（4）针对门扇、门框表面损伤修复、修补有专门的工艺。</w:t>
      </w:r>
    </w:p>
    <w:p>
      <w:pPr>
        <w:pageBreakBefore w:val="0"/>
        <w:widowControl w:val="0"/>
        <w:kinsoku/>
        <w:wordWrap/>
        <w:overflowPunct/>
        <w:topLinePunct w:val="0"/>
        <w:autoSpaceDE/>
        <w:autoSpaceDN/>
        <w:bidi w:val="0"/>
        <w:snapToGrid w:val="0"/>
        <w:spacing w:line="380" w:lineRule="exact"/>
        <w:ind w:firstLine="720" w:firstLineChars="3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（5）投标资料的产品说明中须提供门扇门套门框的横截面结构图、安装图纸、与墙体交接处节点大样图。</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4.钢质防火门有关尺寸及其它要求以建筑施工图设计说明、现行国家验收规范、行业标准为准。</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（六）规格尺寸：</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1.防火门外形尺寸须满足原设计门洞尺寸的要求，门洞尺寸按建筑施工图的设计要求执行。</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2.门洞尺寸、门开启方式及方向，投标人根据最终建筑施工图及现场实测进行确认，否则造成损失由投标人自行承担。</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（七）界面移交</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1.若有图纸与现场洞口尺寸不符的情况，须由投标人列出清单交于采购人，经采购人确认后，以此为依据加工门框。</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2.投标人必须履行配合消防验收、其他专项验收及综合验收的义务。</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（八）门制作安装</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1.门定位：左右方向，以设计门中心线为基准线，进出方向为与开启方向面抹灰面平齐。</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2.因运输贮存不慎引起门框、门扇翘曲、变形，应修复后再进行移交。若发现保护膜脱落，应补贴保护膜。</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3.防火门的开启方向必须为疏散方向，若靠墙开启位置时，应满足门扇开启能达到90度角要求。</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（九）观感质量要求</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1.门能正常开启和关闭，表面无明显划痕及损坏。</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 表面应干净整洁、无明显碰伤变形。</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 开启关闭过程中无异响，门扇关闭紧密。</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 五金件及铰链无损坏、划痕、生锈、安装牢固无缺少、锁扣使用便捷灵活。</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（十）成品保护</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1.产品运输、包装应避免碰撞，防止变形损坏；包装可采用包装箱包装，门扇不得直接接触，严禁在门上堆放重物。</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2.产品应贮存通风干燥处。应有防晒、防潮、防腐措施。产品平放时底部须垫平，门框堆码高度不得超过1.5m，门扇堆放高度不超过1.2m，产品竖放时，其倾斜角度不得大于20°，长度不得超过5m。</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3.门必须贴胶纸保护并维持，直到工程移交验收前。</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4.门框、扇在搬运过程中，应防止变形和损坏。</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5.严禁任意撕毁材料保护膜，或在材料饰面上刻、划或用杆件材料做辅助施工用品。</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6.进场的门扇和门框等，应有不少于2道保护膜（即为自粘性聚乙烯保护膜，厚度不小于0.3mm；框扇表面满贴包装泡沫板，厚度为3mm或用硬纸板保护严密也可），成品保护费用中标单位自行负责。</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7.与总包、其他施工单位一起对总包、其他施工单位的现场工作人员进行成品保护的教育培训。</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8.划痕修复：轻微划痕，进行补漆处理，肉眼观察未见色差；严重划痕，现场无法修复的，需卸下回工厂重新进行喷涂处理。投标时，厂家需提供具体的划痕修复方案（费用及工期）。</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（十一）施工保护</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施工前对地胶、地砖、墙面和墙砖等原装修材料进行保护，严禁损伤和破坏，因施工原因造成损坏由投标人按原装修进行恢复，施工时严格遵守防火门所在使用科室的管理要求，避免对科室正常医疗秩序造成影响。</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2.验收前，投标人应按照规定的检测工序进行全面的质量检查、调整与检测、清理施工现场、拆除保护和恢复原装修等工作，原防火门如有门禁系统等其他设备，由投标人负责恢复并调试，确保完好有效。</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（十一）质量检测</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各项材料到达现场后，需经建设方各方共同检验合格后，方可进行移交。投标人应提供相应的产品生产许可证、检验合格证、使用说明书等产品资料，方可施工。</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（十二）参照规范</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《重庆市建筑门窗安装及验收规程》（DBJ50-065-2007）</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《防火门》（GB12955-2008）</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《住宅装饰装修工程施工规范》（GB50327-2001）</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《建筑装饰装修工程质量验收规范》（GB50210-2001）</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《防盗安全门通用技术条件》（GB17565－2007）</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《建筑门窗洞口尺寸协调要求》（GB/T30591-2014）</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《门窗反复启闭耐久性试验方法》(GB/T29739-2013)</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《建筑工程施工质量验收统一标准》(GB50300-2013)</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《冷轧钢板和钢带的尺寸、外形、重量及允许偏差》（GB/T708-2006）、</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《热轧钢板和钢带的尺寸、外形、重量及允许偏差》（GB/T709-2008）</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《建筑用安全玻璃:防火玻璃》（GB 15763.1-2009）</w:t>
      </w:r>
    </w:p>
    <w:p>
      <w:pPr>
        <w:pageBreakBefore w:val="0"/>
        <w:widowControl w:val="0"/>
        <w:kinsoku/>
        <w:wordWrap/>
        <w:overflowPunct/>
        <w:topLinePunct w:val="0"/>
        <w:autoSpaceDE/>
        <w:autoSpaceDN/>
        <w:bidi w:val="0"/>
        <w:snapToGrid w:val="0"/>
        <w:spacing w:line="380" w:lineRule="exact"/>
        <w:ind w:firstLine="480" w:firstLineChars="200"/>
        <w:jc w:val="both"/>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《建筑设计防火规范》（GB 50016-2014）</w:t>
      </w:r>
    </w:p>
    <w:p>
      <w:pPr>
        <w:pageBreakBefore w:val="0"/>
        <w:widowControl w:val="0"/>
        <w:kinsoku/>
        <w:wordWrap/>
        <w:overflowPunct/>
        <w:topLinePunct w:val="0"/>
        <w:autoSpaceDE/>
        <w:autoSpaceDN/>
        <w:bidi w:val="0"/>
        <w:snapToGrid w:val="0"/>
        <w:spacing w:line="380" w:lineRule="exact"/>
        <w:ind w:firstLine="480" w:firstLineChars="200"/>
        <w:jc w:val="center"/>
        <w:textAlignment w:val="auto"/>
        <w:rPr>
          <w:rFonts w:hint="eastAsia" w:ascii="方正仿宋_GBK" w:hAnsi="Times New Roman" w:eastAsia="方正仿宋_GBK" w:cs="Times New Roman"/>
          <w:b/>
          <w:sz w:val="44"/>
          <w:szCs w:val="20"/>
          <w:lang w:val="en-US" w:eastAsia="zh-CN"/>
        </w:rPr>
      </w:pPr>
      <w:r>
        <w:rPr>
          <w:rFonts w:hint="eastAsia" w:ascii="方正仿宋_GBK" w:hAnsi="宋体" w:eastAsia="方正仿宋_GBK" w:cs="Times New Roman"/>
          <w:sz w:val="24"/>
          <w:szCs w:val="24"/>
          <w:lang w:val="en-US" w:eastAsia="zh-CN"/>
        </w:rPr>
        <w:br w:type="page"/>
      </w:r>
      <w:bookmarkStart w:id="62" w:name="_Toc13356"/>
      <w:bookmarkStart w:id="63" w:name="_Toc65660341"/>
      <w:bookmarkStart w:id="64" w:name="_Toc15492"/>
      <w:bookmarkStart w:id="65" w:name="_Toc16936"/>
      <w:r>
        <w:rPr>
          <w:rFonts w:hint="eastAsia" w:ascii="方正仿宋_GBK" w:hAnsi="Times New Roman" w:eastAsia="方正仿宋_GBK" w:cs="Times New Roman"/>
          <w:b/>
          <w:sz w:val="44"/>
          <w:szCs w:val="20"/>
          <w:lang w:val="en-US" w:eastAsia="zh-CN"/>
        </w:rPr>
        <w:t xml:space="preserve">第三篇  </w:t>
      </w:r>
      <w:bookmarkEnd w:id="53"/>
      <w:bookmarkEnd w:id="62"/>
      <w:bookmarkEnd w:id="63"/>
      <w:bookmarkEnd w:id="64"/>
      <w:r>
        <w:rPr>
          <w:rFonts w:hint="eastAsia" w:ascii="方正仿宋_GBK" w:hAnsi="Times New Roman" w:eastAsia="方正仿宋_GBK" w:cs="Times New Roman"/>
          <w:b/>
          <w:sz w:val="44"/>
          <w:szCs w:val="20"/>
          <w:lang w:val="en-US" w:eastAsia="zh-CN"/>
        </w:rPr>
        <w:t>商务需求</w:t>
      </w:r>
      <w:bookmarkEnd w:id="65"/>
    </w:p>
    <w:p>
      <w:pPr>
        <w:rPr>
          <w:rFonts w:hint="eastAsia"/>
          <w:lang w:val="en-US" w:eastAsia="zh-CN"/>
        </w:rPr>
      </w:pPr>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方正仿宋_GBK" w:hAnsi="宋体" w:eastAsia="方正仿宋_GBK" w:cs="Times New Roman"/>
                <w:sz w:val="24"/>
                <w:szCs w:val="24"/>
                <w:lang w:val="en-US" w:eastAsia="zh-CN"/>
              </w:rPr>
            </w:pPr>
            <w:bookmarkStart w:id="66" w:name="_Toc65660342"/>
            <w:bookmarkStart w:id="67" w:name="_Toc13555"/>
            <w:bookmarkStart w:id="68" w:name="_Toc12935"/>
            <w:bookmarkStart w:id="69" w:name="_Toc342913389"/>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交货安装时间、交货地点及验收方式</w:t>
            </w:r>
          </w:p>
        </w:tc>
        <w:tc>
          <w:tcPr>
            <w:tcW w:w="4277" w:type="pct"/>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交货安装时间：成交供应商应在接到采购人通知后十个日历日内进场施工</w:t>
            </w:r>
            <w:r>
              <w:rPr>
                <w:rFonts w:hint="eastAsia" w:ascii="方正仿宋_GBK" w:hAnsi="宋体" w:eastAsia="方正仿宋_GBK" w:cs="Times New Roman"/>
                <w:sz w:val="24"/>
                <w:szCs w:val="24"/>
              </w:rPr>
              <w:t>，</w:t>
            </w:r>
            <w:r>
              <w:rPr>
                <w:rFonts w:hint="eastAsia" w:ascii="方正仿宋_GBK" w:hAnsi="宋体" w:eastAsia="方正仿宋_GBK" w:cs="Times New Roman"/>
                <w:sz w:val="24"/>
                <w:szCs w:val="24"/>
                <w:lang w:val="en-US" w:eastAsia="zh-CN"/>
              </w:rPr>
              <w:t>并在六十个日历日内</w:t>
            </w:r>
            <w:r>
              <w:rPr>
                <w:rFonts w:hint="eastAsia" w:ascii="方正仿宋_GBK" w:hAnsi="宋体" w:eastAsia="方正仿宋_GBK" w:cs="Times New Roman"/>
                <w:sz w:val="24"/>
                <w:szCs w:val="24"/>
              </w:rPr>
              <w:t>完成</w:t>
            </w:r>
            <w:r>
              <w:rPr>
                <w:rFonts w:hint="eastAsia" w:ascii="方正仿宋_GBK" w:hAnsi="宋体" w:eastAsia="方正仿宋_GBK" w:cs="Times New Roman"/>
                <w:sz w:val="24"/>
                <w:szCs w:val="24"/>
                <w:lang w:val="en-US" w:eastAsia="zh-CN"/>
              </w:rPr>
              <w:t>施工</w:t>
            </w:r>
            <w:r>
              <w:rPr>
                <w:rFonts w:hint="eastAsia" w:ascii="方正仿宋_GBK" w:hAnsi="宋体" w:eastAsia="方正仿宋_GBK" w:cs="Times New Roman"/>
                <w:sz w:val="24"/>
                <w:szCs w:val="24"/>
              </w:rPr>
              <w:t>安装</w:t>
            </w:r>
            <w:r>
              <w:rPr>
                <w:rFonts w:hint="eastAsia" w:ascii="方正仿宋_GBK" w:hAnsi="宋体" w:eastAsia="方正仿宋_GBK" w:cs="Times New Roman"/>
                <w:sz w:val="24"/>
                <w:szCs w:val="24"/>
                <w:lang w:val="en-US" w:eastAsia="zh-CN"/>
              </w:rPr>
              <w:t>且验收合格</w:t>
            </w:r>
            <w:r>
              <w:rPr>
                <w:rFonts w:hint="eastAsia" w:ascii="方正仿宋_GBK" w:hAnsi="宋体" w:eastAsia="方正仿宋_GBK" w:cs="Times New Roman"/>
                <w:sz w:val="24"/>
                <w:szCs w:val="24"/>
              </w:rPr>
              <w:t>。</w:t>
            </w:r>
          </w:p>
          <w:p>
            <w:pPr>
              <w:spacing w:line="400" w:lineRule="exact"/>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交货地点：重庆医科大学附属儿童医院两江院区</w:t>
            </w: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验收方式：</w:t>
            </w:r>
          </w:p>
          <w:p>
            <w:pPr>
              <w:numPr>
                <w:ilvl w:val="0"/>
                <w:numId w:val="0"/>
              </w:num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（一）货物验收</w:t>
            </w: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1.产品到货后，由采购人组织管理各方进行验收，并按照相关规定取样送检。</w:t>
            </w: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2.采购人保留采取在各方见证下，进行现场切割抽检方式，对门框和门扇面板厚度、防火填充材料等进行检测验收的权利，一旦检测不合格，则全部退货处理，由此造成的全部损失由成交供应商承担。</w:t>
            </w:r>
          </w:p>
          <w:p>
            <w:pPr>
              <w:numPr>
                <w:ilvl w:val="0"/>
                <w:numId w:val="0"/>
              </w:numPr>
              <w:spacing w:line="400" w:lineRule="exact"/>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（二）工程验收</w:t>
            </w:r>
          </w:p>
          <w:p>
            <w:pPr>
              <w:numPr>
                <w:ilvl w:val="0"/>
                <w:numId w:val="0"/>
              </w:numPr>
              <w:spacing w:line="400" w:lineRule="exact"/>
              <w:rPr>
                <w:rFonts w:hint="default" w:eastAsia="方正仿宋_GBK"/>
                <w:lang w:val="en-US" w:eastAsia="zh-CN"/>
              </w:rPr>
            </w:pPr>
            <w:r>
              <w:rPr>
                <w:rFonts w:hint="eastAsia" w:ascii="方正仿宋_GBK" w:hAnsi="宋体" w:eastAsia="方正仿宋_GBK" w:cs="Times New Roman"/>
                <w:sz w:val="24"/>
                <w:szCs w:val="24"/>
                <w:lang w:val="en-US" w:eastAsia="zh-CN"/>
              </w:rPr>
              <w:t>成交供应商</w:t>
            </w:r>
            <w:r>
              <w:rPr>
                <w:rFonts w:hint="eastAsia" w:ascii="方正仿宋_GBK" w:hAnsi="宋体" w:eastAsia="方正仿宋_GBK" w:cs="Times New Roman"/>
                <w:sz w:val="24"/>
                <w:szCs w:val="24"/>
                <w:lang w:val="zh-CN" w:eastAsia="zh-CN"/>
              </w:rPr>
              <w:t>安装施工完成后，向</w:t>
            </w:r>
            <w:r>
              <w:rPr>
                <w:rFonts w:hint="eastAsia" w:ascii="方正仿宋_GBK" w:hAnsi="宋体" w:eastAsia="方正仿宋_GBK" w:cs="Times New Roman"/>
                <w:sz w:val="24"/>
                <w:szCs w:val="24"/>
                <w:lang w:val="en-US" w:eastAsia="zh-CN"/>
              </w:rPr>
              <w:t>采购人</w:t>
            </w:r>
            <w:r>
              <w:rPr>
                <w:rFonts w:hint="eastAsia" w:ascii="方正仿宋_GBK" w:hAnsi="宋体" w:eastAsia="方正仿宋_GBK" w:cs="Times New Roman"/>
                <w:sz w:val="24"/>
                <w:szCs w:val="24"/>
                <w:lang w:val="zh-CN" w:eastAsia="zh-CN"/>
              </w:rPr>
              <w:t>提交竣工申请验收报告，</w:t>
            </w:r>
            <w:r>
              <w:rPr>
                <w:rFonts w:hint="eastAsia" w:ascii="方正仿宋_GBK" w:hAnsi="宋体" w:eastAsia="方正仿宋_GBK" w:cs="Times New Roman"/>
                <w:sz w:val="24"/>
                <w:szCs w:val="24"/>
                <w:lang w:val="en-US" w:eastAsia="zh-CN"/>
              </w:rPr>
              <w:t>并负责成品保护直至通过工程竣工和工程移交为止。</w:t>
            </w:r>
            <w:r>
              <w:rPr>
                <w:rFonts w:hint="eastAsia" w:ascii="方正仿宋_GBK" w:hAnsi="宋体" w:eastAsia="方正仿宋_GBK" w:cs="Times New Roman"/>
                <w:sz w:val="24"/>
                <w:szCs w:val="24"/>
                <w:lang w:val="en-US" w:eastAsia="zh-CN"/>
              </w:rPr>
              <w:t>采购人于</w:t>
            </w:r>
            <w:r>
              <w:rPr>
                <w:rFonts w:hint="eastAsia" w:ascii="方正仿宋_GBK" w:hAnsi="宋体" w:eastAsia="方正仿宋_GBK" w:cs="Times New Roman"/>
                <w:sz w:val="24"/>
                <w:szCs w:val="24"/>
                <w:lang w:val="zh-CN" w:eastAsia="zh-CN"/>
              </w:rPr>
              <w:t>5个工作日内组织验收，</w:t>
            </w:r>
            <w:r>
              <w:rPr>
                <w:rFonts w:hint="eastAsia" w:ascii="方正仿宋_GBK" w:hAnsi="宋体" w:eastAsia="方正仿宋_GBK" w:cs="Times New Roman"/>
                <w:sz w:val="24"/>
                <w:szCs w:val="24"/>
                <w:lang w:val="en-US" w:eastAsia="zh-CN"/>
              </w:rPr>
              <w:t>成交供应商应在验收时提交所需的所有资料。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pStyle w:val="14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方正仿宋_GBK" w:hAnsi="宋体" w:eastAsia="方正仿宋_GBK"/>
                <w:sz w:val="24"/>
                <w:szCs w:val="24"/>
                <w:lang w:eastAsia="zh-CN"/>
              </w:rPr>
            </w:pPr>
            <w:r>
              <w:rPr>
                <w:rFonts w:hint="eastAsia" w:ascii="方正仿宋_GBK" w:hAnsi="宋体" w:eastAsia="方正仿宋_GBK" w:cs="Times New Roman"/>
                <w:b w:val="0"/>
                <w:bCs w:val="0"/>
                <w:kern w:val="2"/>
                <w:sz w:val="24"/>
                <w:szCs w:val="24"/>
                <w:lang w:val="en-US" w:eastAsia="zh-CN" w:bidi="ar-SA"/>
              </w:rPr>
              <w:t>工程质量与产品质量保证期至少不低于2年，质保期内由施工质量原因或产品质量原因引起的故障或损坏，由成交供应商免费维修更换。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谈判报价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，包括完成本项目所需</w:t>
            </w:r>
            <w:r>
              <w:rPr>
                <w:rFonts w:hint="eastAsia" w:ascii="方正仿宋_GBK" w:hAnsi="宋体" w:eastAsia="方正仿宋_GBK"/>
                <w:sz w:val="24"/>
                <w:szCs w:val="24"/>
                <w:lang w:val="en-US" w:eastAsia="zh-CN"/>
              </w:rPr>
              <w:t>的货物、运输、施工、安装、复原等所有费用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rPr>
                <w:rFonts w:hint="default"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采购合同完成签订且项目验收合格后，成交供应商向采购人开具发票，采购人在收到发票后2个月内支付合同金额的95%，余下5%在质保期满后1个月内无息支付。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widowControl/>
              <w:adjustRightInd w:val="0"/>
              <w:snapToGrid w:val="0"/>
              <w:spacing w:line="400" w:lineRule="exact"/>
              <w:ind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踏勘要求</w:t>
            </w:r>
          </w:p>
        </w:tc>
        <w:tc>
          <w:tcPr>
            <w:tcW w:w="4277" w:type="pct"/>
            <w:vAlign w:val="center"/>
          </w:tcPr>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1.投标人必须在规定时间对项目进行现场踏勘，并取得由保卫处开具的踏勘证明。</w:t>
            </w:r>
          </w:p>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2.投标人在规定的探勘时间如出现无故未出席、迟到或早退等情况，均被视为放弃投标资格。</w:t>
            </w:r>
          </w:p>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default" w:eastAsia="宋体"/>
                <w:lang w:val="en-US" w:eastAsia="zh-CN"/>
              </w:rPr>
            </w:pPr>
            <w:r>
              <w:rPr>
                <w:rFonts w:hint="eastAsia" w:ascii="方正仿宋_GBK" w:hAnsi="宋体" w:eastAsia="方正仿宋_GBK" w:cs="Times New Roman"/>
                <w:sz w:val="24"/>
                <w:szCs w:val="24"/>
                <w:lang w:val="en-US" w:eastAsia="zh-CN"/>
              </w:rPr>
              <w:t>3.踏勘时间由采购人通知并统一安排，联系人：赵老师，联系电话：023-68370996。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（一）本项目成交供应商不得实施分包，一经发现采购人有权单方面中断或废除与成交供应商的合作，由此对采购人产生的经济损害等由成交供应商承担，采购人有权追究成交供应商</w:t>
            </w:r>
            <w:bookmarkStart w:id="163" w:name="_GoBack"/>
            <w:bookmarkEnd w:id="163"/>
            <w:r>
              <w:rPr>
                <w:rFonts w:hint="eastAsia" w:ascii="方正仿宋_GBK" w:hAnsi="宋体" w:eastAsia="方正仿宋_GBK" w:cs="Times New Roman"/>
                <w:sz w:val="24"/>
                <w:szCs w:val="24"/>
                <w:lang w:val="en-US" w:eastAsia="zh-CN"/>
              </w:rPr>
              <w:t>的法律责任。</w:t>
            </w:r>
          </w:p>
          <w:p>
            <w:pPr>
              <w:pStyle w:val="143"/>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（三）</w:t>
            </w:r>
            <w:r>
              <w:rPr>
                <w:rFonts w:hint="eastAsia" w:ascii="方正仿宋_GBK" w:hAnsi="宋体" w:eastAsia="方正仿宋_GBK" w:cs="Times New Roman"/>
                <w:sz w:val="24"/>
                <w:szCs w:val="24"/>
              </w:rPr>
              <w:t>其他未尽事宜由供需双方在采购合同中详细约定。</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p>
    <w:bookmarkEnd w:id="66"/>
    <w:bookmarkEnd w:id="67"/>
    <w:bookmarkEnd w:id="68"/>
    <w:p>
      <w:pPr>
        <w:snapToGrid w:val="0"/>
        <w:spacing w:line="400" w:lineRule="exact"/>
        <w:ind w:firstLine="540"/>
        <w:rPr>
          <w:rFonts w:hint="eastAsia" w:ascii="方正仿宋_GBK" w:eastAsia="方正仿宋_GBK"/>
          <w:sz w:val="24"/>
          <w:szCs w:val="24"/>
        </w:rPr>
      </w:pPr>
    </w:p>
    <w:p>
      <w:pPr>
        <w:pStyle w:val="4"/>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方正仿宋_GBK" w:hAnsi="Times New Roman" w:eastAsia="方正仿宋_GBK" w:cs="Times New Roman"/>
          <w:b/>
          <w:kern w:val="2"/>
          <w:sz w:val="44"/>
          <w:lang w:val="en-US" w:eastAsia="zh-CN" w:bidi="ar-SA"/>
        </w:rPr>
      </w:pPr>
      <w:r>
        <w:rPr>
          <w:rFonts w:ascii="方正小标宋_GBK" w:eastAsia="方正小标宋_GBK"/>
          <w:b w:val="0"/>
          <w:sz w:val="36"/>
          <w:szCs w:val="30"/>
        </w:rPr>
        <w:br w:type="page"/>
      </w:r>
      <w:bookmarkStart w:id="70" w:name="_Toc11306"/>
      <w:bookmarkStart w:id="71" w:name="_Toc65660349"/>
      <w:bookmarkStart w:id="72" w:name="_Toc24195"/>
      <w:bookmarkStart w:id="73" w:name="_Toc16123"/>
      <w:r>
        <w:rPr>
          <w:rFonts w:hint="eastAsia" w:ascii="方正仿宋_GBK" w:hAnsi="Times New Roman" w:eastAsia="方正仿宋_GBK" w:cs="Times New Roman"/>
          <w:b/>
          <w:sz w:val="44"/>
          <w:szCs w:val="20"/>
          <w:lang w:val="en-US" w:eastAsia="zh-CN"/>
        </w:rPr>
        <w:t>第四篇  采购程序、评定成交的标准、无效谈判及采购终止</w:t>
      </w:r>
      <w:bookmarkEnd w:id="70"/>
      <w:bookmarkEnd w:id="71"/>
      <w:bookmarkEnd w:id="72"/>
      <w:bookmarkEnd w:id="7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4" w:name="_Toc9361"/>
      <w:bookmarkStart w:id="75" w:name="_Toc64732012"/>
      <w:bookmarkStart w:id="76" w:name="_Toc8979"/>
      <w:bookmarkStart w:id="77" w:name="_Toc65660350"/>
      <w:bookmarkStart w:id="78" w:name="_Toc5167"/>
      <w:r>
        <w:rPr>
          <w:rFonts w:hint="eastAsia" w:ascii="方正仿宋_GBK" w:hAnsi="宋体" w:eastAsia="方正仿宋_GBK"/>
          <w:sz w:val="24"/>
        </w:rPr>
        <w:t>一、采购程序</w:t>
      </w:r>
      <w:bookmarkEnd w:id="74"/>
      <w:bookmarkEnd w:id="75"/>
      <w:bookmarkEnd w:id="76"/>
      <w:bookmarkEnd w:id="77"/>
      <w:bookmarkEnd w:id="78"/>
    </w:p>
    <w:p>
      <w:pPr>
        <w:pStyle w:val="33"/>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（一）谈判按竞争性谈判文件规定的时间和地点进行。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须有法定代表人（或其授权代表）或自然人参加。</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（二）竞争性谈判以抽签的形式确定谈判顺序，由本项目谈判小组分别与各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进行谈判。在谈判前，对各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的资格条件进行审查。 </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sz w:val="24"/>
          <w:szCs w:val="24"/>
        </w:rPr>
        <w:t>依据法律法规和竞争性谈判文件的规定，对响应文件中的资格证明材料、保证金等进行审查。资格性审查内容如下：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2835"/>
        <w:gridCol w:w="5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544"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52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5267" w:type="dxa"/>
            <w:vMerge w:val="restart"/>
            <w:noWrap w:val="0"/>
            <w:vAlign w:val="center"/>
          </w:tcPr>
          <w:p>
            <w:pPr>
              <w:rPr>
                <w:rFonts w:hint="eastAsia" w:ascii="方正仿宋_GBK" w:hAnsi="仿宋" w:eastAsia="方正仿宋_GBK"/>
                <w:b/>
                <w:sz w:val="21"/>
                <w:szCs w:val="21"/>
              </w:rPr>
            </w:pP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5267" w:type="dxa"/>
            <w:vMerge w:val="continue"/>
            <w:noWrap w:val="0"/>
            <w:vAlign w:val="center"/>
          </w:tcPr>
          <w:p>
            <w:pPr>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5267" w:type="dxa"/>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pPr>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3544" w:type="dxa"/>
            <w:gridSpan w:val="2"/>
            <w:noWrap w:val="0"/>
            <w:vAlign w:val="top"/>
          </w:tcPr>
          <w:p>
            <w:pPr>
              <w:jc w:val="left"/>
              <w:rPr>
                <w:rFonts w:hint="eastAsia" w:ascii="方正仿宋_GBK" w:hAnsi="仿宋" w:eastAsia="方正仿宋_GBK"/>
                <w:sz w:val="21"/>
                <w:szCs w:val="21"/>
              </w:rPr>
            </w:pPr>
            <w:r>
              <w:rPr>
                <w:rFonts w:hint="eastAsia" w:ascii="方正仿宋_GBK" w:hAnsi="仿宋" w:eastAsia="方正仿宋_GBK"/>
                <w:sz w:val="21"/>
                <w:szCs w:val="21"/>
              </w:rPr>
              <w:t>保证金</w:t>
            </w:r>
          </w:p>
        </w:tc>
        <w:tc>
          <w:tcPr>
            <w:tcW w:w="5267" w:type="dxa"/>
            <w:noWrap w:val="0"/>
            <w:vAlign w:val="top"/>
          </w:tcPr>
          <w:p>
            <w:pPr>
              <w:rPr>
                <w:rFonts w:hint="eastAsia" w:ascii="方正仿宋_GBK" w:hAnsi="仿宋" w:eastAsia="方正仿宋_GBK"/>
                <w:sz w:val="21"/>
                <w:szCs w:val="21"/>
              </w:rPr>
            </w:pPr>
            <w:r>
              <w:rPr>
                <w:rFonts w:hint="eastAsia" w:ascii="方正仿宋_GBK" w:hAnsi="仿宋" w:eastAsia="方正仿宋_GBK"/>
                <w:sz w:val="21"/>
                <w:szCs w:val="21"/>
              </w:rPr>
              <w:t>按照竞争性谈判文件要求足额交纳保证金。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1</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（三）谈判小组在对响应文件的有效性、完整性和响应程度进行审查时，可以要求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对响应文件中含义不明确、同类问题表述不一致或者有明显文字和计算错误的内容等作出必要的澄清、说明或者更正。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的澄清、说明或者更正不得超出响应文件的范围或者改变响应文件的实质性内容。</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澄清、说明或者更正响应文件应当以书面形式作出。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的澄清、说明或者更正应当由法定代表人（或其授权代表）或自然人（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为自然人）签署或者加盖公章。由授权代表签署的，应当附法定代表人授权书。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为自然人的，应当由本人签署并附身份证明。</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（四）在谈判过程中谈判的任何一方不得向他人透露与谈判有关的技术资料、价格或其他信息。</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在谈判过程中，谈判小组可以根据竞争性谈判文件和谈判情况实质性变动采购需求中的技术（质量）、服务要求以及合同草案条款，但不得变动竞争性谈判文件中的其他内容。实质性变动的内容，须经采购人代表确认。对竞争性谈判文件作出的实质性变动是竞争性谈判文件的有效组成部分，谈判小组应当及时通知所有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应当按照谈判文件的变动情况和谈判小组的要求重新提交响应文件，并由其法定代表人或授权代表签字或者加盖公章。由授权代表签字的，应当附法定代表人授权书。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为自然人的，应当由本人签字并附身份证明。</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在谈判时作出的所有书面承诺须由法定代表人（或其授权代表）或自然人（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（七）谈判结束后，谈判小组要求所有参加正式谈判的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在规定时间内书面提交《</w:t>
      </w:r>
      <w:r>
        <w:rPr>
          <w:rFonts w:hint="eastAsia" w:ascii="方正仿宋_GBK" w:hAnsi="宋体" w:eastAsia="方正仿宋_GBK"/>
          <w:sz w:val="24"/>
          <w:szCs w:val="24"/>
          <w:lang w:val="en-US" w:eastAsia="zh-CN"/>
        </w:rPr>
        <w:t>开标现场最终报价表</w:t>
      </w:r>
      <w:r>
        <w:rPr>
          <w:rFonts w:hint="eastAsia" w:ascii="方正仿宋_GBK" w:hAnsi="宋体" w:eastAsia="方正仿宋_GBK"/>
          <w:sz w:val="24"/>
          <w:szCs w:val="24"/>
        </w:rPr>
        <w:t>》。</w:t>
      </w:r>
      <w:r>
        <w:rPr>
          <w:rFonts w:ascii="方正仿宋_GBK" w:hAnsi="宋体" w:eastAsia="方正仿宋_GBK"/>
          <w:sz w:val="24"/>
          <w:szCs w:val="24"/>
        </w:rPr>
        <w:t>已提交响应文件</w:t>
      </w:r>
      <w:r>
        <w:rPr>
          <w:rFonts w:hint="eastAsia" w:ascii="方正仿宋_GBK" w:hAnsi="宋体" w:eastAsia="方正仿宋_GBK"/>
          <w:sz w:val="24"/>
          <w:szCs w:val="24"/>
        </w:rPr>
        <w:t>但未在规定时间内进行最后报价</w:t>
      </w:r>
      <w:r>
        <w:rPr>
          <w:rFonts w:ascii="方正仿宋_GBK" w:hAnsi="宋体" w:eastAsia="方正仿宋_GBK"/>
          <w:sz w:val="24"/>
          <w:szCs w:val="24"/>
        </w:rPr>
        <w:t>的</w:t>
      </w:r>
      <w:r>
        <w:rPr>
          <w:rFonts w:hint="eastAsia" w:ascii="方正仿宋_GBK" w:hAnsi="宋体" w:eastAsia="方正仿宋_GBK"/>
          <w:sz w:val="24"/>
          <w:szCs w:val="24"/>
          <w:lang w:eastAsia="zh-CN"/>
        </w:rPr>
        <w:t>投标人</w:t>
      </w:r>
      <w:r>
        <w:rPr>
          <w:rFonts w:ascii="方正仿宋_GBK" w:hAnsi="宋体" w:eastAsia="方正仿宋_GBK"/>
          <w:sz w:val="24"/>
          <w:szCs w:val="24"/>
        </w:rPr>
        <w:t>，</w:t>
      </w:r>
      <w:r>
        <w:rPr>
          <w:rFonts w:hint="eastAsia" w:ascii="方正仿宋_GBK" w:hAnsi="宋体" w:eastAsia="方正仿宋_GBK"/>
          <w:sz w:val="24"/>
          <w:szCs w:val="24"/>
        </w:rPr>
        <w:t>视为放弃最后报价，以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响应文件中的报价为准。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9" w:name="_Toc11713"/>
      <w:bookmarkStart w:id="80" w:name="_Toc30639"/>
      <w:bookmarkStart w:id="81" w:name="_Toc65660351"/>
      <w:bookmarkStart w:id="82" w:name="_Toc64732013"/>
      <w:bookmarkStart w:id="83" w:name="_Toc18428"/>
      <w:r>
        <w:rPr>
          <w:rFonts w:hint="eastAsia" w:ascii="方正仿宋_GBK" w:hAnsi="宋体" w:eastAsia="方正仿宋_GBK"/>
          <w:sz w:val="24"/>
        </w:rPr>
        <w:t>二、评定成交的标准</w:t>
      </w:r>
      <w:bookmarkEnd w:id="79"/>
      <w:bookmarkEnd w:id="80"/>
      <w:bookmarkEnd w:id="81"/>
      <w:bookmarkEnd w:id="82"/>
      <w:bookmarkEnd w:id="83"/>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（一）谈判小组将依照本竞争性谈判文件相关规定对技术（质量）和服务均能满足竞争性谈判实质性响应要求的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所提交的最后报价</w:t>
      </w:r>
      <w:r>
        <w:rPr>
          <w:rFonts w:hint="eastAsia" w:ascii="方正仿宋_GBK" w:hAnsi="宋体" w:eastAsia="方正仿宋_GBK"/>
          <w:sz w:val="24"/>
          <w:szCs w:val="24"/>
          <w:lang w:eastAsia="zh-CN"/>
        </w:rPr>
        <w:t>，</w:t>
      </w:r>
      <w:r>
        <w:rPr>
          <w:rFonts w:hint="eastAsia" w:ascii="方正仿宋_GBK" w:hAnsi="宋体" w:eastAsia="方正仿宋_GBK"/>
          <w:sz w:val="24"/>
          <w:szCs w:val="24"/>
        </w:rPr>
        <w:t>按照由低到高的顺序提出3名成交候选人。</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的最后报价相同，按技术（质量）的优劣顺序排列；以上都相同的，按服务条款的优劣顺序排列。</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（三）成交价格=</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的最后报价。</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4" w:name="_Toc65660352"/>
      <w:bookmarkStart w:id="85" w:name="_Toc779"/>
      <w:bookmarkStart w:id="86" w:name="_Toc12644"/>
      <w:bookmarkStart w:id="87" w:name="_Toc29113"/>
      <w:r>
        <w:rPr>
          <w:rFonts w:hint="eastAsia" w:ascii="方正仿宋_GBK" w:hAnsi="宋体" w:eastAsia="方正仿宋_GBK"/>
          <w:sz w:val="24"/>
        </w:rPr>
        <w:t>三、</w:t>
      </w:r>
      <w:r>
        <w:rPr>
          <w:rFonts w:hint="eastAsia" w:ascii="方正仿宋_GBK" w:hAnsi="宋体" w:eastAsia="方正仿宋_GBK"/>
          <w:color w:val="FF0000"/>
          <w:sz w:val="24"/>
        </w:rPr>
        <w:t>无效谈判</w:t>
      </w:r>
      <w:bookmarkEnd w:id="84"/>
      <w:bookmarkEnd w:id="85"/>
      <w:bookmarkEnd w:id="86"/>
      <w:bookmarkEnd w:id="87"/>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发生以下条款情况之一者，视为无效谈判：</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所提交的响应文件未按“第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篇响应文件格式要求”要求签署或盖章的；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color w:val="FF0000"/>
          <w:sz w:val="24"/>
          <w:szCs w:val="24"/>
          <w:lang w:eastAsia="zh-CN"/>
        </w:rPr>
        <w:t>投标人</w:t>
      </w:r>
      <w:r>
        <w:rPr>
          <w:rFonts w:hint="eastAsia" w:ascii="方正仿宋_GBK" w:hAnsi="宋体" w:eastAsia="方正仿宋_GBK"/>
          <w:color w:val="FF0000"/>
          <w:sz w:val="24"/>
          <w:szCs w:val="24"/>
        </w:rPr>
        <w:t>不接受谈判小组修正后价格的；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ascii="方正仿宋_GBK" w:hAnsi="宋体" w:eastAsia="方正仿宋_GBK"/>
          <w:sz w:val="24"/>
          <w:szCs w:val="24"/>
        </w:rPr>
        <w:t>参加同一合同项</w:t>
      </w:r>
      <w:r>
        <w:rPr>
          <w:rFonts w:hint="eastAsia" w:ascii="方正仿宋_GBK" w:hAnsi="宋体" w:eastAsia="方正仿宋_GBK"/>
          <w:sz w:val="24"/>
          <w:szCs w:val="24"/>
        </w:rPr>
        <w:t>（包）谈判的；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再参加该采购项目的其他采购活动的；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）同一</w:t>
      </w:r>
      <w:r>
        <w:rPr>
          <w:rFonts w:ascii="方正仿宋_GBK" w:hAnsi="宋体" w:eastAsia="方正仿宋_GBK"/>
          <w:sz w:val="24"/>
          <w:szCs w:val="24"/>
        </w:rPr>
        <w:t>合同项</w:t>
      </w:r>
      <w:r>
        <w:rPr>
          <w:rFonts w:hint="eastAsia" w:ascii="方正仿宋_GBK" w:hAnsi="宋体" w:eastAsia="方正仿宋_GBK"/>
          <w:sz w:val="24"/>
          <w:szCs w:val="24"/>
        </w:rPr>
        <w:t>（包）</w:t>
      </w:r>
      <w:r>
        <w:rPr>
          <w:rFonts w:ascii="方正仿宋_GBK" w:hAnsi="宋体" w:eastAsia="方正仿宋_GBK"/>
          <w:sz w:val="24"/>
          <w:szCs w:val="24"/>
        </w:rPr>
        <w:t>下</w:t>
      </w:r>
      <w:r>
        <w:rPr>
          <w:rFonts w:hint="eastAsia" w:ascii="方正仿宋_GBK" w:hAnsi="宋体" w:eastAsia="方正仿宋_GBK"/>
          <w:sz w:val="24"/>
          <w:szCs w:val="24"/>
        </w:rPr>
        <w:t>的货物，制造商参与谈判，再委托代理商参与谈判的；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九</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响应文件内容有与国家现行法律法规相违背的内容，或附有采购人无法接受条件的；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（十）法律、法规和竞争性谈判文件规定的其他无效情形。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8" w:name="_Toc65660353"/>
      <w:bookmarkStart w:id="89" w:name="_Toc29298"/>
      <w:bookmarkStart w:id="90" w:name="_Toc28422"/>
      <w:bookmarkStart w:id="91" w:name="_Toc16495"/>
      <w:r>
        <w:rPr>
          <w:rFonts w:hint="eastAsia" w:ascii="方正仿宋_GBK" w:hAnsi="宋体" w:eastAsia="方正仿宋_GBK"/>
          <w:sz w:val="24"/>
        </w:rPr>
        <w:t>四、采购终止</w:t>
      </w:r>
      <w:bookmarkEnd w:id="88"/>
      <w:bookmarkEnd w:id="89"/>
      <w:bookmarkEnd w:id="90"/>
      <w:bookmarkEnd w:id="91"/>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出现下列情形之一的，</w:t>
      </w:r>
      <w:r>
        <w:rPr>
          <w:rFonts w:hint="eastAsia" w:ascii="方正仿宋_GBK" w:hAnsi="宋体" w:eastAsia="方正仿宋_GBK"/>
          <w:sz w:val="24"/>
          <w:szCs w:val="24"/>
          <w:lang w:val="en-US" w:eastAsia="zh-CN"/>
        </w:rPr>
        <w:t>重庆医科大学附属儿童医院有权</w:t>
      </w:r>
      <w:r>
        <w:rPr>
          <w:rFonts w:hint="eastAsia" w:ascii="方正仿宋_GBK" w:hAnsi="宋体" w:eastAsia="方正仿宋_GBK"/>
          <w:sz w:val="24"/>
          <w:szCs w:val="24"/>
        </w:rPr>
        <w:t>终止竞争性谈判采购活动，发布项目终止公告并说明原因，重新开展采购活动：</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（一）因情况变化，不再符合规定的竞争性谈判采购方式适用情形的；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80" w:firstLineChars="200"/>
        <w:rPr>
          <w:rFonts w:hint="eastAsia" w:ascii="方正仿宋_GBK" w:hAnsi="宋体" w:eastAsia="方正仿宋_GBK"/>
          <w:color w:val="auto"/>
          <w:sz w:val="24"/>
          <w:szCs w:val="24"/>
          <w:lang w:eastAsia="zh-CN"/>
        </w:rPr>
      </w:pPr>
      <w:r>
        <w:rPr>
          <w:rFonts w:hint="eastAsia" w:ascii="方正仿宋_GBK" w:hAnsi="宋体" w:eastAsia="方正仿宋_GBK"/>
          <w:sz w:val="24"/>
          <w:szCs w:val="24"/>
        </w:rPr>
        <w:t>（三）在采购过程中</w:t>
      </w:r>
      <w:r>
        <w:rPr>
          <w:rFonts w:hint="eastAsia" w:ascii="方正仿宋_GBK" w:hAnsi="宋体" w:eastAsia="方正仿宋_GBK"/>
          <w:sz w:val="24"/>
          <w:szCs w:val="24"/>
          <w:lang w:val="en-US" w:eastAsia="zh-CN"/>
        </w:rPr>
        <w:t>有效谈判投标人</w:t>
      </w:r>
      <w:r>
        <w:rPr>
          <w:rFonts w:hint="eastAsia" w:ascii="方正仿宋_GBK" w:hAnsi="宋体" w:eastAsia="方正仿宋_GBK"/>
          <w:sz w:val="24"/>
          <w:szCs w:val="24"/>
        </w:rPr>
        <w:t>不足3家</w:t>
      </w:r>
      <w:r>
        <w:rPr>
          <w:rFonts w:hint="eastAsia" w:ascii="方正仿宋_GBK" w:hAnsi="宋体" w:eastAsia="方正仿宋_GBK"/>
          <w:sz w:val="24"/>
          <w:szCs w:val="24"/>
          <w:lang w:val="en-US" w:eastAsia="zh-CN"/>
        </w:rPr>
        <w:t>的</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挂网2次有效谈判仍不足3家的情形</w:t>
      </w:r>
      <w:r>
        <w:rPr>
          <w:rFonts w:hint="eastAsia" w:ascii="方正仿宋_GBK" w:hAnsi="宋体" w:eastAsia="方正仿宋_GBK"/>
          <w:color w:val="auto"/>
          <w:sz w:val="24"/>
          <w:szCs w:val="24"/>
          <w:lang w:val="en-US" w:eastAsia="zh-CN"/>
        </w:rPr>
        <w:t>除外；</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w:t>
      </w:r>
    </w:p>
    <w:p>
      <w:pPr>
        <w:rPr>
          <w:rFonts w:hint="eastAsia" w:ascii="方正小标宋_GBK" w:eastAsia="方正小标宋_GBK"/>
          <w:b w:val="0"/>
          <w:sz w:val="36"/>
          <w:szCs w:val="30"/>
        </w:rPr>
      </w:pPr>
      <w:bookmarkStart w:id="92" w:name="_Toc65660354"/>
      <w:bookmarkStart w:id="93" w:name="_Toc10768"/>
      <w:bookmarkStart w:id="94" w:name="_Toc20055"/>
    </w:p>
    <w:p>
      <w:pPr>
        <w:rPr>
          <w:rFonts w:hint="eastAsia" w:ascii="方正小标宋_GBK" w:eastAsia="方正小标宋_GBK"/>
          <w:b w:val="0"/>
          <w:sz w:val="36"/>
          <w:szCs w:val="30"/>
        </w:rPr>
      </w:pPr>
      <w:r>
        <w:rPr>
          <w:rFonts w:hint="eastAsia" w:ascii="方正小标宋_GBK" w:eastAsia="方正小标宋_GBK"/>
          <w:b w:val="0"/>
          <w:sz w:val="36"/>
          <w:szCs w:val="30"/>
        </w:rPr>
        <w:br w:type="page"/>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95" w:name="_Toc14526"/>
      <w:r>
        <w:rPr>
          <w:rFonts w:hint="eastAsia" w:ascii="方正仿宋_GBK" w:hAnsi="Times New Roman" w:eastAsia="方正仿宋_GBK" w:cs="Times New Roman"/>
          <w:b/>
          <w:sz w:val="44"/>
          <w:szCs w:val="20"/>
          <w:lang w:val="en-US" w:eastAsia="zh-CN"/>
        </w:rPr>
        <w:t>第五篇  投标人须知</w:t>
      </w:r>
      <w:bookmarkEnd w:id="92"/>
      <w:bookmarkEnd w:id="93"/>
      <w:bookmarkEnd w:id="94"/>
      <w:bookmarkEnd w:id="95"/>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6" w:name="_Toc16524"/>
      <w:bookmarkStart w:id="97" w:name="_Toc65660355"/>
      <w:bookmarkStart w:id="98" w:name="_Toc5290"/>
      <w:bookmarkStart w:id="99" w:name="_Toc2508"/>
      <w:r>
        <w:rPr>
          <w:rFonts w:hint="eastAsia" w:ascii="方正仿宋_GBK" w:hAnsi="宋体" w:eastAsia="方正仿宋_GBK"/>
          <w:sz w:val="24"/>
        </w:rPr>
        <w:t>一、谈判费用</w:t>
      </w:r>
      <w:bookmarkEnd w:id="96"/>
      <w:bookmarkEnd w:id="97"/>
      <w:bookmarkEnd w:id="98"/>
      <w:bookmarkEnd w:id="99"/>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应承担其编制响应文件与递交响应文件所涉及的一切费用，不论谈判结果如何，采购人在任何情况下无义务也无责任承担这些费用。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0" w:name="_Toc31739"/>
      <w:bookmarkStart w:id="101" w:name="_Toc5915"/>
      <w:bookmarkStart w:id="102" w:name="_Toc18014"/>
      <w:bookmarkStart w:id="103" w:name="_Toc65660356"/>
      <w:r>
        <w:rPr>
          <w:rFonts w:hint="eastAsia" w:ascii="方正仿宋_GBK" w:hAnsi="宋体" w:eastAsia="方正仿宋_GBK"/>
          <w:sz w:val="24"/>
        </w:rPr>
        <w:t>二、竞争性谈判文件</w:t>
      </w:r>
      <w:bookmarkEnd w:id="100"/>
      <w:bookmarkEnd w:id="101"/>
      <w:bookmarkEnd w:id="102"/>
      <w:bookmarkEnd w:id="103"/>
      <w:r>
        <w:rPr>
          <w:rFonts w:ascii="方正仿宋_GBK" w:hAnsi="宋体" w:eastAsia="方正仿宋_GBK"/>
          <w:sz w:val="24"/>
        </w:rPr>
        <w:tab/>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（一）竞争性谈判文件由竞争性谈判邀请书、谈判项目技术（质量）需求、谈判项目服务需求、采购程序、评定成交的标准、无效谈判及采购终止、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须知、响应文件格式要求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（二）采购人所作的一切有效的书面通知、修改及补充，都是竞争性谈判文件不可分割的部分。</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（三）本竞争性谈判文件中，谈判小组根据与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谈判情况可能实质性变动的内容为竞争性谈判文件第二、三篇全部内容。</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4" w:name="_Toc3061"/>
      <w:bookmarkStart w:id="105" w:name="_Toc65660357"/>
      <w:bookmarkStart w:id="106" w:name="_Toc10338"/>
      <w:bookmarkStart w:id="107" w:name="_Toc9532"/>
      <w:r>
        <w:rPr>
          <w:rFonts w:hint="eastAsia" w:ascii="方正仿宋_GBK" w:hAnsi="宋体" w:eastAsia="方正仿宋_GBK"/>
          <w:sz w:val="24"/>
        </w:rPr>
        <w:t>三、谈判要求</w:t>
      </w:r>
      <w:bookmarkEnd w:id="104"/>
      <w:bookmarkEnd w:id="105"/>
      <w:bookmarkEnd w:id="106"/>
      <w:bookmarkEnd w:id="107"/>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应当按照竞争性谈判文件的要求编制响应文件，并对竞争性谈判文件提出的要求和条件作出实质性响应，响应文件原则上采用软面订本。</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篇响应文件格式”规定进行编写和装订，也可在基本格式基础上对表格进行扩展，未规定格式的由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2.谈判有效期：响应文件及有关承诺文件有效期为提交响应文件截止时间起90天。</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提交保证金金额和方式详见“</w:t>
      </w:r>
      <w:r>
        <w:rPr>
          <w:rFonts w:hint="eastAsia" w:ascii="方正仿宋_GBK" w:hAnsi="宋体" w:eastAsia="方正仿宋_GBK"/>
          <w:b/>
          <w:sz w:val="24"/>
          <w:szCs w:val="24"/>
          <w:u w:val="single"/>
        </w:rPr>
        <w:t xml:space="preserve">第一篇  </w:t>
      </w:r>
      <w:r>
        <w:rPr>
          <w:rFonts w:hint="eastAsia" w:ascii="方正仿宋_GBK" w:hAnsi="宋体" w:eastAsia="方正仿宋_GBK"/>
          <w:b/>
          <w:sz w:val="24"/>
          <w:szCs w:val="24"/>
          <w:u w:val="single"/>
          <w:lang w:val="en-US" w:eastAsia="zh-CN"/>
        </w:rPr>
        <w:t>四</w:t>
      </w:r>
      <w:r>
        <w:rPr>
          <w:rFonts w:hint="eastAsia" w:ascii="方正仿宋_GBK" w:hAnsi="宋体" w:eastAsia="方正仿宋_GBK"/>
          <w:b/>
          <w:sz w:val="24"/>
          <w:szCs w:val="24"/>
          <w:u w:val="single"/>
        </w:rPr>
        <w:t>、保证金”</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2.发生以下情况之一者，保证金不予退还：</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在提交响应文件截止时间后撤回响应文件的；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在响应文件中提供虚假材料的；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2.3除因不可抗力或竞争性谈判文件认可的情形以外，</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不与采购人签订合同的；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2.4</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与采购人、其他</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或者采购代理机构恶意串通的；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2.5</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不按规定的时间或拒绝按成交状态签订合同（即不按照采购文件确定的合同文本以及采购标的、规格型号、采购金额、采购数量、技术（质量）和服务要求等事项签订采购合同的）。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w:t>
      </w:r>
      <w:r>
        <w:rPr>
          <w:rFonts w:hint="eastAsia" w:ascii="方正仿宋_GBK" w:hAnsi="宋体" w:eastAsia="方正仿宋_GBK"/>
          <w:sz w:val="24"/>
        </w:rPr>
        <w:t>保证金的有效期限在谈判有效期过后三十天继续有效。</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（三）修正错误</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所递交的响应文件或最后报价中的价格出现大写金额和小写金额不一致的错误，以大写金额修正为准。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谈判小组按上述修正错误的原则及方法修正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的报价，</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同意并签署确认后，修正后的报价对</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具有约束作用。如果</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不接受修正后的价格，将视为无效谈判。</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份，其中正本一份，副本</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2.</w:t>
      </w:r>
      <w:r>
        <w:rPr>
          <w:rFonts w:hint="eastAsia" w:ascii="方正仿宋_GBK" w:hAnsi="宋体" w:eastAsia="方正仿宋_GBK"/>
          <w:sz w:val="24"/>
        </w:rPr>
        <w:t>在响应文件正本中，竞争性谈判文件第</w:t>
      </w:r>
      <w:r>
        <w:rPr>
          <w:rFonts w:hint="eastAsia" w:ascii="方正仿宋_GBK" w:hAnsi="宋体" w:eastAsia="方正仿宋_GBK"/>
          <w:sz w:val="24"/>
          <w:lang w:val="en-US" w:eastAsia="zh-CN"/>
        </w:rPr>
        <w:t>六</w:t>
      </w:r>
      <w:r>
        <w:rPr>
          <w:rFonts w:hint="eastAsia" w:ascii="方正仿宋_GBK" w:hAnsi="宋体" w:eastAsia="方正仿宋_GBK"/>
          <w:sz w:val="24"/>
        </w:rPr>
        <w:t>篇响应文件格式中规定签署、盖章的地方必须按其规定签署、盖章。</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3.若</w:t>
      </w:r>
      <w:r>
        <w:rPr>
          <w:rFonts w:hint="eastAsia" w:ascii="方正仿宋_GBK" w:hAnsi="宋体" w:eastAsia="方正仿宋_GBK"/>
          <w:sz w:val="24"/>
          <w:lang w:eastAsia="zh-CN"/>
        </w:rPr>
        <w:t>投标人</w:t>
      </w:r>
      <w:r>
        <w:rPr>
          <w:rFonts w:hint="eastAsia" w:ascii="方正仿宋_GBK" w:hAnsi="宋体" w:eastAsia="方正仿宋_GBK"/>
          <w:sz w:val="24"/>
        </w:rPr>
        <w:t>对响应文件的错处作必要修改，则应在修改处加盖</w:t>
      </w:r>
      <w:r>
        <w:rPr>
          <w:rFonts w:hint="eastAsia" w:ascii="方正仿宋_GBK" w:hAnsi="宋体" w:eastAsia="方正仿宋_GBK"/>
          <w:sz w:val="24"/>
          <w:lang w:eastAsia="zh-CN"/>
        </w:rPr>
        <w:t>投标人</w:t>
      </w:r>
      <w:r>
        <w:rPr>
          <w:rFonts w:hint="eastAsia" w:ascii="方正仿宋_GBK" w:hAnsi="宋体" w:eastAsia="方正仿宋_GBK"/>
          <w:sz w:val="24"/>
        </w:rPr>
        <w:t>公章或由法定代表人（或其授权代表）或自然人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r>
        <w:rPr>
          <w:rFonts w:hint="eastAsia" w:ascii="方正仿宋_GBK" w:hAnsi="宋体" w:eastAsia="方正仿宋_GBK"/>
          <w:sz w:val="24"/>
        </w:rPr>
        <w:t>确认。</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4.电报、电话、传真形式的响应文件概不接受。</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（五）响应文件的递交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响应文件的正本、副本均应密封送达谈判地点，应在封套上注明谈判项目名称、</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名称。若正本、副本分别进行密封的，还应在封套上注明“正本”、“副本”字样。</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（六）响应文件语言：简体中文</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（七）</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应当派1-2名代表参与谈判，至少1人应为法定代表人（或其授权代表）或自然人（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参与谈判人员应熟悉谈判项目技术及商务需求。</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8" w:name="_Toc6242"/>
      <w:bookmarkStart w:id="109" w:name="_Toc1627"/>
      <w:bookmarkStart w:id="110" w:name="_Toc14702"/>
      <w:bookmarkStart w:id="111" w:name="_Toc65660358"/>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的确定和变更</w:t>
      </w:r>
      <w:bookmarkEnd w:id="108"/>
      <w:bookmarkEnd w:id="109"/>
      <w:bookmarkEnd w:id="110"/>
      <w:bookmarkEnd w:id="111"/>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val="en-US" w:eastAsia="zh-CN"/>
        </w:rPr>
        <w:t>采购人</w:t>
      </w:r>
      <w:r>
        <w:rPr>
          <w:rFonts w:hint="eastAsia" w:ascii="方正仿宋_GBK" w:hAnsi="宋体" w:eastAsia="方正仿宋_GBK"/>
          <w:color w:val="auto"/>
          <w:sz w:val="24"/>
          <w:szCs w:val="24"/>
        </w:rPr>
        <w:t>根据质量和服务均能满足采购文件实质性响应要求且最后报价最低的原则确定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拒绝签订采购合同的，采购人可以按照评审报告推荐的成交候选人顺序，确定排名下一位的候选人为</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，也可以重新开展采购活动。拒绝签订采购合同的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不得参加对该项目重新开展的采购活动。</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2.</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无充分理由放弃成交的，采购人</w:t>
      </w:r>
      <w:r>
        <w:rPr>
          <w:rFonts w:hint="eastAsia" w:ascii="方正仿宋_GBK" w:hAnsi="宋体" w:eastAsia="方正仿宋_GBK"/>
          <w:color w:val="auto"/>
          <w:sz w:val="24"/>
          <w:szCs w:val="24"/>
          <w:lang w:val="en-US" w:eastAsia="zh-CN"/>
        </w:rPr>
        <w:t>有权</w:t>
      </w:r>
      <w:r>
        <w:rPr>
          <w:rFonts w:hint="eastAsia" w:ascii="方正仿宋_GBK" w:hAnsi="宋体" w:eastAsia="方正仿宋_GBK"/>
          <w:color w:val="auto"/>
          <w:sz w:val="24"/>
          <w:szCs w:val="24"/>
        </w:rPr>
        <w:t>向同级财政部门报告，财政部门将根据相关法律法规的规定进行处理。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2" w:name="_Toc29821"/>
      <w:bookmarkStart w:id="113" w:name="_Toc16083"/>
      <w:bookmarkStart w:id="114" w:name="_Toc1092"/>
      <w:bookmarkStart w:id="115" w:name="_Toc65660359"/>
      <w:r>
        <w:rPr>
          <w:rFonts w:hint="eastAsia" w:ascii="方正仿宋_GBK" w:hAnsi="宋体" w:eastAsia="方正仿宋_GBK"/>
          <w:sz w:val="24"/>
        </w:rPr>
        <w:t>五、成交通知</w:t>
      </w:r>
      <w:bookmarkEnd w:id="112"/>
      <w:bookmarkEnd w:id="113"/>
      <w:bookmarkEnd w:id="114"/>
      <w:bookmarkEnd w:id="115"/>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将在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）上发布成交结果公告。</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（二）结果公告发出同时，将</w:t>
      </w:r>
      <w:r>
        <w:rPr>
          <w:rFonts w:hint="eastAsia" w:ascii="方正仿宋_GBK" w:hAnsi="宋体" w:eastAsia="方正仿宋_GBK"/>
          <w:sz w:val="24"/>
          <w:szCs w:val="24"/>
          <w:lang w:val="en-US" w:eastAsia="zh-CN"/>
        </w:rPr>
        <w:t>在平台内</w:t>
      </w:r>
      <w:r>
        <w:rPr>
          <w:rFonts w:hint="eastAsia" w:ascii="方正仿宋_GBK" w:hAnsi="宋体" w:eastAsia="方正仿宋_GBK"/>
          <w:sz w:val="24"/>
          <w:szCs w:val="24"/>
        </w:rPr>
        <w:t>发出《成交通知书》。</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（三）《成交通知书》将作为签订合同的依据。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16" w:name="_Toc1010"/>
      <w:bookmarkStart w:id="117" w:name="_Toc65660360"/>
      <w:bookmarkStart w:id="118" w:name="_Toc30909"/>
      <w:bookmarkStart w:id="119" w:name="_Toc17142"/>
      <w:r>
        <w:rPr>
          <w:rFonts w:hint="eastAsia" w:ascii="方正仿宋_GBK" w:hAnsi="宋体" w:eastAsia="方正仿宋_GBK"/>
          <w:sz w:val="24"/>
        </w:rPr>
        <w:t>六、质疑</w:t>
      </w:r>
      <w:bookmarkEnd w:id="116"/>
      <w:bookmarkEnd w:id="117"/>
      <w:bookmarkEnd w:id="118"/>
      <w:r>
        <w:rPr>
          <w:rFonts w:hint="eastAsia" w:ascii="方正仿宋_GBK" w:hAnsi="宋体" w:eastAsia="方正仿宋_GBK"/>
          <w:sz w:val="24"/>
          <w:lang w:val="en-US" w:eastAsia="zh-CN"/>
        </w:rPr>
        <w:t>处理</w:t>
      </w:r>
      <w:bookmarkEnd w:id="119"/>
    </w:p>
    <w:p>
      <w:pPr>
        <w:spacing w:line="400" w:lineRule="exact"/>
        <w:ind w:firstLine="480" w:firstLineChars="200"/>
        <w:rPr>
          <w:rFonts w:ascii="方正仿宋_GBK" w:hAnsi="宋体" w:eastAsia="方正仿宋_GBK"/>
          <w:sz w:val="24"/>
          <w:szCs w:val="24"/>
        </w:rPr>
      </w:pPr>
      <w:bookmarkStart w:id="120" w:name="_Toc16648"/>
      <w:bookmarkStart w:id="121" w:name="_Toc65660361"/>
      <w:bookmarkStart w:id="122" w:name="_Toc3127"/>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谈判</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color w:val="FF0000"/>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的书面质疑后七个工作日内作出答复，并以书面形式通知质疑</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和其他有关</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3" w:name="_Toc32729"/>
      <w:r>
        <w:rPr>
          <w:rFonts w:hint="eastAsia" w:ascii="方正仿宋_GBK" w:hAnsi="宋体" w:eastAsia="方正仿宋_GBK"/>
          <w:sz w:val="24"/>
        </w:rPr>
        <w:t>七、签订合同</w:t>
      </w:r>
      <w:bookmarkEnd w:id="120"/>
      <w:bookmarkEnd w:id="121"/>
      <w:bookmarkEnd w:id="122"/>
      <w:bookmarkEnd w:id="123"/>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一</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中标人应于收到中标通知书之日起5个工作日内，按照中标项目的招标文件与投标文件递交采购合同；</w:t>
      </w:r>
    </w:p>
    <w:p>
      <w:pPr>
        <w:spacing w:line="400" w:lineRule="exact"/>
        <w:ind w:firstLine="360" w:firstLineChars="1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val="en-US" w:eastAsia="zh-CN"/>
        </w:rPr>
        <w:t xml:space="preserve">  （二）</w:t>
      </w:r>
      <w:r>
        <w:rPr>
          <w:rFonts w:hint="eastAsia" w:ascii="方正仿宋_GBK" w:hAnsi="方正仿宋_GBK" w:eastAsia="方正仿宋_GBK" w:cs="Times New Roman"/>
          <w:sz w:val="24"/>
        </w:rPr>
        <w:t>中标人未在规定时间内递交合同或放弃中标资格，则招标人将有充分的理由废除授标，将中标人纳入</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失信</w:t>
      </w:r>
      <w:r>
        <w:rPr>
          <w:rFonts w:hint="eastAsia" w:ascii="方正仿宋_GBK" w:hAnsi="方正仿宋_GBK" w:eastAsia="方正仿宋_GBK" w:cs="Times New Roman"/>
          <w:sz w:val="24"/>
          <w:lang w:eastAsia="zh-CN"/>
        </w:rPr>
        <w:t>投标人</w:t>
      </w:r>
      <w:r>
        <w:rPr>
          <w:rFonts w:hint="eastAsia" w:ascii="方正仿宋_GBK" w:hAnsi="方正仿宋_GBK" w:eastAsia="方正仿宋_GBK" w:cs="Times New Roman"/>
          <w:sz w:val="24"/>
        </w:rPr>
        <w:t>名单并扣除该项目的投标保证金，两年之内不得参与</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任何级别的招标项目；</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三</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如招标人因中标人未按时递交合同或放弃中标资格而造成损失，中标人应予以赔偿，同时依法承担相应法律责任；</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四</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中标人应当按照合同约定履行义务，完成中标项目，不得将中标项目转让(转包)</w:t>
      </w:r>
      <w:r>
        <w:rPr>
          <w:rFonts w:hint="eastAsia" w:ascii="方正仿宋_GBK" w:hAnsi="方正仿宋_GBK" w:eastAsia="方正仿宋_GBK" w:cs="Times New Roman"/>
          <w:sz w:val="24"/>
          <w:lang w:val="en-US" w:eastAsia="zh-CN"/>
        </w:rPr>
        <w:t>或分包</w:t>
      </w:r>
      <w:r>
        <w:rPr>
          <w:rFonts w:hint="eastAsia" w:ascii="方正仿宋_GBK" w:hAnsi="方正仿宋_GBK" w:eastAsia="方正仿宋_GBK" w:cs="Times New Roman"/>
          <w:sz w:val="24"/>
        </w:rPr>
        <w:t>给他人。</w:t>
      </w:r>
    </w:p>
    <w:p>
      <w:pPr>
        <w:spacing w:line="400" w:lineRule="exact"/>
        <w:ind w:firstLine="720" w:firstLineChars="300"/>
        <w:rPr>
          <w:rFonts w:hint="eastAsia" w:ascii="方正仿宋_GBK" w:hAnsi="宋体" w:eastAsia="方正仿宋_GBK"/>
          <w:sz w:val="24"/>
          <w:szCs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五</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交货期限是指自确定中标之日起，乙方按开标现场承诺的时间，在甲方指定地点交付本合同约定的所有货品。</w:t>
      </w:r>
    </w:p>
    <w:p>
      <w:pPr>
        <w:spacing w:line="360" w:lineRule="auto"/>
        <w:ind w:firstLine="480" w:firstLineChars="200"/>
        <w:rPr>
          <w:rFonts w:ascii="宋体" w:hAnsi="宋体"/>
          <w:sz w:val="24"/>
          <w:szCs w:val="24"/>
        </w:rPr>
        <w:sectPr>
          <w:pgSz w:w="11907" w:h="16840"/>
          <w:pgMar w:top="1134" w:right="1191" w:bottom="1134" w:left="1304" w:header="964" w:footer="992" w:gutter="0"/>
          <w:pgNumType w:fmt="decimal"/>
          <w:cols w:space="720" w:num="1"/>
          <w:docGrid w:linePitch="312" w:charSpace="0"/>
        </w:sectPr>
      </w:pPr>
    </w:p>
    <w:bookmarkEnd w:id="69"/>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124" w:name="_Hlt41879464"/>
      <w:bookmarkEnd w:id="124"/>
      <w:bookmarkStart w:id="125" w:name="_Toc6968"/>
      <w:bookmarkStart w:id="126" w:name="_Toc14203"/>
      <w:bookmarkStart w:id="127" w:name="_Toc9538"/>
      <w:bookmarkStart w:id="128" w:name="_Toc12789072"/>
      <w:bookmarkStart w:id="129" w:name="_Toc65660378"/>
      <w:r>
        <w:rPr>
          <w:rFonts w:hint="eastAsia" w:ascii="方正仿宋_GBK" w:hAnsi="Times New Roman" w:eastAsia="方正仿宋_GBK" w:cs="Times New Roman"/>
          <w:b/>
          <w:sz w:val="44"/>
          <w:szCs w:val="20"/>
          <w:lang w:val="en-US" w:eastAsia="zh-CN"/>
        </w:rPr>
        <w:t>第六篇  响应文件格式要求</w:t>
      </w:r>
      <w:bookmarkEnd w:id="125"/>
      <w:bookmarkEnd w:id="126"/>
      <w:bookmarkEnd w:id="127"/>
      <w:bookmarkEnd w:id="128"/>
      <w:bookmarkEnd w:id="129"/>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明细报价表</w:t>
      </w:r>
    </w:p>
    <w:p>
      <w:pPr>
        <w:spacing w:line="400" w:lineRule="exact"/>
        <w:ind w:firstLine="480" w:firstLineChars="200"/>
        <w:rPr>
          <w:rFonts w:hint="default" w:ascii="方正仿宋_GBK" w:hAnsi="宋体" w:eastAsia="方正仿宋_GBK"/>
          <w:b w:val="0"/>
          <w:bCs/>
          <w:sz w:val="24"/>
          <w:szCs w:val="24"/>
          <w:lang w:val="en-US" w:eastAsia="zh-CN"/>
        </w:rPr>
      </w:pPr>
      <w:r>
        <w:rPr>
          <w:rFonts w:hint="eastAsia" w:ascii="方正仿宋_GBK" w:hAnsi="宋体" w:eastAsia="方正仿宋_GBK"/>
          <w:b w:val="0"/>
          <w:bCs/>
          <w:sz w:val="24"/>
          <w:szCs w:val="24"/>
          <w:lang w:eastAsia="zh-CN"/>
        </w:rPr>
        <w:t>（</w:t>
      </w:r>
      <w:r>
        <w:rPr>
          <w:rFonts w:hint="eastAsia" w:ascii="方正仿宋_GBK" w:hAnsi="宋体" w:eastAsia="方正仿宋_GBK"/>
          <w:b w:val="0"/>
          <w:bCs/>
          <w:sz w:val="24"/>
          <w:szCs w:val="24"/>
          <w:lang w:val="en-US" w:eastAsia="zh-CN"/>
        </w:rPr>
        <w:t>三</w:t>
      </w:r>
      <w:r>
        <w:rPr>
          <w:rFonts w:hint="eastAsia" w:ascii="方正仿宋_GBK" w:hAnsi="宋体" w:eastAsia="方正仿宋_GBK"/>
          <w:b w:val="0"/>
          <w:bCs/>
          <w:sz w:val="24"/>
          <w:szCs w:val="24"/>
          <w:lang w:eastAsia="zh-CN"/>
        </w:rPr>
        <w:t>）</w:t>
      </w:r>
      <w:r>
        <w:rPr>
          <w:rFonts w:hint="eastAsia" w:ascii="方正仿宋_GBK" w:hAnsi="宋体" w:eastAsia="方正仿宋_GBK"/>
          <w:b w:val="0"/>
          <w:bCs/>
          <w:sz w:val="24"/>
          <w:szCs w:val="24"/>
          <w:lang w:val="en-US" w:eastAsia="zh-CN"/>
        </w:rPr>
        <w:t>开标现场最终报价表</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二、技术（质量）部分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三、</w:t>
      </w:r>
      <w:r>
        <w:rPr>
          <w:rFonts w:hint="eastAsia" w:ascii="方正仿宋_GBK" w:hAnsi="宋体" w:eastAsia="方正仿宋_GBK"/>
          <w:b/>
          <w:sz w:val="24"/>
          <w:szCs w:val="24"/>
          <w:lang w:val="en-US" w:eastAsia="zh-CN"/>
        </w:rPr>
        <w:t>商务</w:t>
      </w:r>
      <w:r>
        <w:rPr>
          <w:rFonts w:hint="eastAsia" w:ascii="方正仿宋_GBK" w:hAnsi="宋体" w:eastAsia="方正仿宋_GBK"/>
          <w:b/>
          <w:sz w:val="24"/>
          <w:szCs w:val="24"/>
        </w:rPr>
        <w:t>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（二）其它优惠承诺（格式自定）</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w:t>
      </w:r>
    </w:p>
    <w:p>
      <w:pPr>
        <w:pStyle w:val="33"/>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价格依据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（三）其他与项目有关的资料（自附）</w:t>
      </w:r>
    </w:p>
    <w:p>
      <w:pPr>
        <w:snapToGrid w:val="0"/>
        <w:spacing w:line="360" w:lineRule="auto"/>
        <w:rPr>
          <w:rFonts w:ascii="宋体" w:hAnsi="宋体"/>
          <w:sz w:val="24"/>
          <w:szCs w:val="24"/>
          <w:bdr w:val="single" w:color="auto" w:sz="4" w:space="0"/>
        </w:rPr>
        <w:sectPr>
          <w:footerReference r:id="rId8" w:type="default"/>
          <w:pgSz w:w="11907" w:h="16840"/>
          <w:pgMar w:top="1134" w:right="1191" w:bottom="1134" w:left="1304" w:header="851" w:footer="992" w:gutter="0"/>
          <w:pgNumType w:fmt="decimal"/>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30" w:name="_Toc26343"/>
      <w:bookmarkStart w:id="131" w:name="_Toc342913419"/>
      <w:bookmarkStart w:id="132" w:name="_Toc14244"/>
      <w:bookmarkStart w:id="133" w:name="_Toc65660379"/>
      <w:bookmarkStart w:id="134" w:name="_Toc313888360"/>
      <w:bookmarkStart w:id="135" w:name="_Toc313008356"/>
      <w:bookmarkStart w:id="136" w:name="_Toc12789073"/>
      <w:bookmarkStart w:id="137"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竞争性谈判</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0" w:type="first"/>
          <w:footerReference r:id="rId13" w:type="first"/>
          <w:headerReference r:id="rId9" w:type="default"/>
          <w:footerReference r:id="rId11" w:type="default"/>
          <w:footerReference r:id="rId12"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8" w:name="_Toc10023"/>
      <w:r>
        <w:rPr>
          <w:rFonts w:hint="eastAsia" w:ascii="方正仿宋_GBK" w:hAnsi="宋体" w:eastAsia="方正仿宋_GBK"/>
          <w:sz w:val="24"/>
        </w:rPr>
        <w:t>一、经济部分</w:t>
      </w:r>
      <w:bookmarkEnd w:id="130"/>
      <w:bookmarkEnd w:id="131"/>
      <w:bookmarkEnd w:id="132"/>
      <w:bookmarkEnd w:id="133"/>
      <w:bookmarkEnd w:id="134"/>
      <w:bookmarkEnd w:id="135"/>
      <w:bookmarkEnd w:id="138"/>
    </w:p>
    <w:bookmarkEnd w:id="136"/>
    <w:bookmarkEnd w:id="137"/>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tabs>
          <w:tab w:val="left" w:pos="6300"/>
        </w:tabs>
        <w:snapToGrid w:val="0"/>
        <w:spacing w:line="312" w:lineRule="auto"/>
        <w:ind w:firstLine="560"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开标一览表</w:t>
      </w:r>
    </w:p>
    <w:p>
      <w:pPr>
        <w:tabs>
          <w:tab w:val="left" w:pos="6300"/>
        </w:tabs>
        <w:snapToGrid w:val="0"/>
        <w:spacing w:line="312" w:lineRule="auto"/>
        <w:jc w:val="left"/>
        <w:rPr>
          <w:rFonts w:hint="default" w:ascii="方正仿宋_GBK" w:hAnsi="宋体" w:eastAsia="方正仿宋_GBK"/>
          <w:b w:val="0"/>
          <w:sz w:val="24"/>
          <w:szCs w:val="24"/>
          <w:lang w:val="en-US" w:eastAsia="zh-CN"/>
        </w:rPr>
      </w:pPr>
      <w:r>
        <w:rPr>
          <w:rFonts w:hint="eastAsia" w:ascii="方正仿宋_GBK" w:hAnsi="宋体" w:eastAsia="方正仿宋_GBK"/>
          <w:b w:val="0"/>
          <w:sz w:val="24"/>
          <w:szCs w:val="24"/>
          <w:lang w:val="en-US" w:eastAsia="zh-CN"/>
        </w:rPr>
        <w:t>项目编号及名称：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142"/>
        <w:gridCol w:w="189"/>
        <w:gridCol w:w="803"/>
        <w:gridCol w:w="202"/>
        <w:gridCol w:w="1499"/>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投标人名称</w:t>
            </w:r>
          </w:p>
        </w:tc>
        <w:tc>
          <w:tcPr>
            <w:tcW w:w="7549" w:type="dxa"/>
            <w:gridSpan w:val="1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产品名称</w:t>
            </w:r>
          </w:p>
        </w:tc>
        <w:tc>
          <w:tcPr>
            <w:tcW w:w="3686" w:type="dxa"/>
            <w:gridSpan w:val="9"/>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c>
          <w:tcPr>
            <w:tcW w:w="1194" w:type="dxa"/>
            <w:gridSpan w:val="3"/>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生产企业</w:t>
            </w:r>
          </w:p>
        </w:tc>
        <w:tc>
          <w:tcPr>
            <w:tcW w:w="3520"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规格/型号</w:t>
            </w:r>
          </w:p>
        </w:tc>
        <w:tc>
          <w:tcPr>
            <w:tcW w:w="3686" w:type="dxa"/>
            <w:gridSpan w:val="9"/>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194"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 地</w:t>
            </w:r>
          </w:p>
        </w:tc>
        <w:tc>
          <w:tcPr>
            <w:tcW w:w="3520" w:type="dxa"/>
            <w:gridSpan w:val="2"/>
            <w:vAlign w:val="center"/>
          </w:tcPr>
          <w:p>
            <w:pPr>
              <w:spacing w:line="400" w:lineRule="exact"/>
              <w:jc w:val="center"/>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投标单价（元）</w:t>
            </w:r>
          </w:p>
        </w:tc>
        <w:tc>
          <w:tcPr>
            <w:tcW w:w="1134"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709"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计数单位</w:t>
            </w:r>
          </w:p>
        </w:tc>
        <w:tc>
          <w:tcPr>
            <w:tcW w:w="851" w:type="dxa"/>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181" w:type="dxa"/>
            <w:gridSpan w:val="4"/>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投标数量</w:t>
            </w:r>
          </w:p>
        </w:tc>
        <w:tc>
          <w:tcPr>
            <w:tcW w:w="803" w:type="dxa"/>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投标总价</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（小写）</w:t>
            </w:r>
          </w:p>
        </w:tc>
        <w:tc>
          <w:tcPr>
            <w:tcW w:w="2021" w:type="dxa"/>
            <w:vAlign w:val="center"/>
          </w:tcPr>
          <w:p>
            <w:pPr>
              <w:spacing w:line="400" w:lineRule="exact"/>
              <w:ind w:firstLine="480" w:firstLineChars="200"/>
              <w:jc w:val="left"/>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5"/>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质保期</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（年）</w:t>
            </w:r>
          </w:p>
        </w:tc>
        <w:tc>
          <w:tcPr>
            <w:tcW w:w="1418"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3"/>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交货时间</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1417" w:type="dxa"/>
            <w:gridSpan w:val="4"/>
            <w:vAlign w:val="center"/>
          </w:tcPr>
          <w:p>
            <w:pPr>
              <w:spacing w:line="400" w:lineRule="exact"/>
              <w:jc w:val="both"/>
              <w:rPr>
                <w:rFonts w:hint="eastAsia" w:ascii="方正仿宋_GBK" w:hAnsi="宋体" w:eastAsia="方正仿宋_GBK" w:cs="Times New Roman"/>
                <w:sz w:val="24"/>
                <w:szCs w:val="24"/>
                <w:lang w:val="en-US" w:eastAsia="zh-CN"/>
              </w:rPr>
            </w:pPr>
          </w:p>
        </w:tc>
        <w:tc>
          <w:tcPr>
            <w:tcW w:w="1701" w:type="dxa"/>
            <w:gridSpan w:val="2"/>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安装时间</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2021" w:type="dxa"/>
            <w:vAlign w:val="center"/>
          </w:tcPr>
          <w:p>
            <w:pPr>
              <w:spacing w:line="400" w:lineRule="exact"/>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售后响应时间</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（小时）</w:t>
            </w:r>
          </w:p>
        </w:tc>
        <w:tc>
          <w:tcPr>
            <w:tcW w:w="992"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培训人员数量/培训时长</w:t>
            </w:r>
          </w:p>
        </w:tc>
        <w:tc>
          <w:tcPr>
            <w:tcW w:w="1336" w:type="dxa"/>
            <w:gridSpan w:val="4"/>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w:t>
            </w:r>
          </w:p>
        </w:tc>
        <w:tc>
          <w:tcPr>
            <w:tcW w:w="1499"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是否接受付款方式</w:t>
            </w:r>
          </w:p>
        </w:tc>
        <w:tc>
          <w:tcPr>
            <w:tcW w:w="2021" w:type="dxa"/>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随机备品、附件、工具数量及供应方式</w:t>
            </w:r>
          </w:p>
        </w:tc>
        <w:tc>
          <w:tcPr>
            <w:tcW w:w="7549" w:type="dxa"/>
            <w:gridSpan w:val="1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5"/>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备注： </w:t>
            </w:r>
          </w:p>
        </w:tc>
      </w:tr>
    </w:tbl>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                                   法定代表人授权代表：</w:t>
      </w: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（投标人公章）                               （签字或盖章）</w:t>
      </w: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年     月     日</w:t>
      </w:r>
    </w:p>
    <w:p>
      <w:pPr>
        <w:spacing w:line="400" w:lineRule="exact"/>
        <w:ind w:firstLine="480" w:firstLineChars="200"/>
        <w:rPr>
          <w:rFonts w:hint="eastAsia" w:ascii="方正仿宋_GBK" w:hAnsi="宋体" w:eastAsia="方正仿宋_GBK"/>
          <w:sz w:val="24"/>
          <w:szCs w:val="24"/>
        </w:rPr>
      </w:pPr>
    </w:p>
    <w:p>
      <w:pPr>
        <w:pStyle w:val="2"/>
        <w:rPr>
          <w:rFonts w:hint="eastAsia" w:ascii="方正仿宋_GBK" w:hAnsi="宋体" w:eastAsia="方正仿宋_GBK"/>
          <w:sz w:val="24"/>
          <w:szCs w:val="24"/>
        </w:rPr>
      </w:pPr>
    </w:p>
    <w:p>
      <w:pPr>
        <w:rPr>
          <w:rFonts w:hint="eastAsia" w:ascii="方正仿宋_GBK" w:hAnsi="宋体" w:eastAsia="方正仿宋_GBK"/>
          <w:sz w:val="24"/>
          <w:szCs w:val="24"/>
        </w:rPr>
      </w:pPr>
    </w:p>
    <w:p>
      <w:pPr>
        <w:pStyle w:val="2"/>
        <w:rPr>
          <w:rFonts w:hint="eastAsia" w:ascii="方正仿宋_GBK" w:hAnsi="宋体" w:eastAsia="方正仿宋_GBK"/>
          <w:sz w:val="24"/>
          <w:szCs w:val="24"/>
        </w:rPr>
      </w:pPr>
    </w:p>
    <w:p>
      <w:pPr>
        <w:rPr>
          <w:rFonts w:hint="eastAsia"/>
        </w:rPr>
      </w:pPr>
    </w:p>
    <w:p>
      <w:pPr>
        <w:tabs>
          <w:tab w:val="left" w:pos="2895"/>
        </w:tabs>
        <w:spacing w:line="400" w:lineRule="exact"/>
        <w:ind w:firstLine="480" w:firstLineChars="200"/>
        <w:rPr>
          <w:rFonts w:hint="eastAsia" w:ascii="方正仿宋_GBK" w:hAnsi="宋体" w:eastAsia="方正仿宋_GBK"/>
          <w:sz w:val="24"/>
          <w:szCs w:val="24"/>
        </w:rPr>
      </w:pPr>
      <w:bookmarkStart w:id="139" w:name="_Toc12313"/>
      <w:bookmarkStart w:id="140" w:name="_Toc65660380"/>
      <w:bookmarkStart w:id="141" w:name="_Toc342913420"/>
      <w:bookmarkStart w:id="142" w:name="_Toc14073"/>
      <w:bookmarkStart w:id="143" w:name="_Toc313008357"/>
      <w:bookmarkStart w:id="144" w:name="_Toc313888361"/>
      <w:bookmarkStart w:id="145" w:name="_Toc22655"/>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（二）明细报价表                              </w:t>
      </w:r>
    </w:p>
    <w:p>
      <w:pPr>
        <w:spacing w:line="400" w:lineRule="exact"/>
        <w:rPr>
          <w:rFonts w:hint="eastAsia" w:ascii="方正仿宋_GBK" w:hAnsi="宋体" w:eastAsia="方正仿宋_GBK"/>
          <w:b w:val="0"/>
          <w:sz w:val="24"/>
          <w:szCs w:val="24"/>
          <w:lang w:val="en-US" w:eastAsia="zh-CN"/>
        </w:rPr>
      </w:pPr>
    </w:p>
    <w:p>
      <w:pPr>
        <w:spacing w:line="400" w:lineRule="exact"/>
        <w:rPr>
          <w:rFonts w:hint="eastAsia" w:ascii="方正仿宋_GBK" w:hAnsi="宋体" w:eastAsia="方正仿宋_GBK"/>
          <w:sz w:val="24"/>
          <w:szCs w:val="24"/>
          <w:u w:val="single"/>
        </w:rPr>
      </w:pPr>
      <w:r>
        <w:rPr>
          <w:rFonts w:hint="eastAsia" w:ascii="方正仿宋_GBK" w:hAnsi="宋体" w:eastAsia="方正仿宋_GBK"/>
          <w:b w:val="0"/>
          <w:sz w:val="24"/>
          <w:szCs w:val="24"/>
          <w:lang w:val="en-US" w:eastAsia="zh-CN"/>
        </w:rPr>
        <w:t>项目编号及名称：</w:t>
      </w:r>
      <w:r>
        <w:rPr>
          <w:rFonts w:hint="eastAsia" w:ascii="方正仿宋_GBK" w:hAnsi="宋体" w:eastAsia="方正仿宋_GBK"/>
          <w:sz w:val="24"/>
          <w:szCs w:val="24"/>
        </w:rPr>
        <w:t xml:space="preserve"> </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8"/>
        <w:gridCol w:w="1721"/>
        <w:gridCol w:w="1417"/>
        <w:gridCol w:w="1250"/>
        <w:gridCol w:w="867"/>
        <w:gridCol w:w="1186"/>
        <w:gridCol w:w="1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648"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产品名称</w:t>
            </w:r>
          </w:p>
        </w:tc>
        <w:tc>
          <w:tcPr>
            <w:tcW w:w="1721"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品牌及产地</w:t>
            </w:r>
          </w:p>
        </w:tc>
        <w:tc>
          <w:tcPr>
            <w:tcW w:w="1417"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制造商名称</w:t>
            </w:r>
          </w:p>
        </w:tc>
        <w:tc>
          <w:tcPr>
            <w:tcW w:w="1250"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规格型号</w:t>
            </w:r>
          </w:p>
        </w:tc>
        <w:tc>
          <w:tcPr>
            <w:tcW w:w="867"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数量</w:t>
            </w:r>
          </w:p>
        </w:tc>
        <w:tc>
          <w:tcPr>
            <w:tcW w:w="1186" w:type="dxa"/>
            <w:noWrap w:val="0"/>
            <w:vAlign w:val="center"/>
          </w:tcPr>
          <w:p>
            <w:pPr>
              <w:pStyle w:val="32"/>
              <w:jc w:val="center"/>
              <w:rPr>
                <w:rFonts w:hint="eastAsia" w:ascii="方正仿宋_GBK" w:hAnsi="宋体" w:eastAsia="方正仿宋_GBK"/>
                <w:sz w:val="24"/>
                <w:szCs w:val="28"/>
              </w:rPr>
            </w:pPr>
            <w:r>
              <w:rPr>
                <w:rFonts w:hint="eastAsia" w:ascii="方正仿宋_GBK" w:hAnsi="宋体" w:eastAsia="方正仿宋_GBK"/>
                <w:sz w:val="24"/>
                <w:szCs w:val="28"/>
              </w:rPr>
              <w:t>单价</w:t>
            </w:r>
          </w:p>
          <w:p>
            <w:pPr>
              <w:pStyle w:val="32"/>
              <w:jc w:val="center"/>
              <w:rPr>
                <w:rFonts w:hint="eastAsia" w:ascii="方正仿宋_GBK" w:hAnsi="宋体" w:eastAsia="方正仿宋_GBK"/>
                <w:sz w:val="24"/>
                <w:szCs w:val="28"/>
              </w:rPr>
            </w:pPr>
            <w:r>
              <w:rPr>
                <w:rFonts w:hint="eastAsia" w:ascii="方正仿宋_GBK" w:hAnsi="宋体" w:eastAsia="方正仿宋_GBK"/>
                <w:sz w:val="24"/>
                <w:szCs w:val="28"/>
              </w:rPr>
              <w:t>（   ）</w:t>
            </w:r>
          </w:p>
        </w:tc>
        <w:tc>
          <w:tcPr>
            <w:tcW w:w="1233"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合计</w:t>
            </w:r>
          </w:p>
          <w:p>
            <w:pPr>
              <w:jc w:val="center"/>
              <w:rPr>
                <w:rFonts w:hint="eastAsia" w:ascii="方正仿宋_GBK" w:hAnsi="宋体" w:eastAsia="方正仿宋_GBK"/>
                <w:sz w:val="24"/>
                <w:szCs w:val="28"/>
              </w:rPr>
            </w:pPr>
            <w:r>
              <w:rPr>
                <w:rFonts w:hint="eastAsia" w:ascii="方正仿宋_GBK" w:hAnsi="宋体" w:eastAsia="方正仿宋_GBK"/>
                <w:sz w:val="24"/>
                <w:szCs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648"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721"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417"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250"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867"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186"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233" w:type="dxa"/>
            <w:tcBorders>
              <w:bottom w:val="single" w:color="auto" w:sz="4" w:space="0"/>
            </w:tcBorders>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648"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721"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417"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250"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867"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186"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233" w:type="dxa"/>
            <w:tcBorders>
              <w:bottom w:val="single" w:color="auto" w:sz="4" w:space="0"/>
            </w:tcBorders>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648" w:type="dxa"/>
            <w:noWrap w:val="0"/>
            <w:vAlign w:val="center"/>
          </w:tcPr>
          <w:p>
            <w:pPr>
              <w:jc w:val="center"/>
              <w:rPr>
                <w:rFonts w:hint="eastAsia" w:ascii="方正仿宋_GBK" w:hAnsi="宋体" w:eastAsia="方正仿宋_GBK"/>
                <w:sz w:val="24"/>
                <w:szCs w:val="28"/>
              </w:rPr>
            </w:pPr>
          </w:p>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648" w:type="dxa"/>
            <w:noWrap w:val="0"/>
            <w:vAlign w:val="center"/>
          </w:tcPr>
          <w:p>
            <w:pPr>
              <w:jc w:val="center"/>
              <w:rPr>
                <w:rFonts w:hint="eastAsia" w:ascii="方正仿宋_GBK" w:hAnsi="宋体" w:eastAsia="方正仿宋_GBK"/>
                <w:sz w:val="24"/>
                <w:szCs w:val="28"/>
              </w:rPr>
            </w:pPr>
          </w:p>
        </w:tc>
        <w:tc>
          <w:tcPr>
            <w:tcW w:w="1721" w:type="dxa"/>
            <w:noWrap w:val="0"/>
            <w:vAlign w:val="center"/>
          </w:tcPr>
          <w:p>
            <w:pPr>
              <w:jc w:val="center"/>
              <w:rPr>
                <w:rFonts w:hint="eastAsia" w:ascii="方正仿宋_GBK" w:hAnsi="宋体" w:eastAsia="方正仿宋_GBK"/>
                <w:sz w:val="24"/>
                <w:szCs w:val="28"/>
              </w:rPr>
            </w:pPr>
          </w:p>
        </w:tc>
        <w:tc>
          <w:tcPr>
            <w:tcW w:w="1417" w:type="dxa"/>
            <w:noWrap w:val="0"/>
            <w:vAlign w:val="center"/>
          </w:tcPr>
          <w:p>
            <w:pPr>
              <w:jc w:val="center"/>
              <w:rPr>
                <w:rFonts w:hint="eastAsia" w:ascii="方正仿宋_GBK" w:hAnsi="宋体" w:eastAsia="方正仿宋_GBK"/>
                <w:sz w:val="24"/>
                <w:szCs w:val="28"/>
              </w:rPr>
            </w:pPr>
          </w:p>
        </w:tc>
        <w:tc>
          <w:tcPr>
            <w:tcW w:w="1250" w:type="dxa"/>
            <w:noWrap w:val="0"/>
            <w:vAlign w:val="center"/>
          </w:tcPr>
          <w:p>
            <w:pPr>
              <w:jc w:val="center"/>
              <w:rPr>
                <w:rFonts w:hint="eastAsia" w:ascii="方正仿宋_GBK" w:hAnsi="宋体" w:eastAsia="方正仿宋_GBK"/>
                <w:sz w:val="24"/>
                <w:szCs w:val="28"/>
              </w:rPr>
            </w:pPr>
          </w:p>
        </w:tc>
        <w:tc>
          <w:tcPr>
            <w:tcW w:w="867" w:type="dxa"/>
            <w:noWrap w:val="0"/>
            <w:vAlign w:val="center"/>
          </w:tcPr>
          <w:p>
            <w:pPr>
              <w:jc w:val="center"/>
              <w:rPr>
                <w:rFonts w:hint="eastAsia" w:ascii="方正仿宋_GBK" w:hAnsi="宋体" w:eastAsia="方正仿宋_GBK"/>
                <w:sz w:val="24"/>
                <w:szCs w:val="28"/>
              </w:rPr>
            </w:pPr>
          </w:p>
        </w:tc>
        <w:tc>
          <w:tcPr>
            <w:tcW w:w="1186" w:type="dxa"/>
            <w:noWrap w:val="0"/>
            <w:vAlign w:val="center"/>
          </w:tcPr>
          <w:p>
            <w:pPr>
              <w:jc w:val="center"/>
              <w:rPr>
                <w:rFonts w:hint="eastAsia" w:ascii="方正仿宋_GBK" w:hAnsi="宋体" w:eastAsia="方正仿宋_GBK"/>
                <w:sz w:val="24"/>
                <w:szCs w:val="28"/>
              </w:rPr>
            </w:pPr>
          </w:p>
        </w:tc>
        <w:tc>
          <w:tcPr>
            <w:tcW w:w="1233" w:type="dxa"/>
            <w:noWrap w:val="0"/>
            <w:vAlign w:val="center"/>
          </w:tcPr>
          <w:p>
            <w:pPr>
              <w:jc w:val="center"/>
              <w:rPr>
                <w:rFonts w:hint="eastAsia" w:ascii="方正仿宋_GBK" w:hAnsi="宋体" w:eastAsia="方正仿宋_GBK"/>
                <w:sz w:val="24"/>
                <w:szCs w:val="28"/>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46" w:name="OLE_LINK2"/>
      <w:bookmarkStart w:id="147" w:name="OLE_LINK1"/>
      <w:r>
        <w:rPr>
          <w:rFonts w:hint="eastAsia" w:ascii="方正仿宋_GBK" w:hAnsi="宋体" w:eastAsia="方正仿宋_GBK"/>
          <w:sz w:val="24"/>
          <w:szCs w:val="28"/>
        </w:rPr>
        <w:t>。</w:t>
      </w:r>
      <w:bookmarkEnd w:id="146"/>
      <w:bookmarkEnd w:id="147"/>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pStyle w:val="4"/>
        <w:adjustRightInd w:val="0"/>
        <w:snapToGrid w:val="0"/>
        <w:spacing w:before="0" w:after="0" w:line="400" w:lineRule="exact"/>
        <w:ind w:firstLine="480" w:firstLineChars="200"/>
        <w:rPr>
          <w:rFonts w:hint="default" w:ascii="方正仿宋_GBK" w:hAnsi="宋体" w:eastAsia="方正仿宋_GBK"/>
          <w:b w:val="0"/>
          <w:bCs/>
          <w:sz w:val="24"/>
          <w:lang w:val="en-US" w:eastAsia="zh-CN"/>
        </w:rPr>
      </w:pPr>
      <w:r>
        <w:rPr>
          <w:rFonts w:hint="eastAsia" w:ascii="方正仿宋_GBK" w:hAnsi="宋体" w:eastAsia="方正仿宋_GBK"/>
          <w:b w:val="0"/>
          <w:bCs/>
          <w:sz w:val="24"/>
          <w:lang w:val="en-US" w:eastAsia="zh-CN"/>
        </w:rPr>
        <w:t>（三）开标现场最终报价表</w:t>
      </w:r>
      <w:bookmarkEnd w:id="139"/>
    </w:p>
    <w:p>
      <w:pPr>
        <w:pStyle w:val="4"/>
        <w:adjustRightInd w:val="0"/>
        <w:snapToGrid w:val="0"/>
        <w:spacing w:before="0" w:after="0" w:line="400" w:lineRule="exact"/>
        <w:ind w:firstLine="480" w:firstLineChars="200"/>
        <w:rPr>
          <w:rFonts w:hint="eastAsia" w:ascii="方正仿宋_GBK" w:hAnsi="宋体" w:eastAsia="方正仿宋_GBK"/>
          <w:sz w:val="24"/>
        </w:rPr>
      </w:pPr>
    </w:p>
    <w:p>
      <w:pPr>
        <w:tabs>
          <w:tab w:val="left" w:pos="6300"/>
        </w:tabs>
        <w:snapToGrid w:val="0"/>
        <w:spacing w:line="312" w:lineRule="auto"/>
        <w:ind w:firstLine="560"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开标现场最终报价表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b w:val="0"/>
          <w:sz w:val="24"/>
          <w:szCs w:val="24"/>
          <w:lang w:val="en-US" w:eastAsia="zh-CN"/>
        </w:rPr>
        <w:t>项目编号及名称：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142"/>
        <w:gridCol w:w="189"/>
        <w:gridCol w:w="803"/>
        <w:gridCol w:w="202"/>
        <w:gridCol w:w="1499"/>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投标人名称</w:t>
            </w:r>
          </w:p>
        </w:tc>
        <w:tc>
          <w:tcPr>
            <w:tcW w:w="7549" w:type="dxa"/>
            <w:gridSpan w:val="1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产品名称</w:t>
            </w:r>
          </w:p>
        </w:tc>
        <w:tc>
          <w:tcPr>
            <w:tcW w:w="3686" w:type="dxa"/>
            <w:gridSpan w:val="9"/>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c>
          <w:tcPr>
            <w:tcW w:w="1194" w:type="dxa"/>
            <w:gridSpan w:val="3"/>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生产企业</w:t>
            </w:r>
          </w:p>
        </w:tc>
        <w:tc>
          <w:tcPr>
            <w:tcW w:w="3520" w:type="dxa"/>
            <w:gridSpan w:val="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规格/型号</w:t>
            </w:r>
          </w:p>
        </w:tc>
        <w:tc>
          <w:tcPr>
            <w:tcW w:w="3686" w:type="dxa"/>
            <w:gridSpan w:val="9"/>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194"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产 地</w:t>
            </w:r>
          </w:p>
        </w:tc>
        <w:tc>
          <w:tcPr>
            <w:tcW w:w="3520" w:type="dxa"/>
            <w:gridSpan w:val="2"/>
            <w:vAlign w:val="center"/>
          </w:tcPr>
          <w:p>
            <w:pPr>
              <w:spacing w:line="400" w:lineRule="exact"/>
              <w:jc w:val="center"/>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投标单价（元）</w:t>
            </w:r>
          </w:p>
        </w:tc>
        <w:tc>
          <w:tcPr>
            <w:tcW w:w="1134"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709"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计数单位</w:t>
            </w:r>
          </w:p>
        </w:tc>
        <w:tc>
          <w:tcPr>
            <w:tcW w:w="851" w:type="dxa"/>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181" w:type="dxa"/>
            <w:gridSpan w:val="4"/>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投标数量</w:t>
            </w:r>
          </w:p>
        </w:tc>
        <w:tc>
          <w:tcPr>
            <w:tcW w:w="803" w:type="dxa"/>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投标总价</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（小写）</w:t>
            </w:r>
          </w:p>
        </w:tc>
        <w:tc>
          <w:tcPr>
            <w:tcW w:w="2021" w:type="dxa"/>
            <w:vAlign w:val="center"/>
          </w:tcPr>
          <w:p>
            <w:pPr>
              <w:spacing w:line="400" w:lineRule="exact"/>
              <w:ind w:firstLine="480" w:firstLineChars="200"/>
              <w:jc w:val="left"/>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5"/>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质保期</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（年）</w:t>
            </w:r>
          </w:p>
        </w:tc>
        <w:tc>
          <w:tcPr>
            <w:tcW w:w="1418"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3"/>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交货时间</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1417" w:type="dxa"/>
            <w:gridSpan w:val="4"/>
            <w:vAlign w:val="center"/>
          </w:tcPr>
          <w:p>
            <w:pPr>
              <w:spacing w:line="400" w:lineRule="exact"/>
              <w:jc w:val="both"/>
              <w:rPr>
                <w:rFonts w:hint="eastAsia" w:ascii="方正仿宋_GBK" w:hAnsi="宋体" w:eastAsia="方正仿宋_GBK" w:cs="Times New Roman"/>
                <w:sz w:val="24"/>
                <w:szCs w:val="24"/>
                <w:lang w:val="en-US" w:eastAsia="zh-CN"/>
              </w:rPr>
            </w:pPr>
          </w:p>
        </w:tc>
        <w:tc>
          <w:tcPr>
            <w:tcW w:w="1701" w:type="dxa"/>
            <w:gridSpan w:val="2"/>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安装时间</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（日历日）</w:t>
            </w:r>
          </w:p>
        </w:tc>
        <w:tc>
          <w:tcPr>
            <w:tcW w:w="2021" w:type="dxa"/>
            <w:vAlign w:val="center"/>
          </w:tcPr>
          <w:p>
            <w:pPr>
              <w:spacing w:line="400" w:lineRule="exact"/>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售后响应时间</w:t>
            </w:r>
          </w:p>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（小时）</w:t>
            </w:r>
          </w:p>
        </w:tc>
        <w:tc>
          <w:tcPr>
            <w:tcW w:w="992" w:type="dxa"/>
            <w:gridSpan w:val="3"/>
            <w:vAlign w:val="center"/>
          </w:tcPr>
          <w:p>
            <w:pPr>
              <w:spacing w:line="400" w:lineRule="exact"/>
              <w:ind w:firstLine="480" w:firstLineChars="200"/>
              <w:jc w:val="center"/>
              <w:rPr>
                <w:rFonts w:hint="eastAsia" w:ascii="方正仿宋_GBK" w:hAnsi="宋体" w:eastAsia="方正仿宋_GBK" w:cs="Times New Roman"/>
                <w:sz w:val="24"/>
                <w:szCs w:val="24"/>
                <w:lang w:val="en-US" w:eastAsia="zh-CN"/>
              </w:rPr>
            </w:pPr>
          </w:p>
        </w:tc>
        <w:tc>
          <w:tcPr>
            <w:tcW w:w="1701"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培训人员数量/培训时长</w:t>
            </w:r>
          </w:p>
        </w:tc>
        <w:tc>
          <w:tcPr>
            <w:tcW w:w="1336" w:type="dxa"/>
            <w:gridSpan w:val="4"/>
            <w:vAlign w:val="center"/>
          </w:tcPr>
          <w:p>
            <w:pPr>
              <w:spacing w:line="400" w:lineRule="exact"/>
              <w:jc w:val="cente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w:t>
            </w:r>
          </w:p>
        </w:tc>
        <w:tc>
          <w:tcPr>
            <w:tcW w:w="1499" w:type="dxa"/>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是否接受付款方式</w:t>
            </w:r>
          </w:p>
        </w:tc>
        <w:tc>
          <w:tcPr>
            <w:tcW w:w="2021" w:type="dxa"/>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400" w:lineRule="exact"/>
              <w:jc w:val="center"/>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随机备品、附件、工具数量及供应方式</w:t>
            </w:r>
          </w:p>
        </w:tc>
        <w:tc>
          <w:tcPr>
            <w:tcW w:w="7549" w:type="dxa"/>
            <w:gridSpan w:val="12"/>
            <w:vAlign w:val="center"/>
          </w:tcPr>
          <w:p>
            <w:pPr>
              <w:spacing w:line="400" w:lineRule="exact"/>
              <w:ind w:firstLine="480" w:firstLineChars="200"/>
              <w:rPr>
                <w:rFonts w:hint="eastAsia" w:ascii="方正仿宋_GBK" w:hAnsi="宋体" w:eastAsia="方正仿宋_GBK"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5"/>
            <w:vAlign w:val="center"/>
          </w:tcPr>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备注： </w:t>
            </w:r>
          </w:p>
        </w:tc>
      </w:tr>
    </w:tbl>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                                   法定代表人授权代表：</w:t>
      </w: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（投标人公章）                               （签字或盖章）</w:t>
      </w: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年     月     日</w:t>
      </w:r>
    </w:p>
    <w:p>
      <w:pPr>
        <w:pStyle w:val="67"/>
        <w:rPr>
          <w:rFonts w:hint="eastAsia"/>
        </w:rPr>
      </w:pPr>
    </w:p>
    <w:p>
      <w:pPr>
        <w:spacing w:line="400" w:lineRule="exact"/>
        <w:rPr>
          <w:rFonts w:hint="eastAsia" w:ascii="方正仿宋_GBK" w:hAnsi="宋体" w:eastAsia="方正仿宋_GBK" w:cs="Times New Roman"/>
          <w:b/>
          <w:bCs/>
          <w:color w:val="FF0000"/>
          <w:sz w:val="24"/>
          <w:szCs w:val="24"/>
          <w:lang w:val="en-US" w:eastAsia="zh-CN"/>
        </w:rPr>
      </w:pPr>
    </w:p>
    <w:p>
      <w:pPr>
        <w:spacing w:line="400" w:lineRule="exact"/>
        <w:rPr>
          <w:rFonts w:hint="eastAsia" w:ascii="方正仿宋_GBK" w:hAnsi="宋体" w:eastAsia="方正仿宋_GBK" w:cs="Times New Roman"/>
          <w:b/>
          <w:bCs/>
          <w:color w:val="FF0000"/>
          <w:sz w:val="24"/>
          <w:szCs w:val="24"/>
          <w:lang w:val="en-US" w:eastAsia="zh-CN"/>
        </w:rPr>
      </w:pPr>
    </w:p>
    <w:p>
      <w:pPr>
        <w:spacing w:line="400" w:lineRule="exact"/>
        <w:rPr>
          <w:rFonts w:hint="eastAsia" w:ascii="方正仿宋_GBK" w:hAnsi="宋体" w:eastAsia="方正仿宋_GBK" w:cs="Times New Roman"/>
          <w:b/>
          <w:bCs/>
          <w:color w:val="FF0000"/>
          <w:sz w:val="24"/>
          <w:szCs w:val="24"/>
          <w:lang w:val="en-US" w:eastAsia="zh-CN"/>
        </w:rPr>
      </w:pPr>
    </w:p>
    <w:p>
      <w:pPr>
        <w:spacing w:line="400" w:lineRule="exact"/>
        <w:rPr>
          <w:rFonts w:hint="eastAsia" w:ascii="方正仿宋_GBK" w:hAnsi="宋体" w:eastAsia="方正仿宋_GBK" w:cs="Times New Roman"/>
          <w:b/>
          <w:bCs/>
          <w:color w:val="FF0000"/>
          <w:sz w:val="24"/>
          <w:szCs w:val="24"/>
          <w:lang w:val="en-US" w:eastAsia="zh-CN"/>
        </w:rPr>
      </w:pP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color w:val="FF0000"/>
          <w:sz w:val="24"/>
          <w:szCs w:val="24"/>
          <w:lang w:val="en-US" w:eastAsia="zh-CN"/>
        </w:rPr>
        <w:t>注：该表投标报价部分于现场填写并提交，其他部分应在开标前填写并盖章确认</w:t>
      </w:r>
      <w:r>
        <w:rPr>
          <w:rFonts w:hint="eastAsia" w:ascii="方正仿宋_GBK" w:hAnsi="宋体" w:eastAsia="方正仿宋_GBK" w:cs="Times New Roman"/>
          <w:color w:val="FF0000"/>
          <w:sz w:val="24"/>
          <w:szCs w:val="24"/>
          <w:lang w:val="en-US" w:eastAsia="zh-CN"/>
        </w:rPr>
        <w:t>。</w:t>
      </w:r>
    </w:p>
    <w:p>
      <w:pPr>
        <w:rPr>
          <w:rFonts w:hint="eastAsia" w:ascii="方正仿宋_GBK" w:hAnsi="宋体" w:eastAsia="方正仿宋_GBK"/>
          <w:sz w:val="24"/>
        </w:rPr>
      </w:pPr>
      <w:bookmarkStart w:id="148" w:name="_Toc31312"/>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二、技术（质量）部分</w:t>
      </w:r>
      <w:bookmarkEnd w:id="140"/>
      <w:bookmarkEnd w:id="141"/>
      <w:bookmarkEnd w:id="142"/>
      <w:bookmarkEnd w:id="143"/>
      <w:bookmarkEnd w:id="144"/>
      <w:bookmarkEnd w:id="145"/>
      <w:bookmarkEnd w:id="148"/>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2844"/>
        <w:gridCol w:w="2952"/>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2844"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采购需求</w:t>
            </w:r>
          </w:p>
        </w:tc>
        <w:tc>
          <w:tcPr>
            <w:tcW w:w="295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响应情况</w:t>
            </w:r>
          </w:p>
        </w:tc>
        <w:tc>
          <w:tcPr>
            <w:tcW w:w="221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r>
              <w:rPr>
                <w:rFonts w:hint="eastAsia" w:ascii="方正仿宋_GBK" w:hAnsi="仿宋" w:eastAsia="方正仿宋_GBK"/>
                <w:sz w:val="21"/>
                <w:szCs w:val="21"/>
              </w:rPr>
              <w:t>提醒：请注明技术参数或具体内容以及响应文件中技术参数或具体内容的位置（页码）</w:t>
            </w: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w:t>
      </w:r>
      <w:r>
        <w:rPr>
          <w:rFonts w:hint="eastAsia" w:ascii="方正仿宋_GBK" w:hAnsi="宋体" w:eastAsia="方正仿宋_GBK"/>
          <w:sz w:val="24"/>
          <w:szCs w:val="24"/>
        </w:rPr>
        <w:t>签署</w:t>
      </w:r>
      <w:r>
        <w:rPr>
          <w:rFonts w:hint="eastAsia" w:ascii="方正仿宋_GBK" w:hAnsi="宋体" w:eastAsia="方正仿宋_GBK"/>
          <w:sz w:val="24"/>
          <w:szCs w:val="28"/>
        </w:rPr>
        <w:t>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谈判项目技术（质量）需求”中所列条款进行比较和响应；</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2.本表可扩展。</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br w:type="page"/>
      </w:r>
      <w:r>
        <w:rPr>
          <w:rFonts w:hint="eastAsia" w:ascii="方正仿宋_GBK" w:hAnsi="宋体" w:eastAsia="方正仿宋_GBK"/>
          <w:sz w:val="24"/>
          <w:szCs w:val="24"/>
        </w:rPr>
        <w:t>（二）其他资料（格式自定）</w:t>
      </w:r>
    </w:p>
    <w:p>
      <w:pPr>
        <w:tabs>
          <w:tab w:val="left" w:pos="6300"/>
        </w:tabs>
        <w:snapToGrid w:val="0"/>
        <w:spacing w:line="5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49" w:name="_Toc32339"/>
      <w:bookmarkStart w:id="150" w:name="_Toc65660381"/>
      <w:bookmarkStart w:id="151" w:name="_Toc32158"/>
      <w:bookmarkStart w:id="152" w:name="_Toc26038"/>
      <w:bookmarkStart w:id="153" w:name="_Toc342913421"/>
      <w:bookmarkStart w:id="154" w:name="_Toc313888362"/>
      <w:bookmarkStart w:id="155" w:name="_Toc313008358"/>
      <w:r>
        <w:rPr>
          <w:rFonts w:hint="eastAsia" w:ascii="方正仿宋_GBK" w:hAnsi="宋体" w:eastAsia="方正仿宋_GBK"/>
          <w:sz w:val="24"/>
        </w:rPr>
        <w:t>三、</w:t>
      </w:r>
      <w:r>
        <w:rPr>
          <w:rFonts w:hint="eastAsia" w:ascii="方正仿宋_GBK" w:hAnsi="宋体" w:eastAsia="方正仿宋_GBK"/>
          <w:sz w:val="24"/>
          <w:lang w:val="en-US" w:eastAsia="zh-CN"/>
        </w:rPr>
        <w:t>商务</w:t>
      </w:r>
      <w:r>
        <w:rPr>
          <w:rFonts w:hint="eastAsia" w:ascii="方正仿宋_GBK" w:hAnsi="宋体" w:eastAsia="方正仿宋_GBK"/>
          <w:sz w:val="24"/>
        </w:rPr>
        <w:t>部分</w:t>
      </w:r>
      <w:bookmarkEnd w:id="149"/>
      <w:bookmarkEnd w:id="150"/>
      <w:bookmarkEnd w:id="151"/>
      <w:bookmarkEnd w:id="152"/>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2"/>
        <w:gridCol w:w="3184"/>
        <w:gridCol w:w="2438"/>
        <w:gridCol w:w="2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512"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序号</w:t>
            </w:r>
          </w:p>
        </w:tc>
        <w:tc>
          <w:tcPr>
            <w:tcW w:w="3184"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采购需求</w:t>
            </w:r>
          </w:p>
        </w:tc>
        <w:tc>
          <w:tcPr>
            <w:tcW w:w="2438"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响应情况</w:t>
            </w:r>
          </w:p>
        </w:tc>
        <w:tc>
          <w:tcPr>
            <w:tcW w:w="2359"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outlineLvl w:val="0"/>
              <w:rPr>
                <w:rFonts w:hint="eastAsia" w:ascii="方正仿宋_GBK" w:hAnsi="宋体" w:eastAsia="方正仿宋_GBK"/>
                <w:sz w:val="21"/>
                <w:szCs w:val="24"/>
              </w:rPr>
            </w:pPr>
            <w:r>
              <w:rPr>
                <w:rFonts w:hint="eastAsia" w:ascii="方正仿宋_GBK" w:hAnsi="仿宋" w:eastAsia="方正仿宋_GBK"/>
                <w:sz w:val="21"/>
                <w:szCs w:val="21"/>
              </w:rPr>
              <w:t>提醒：请注明具体内容以及响应文件中具体内容的位置（页码）</w:t>
            </w: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谈判项目</w:t>
      </w:r>
      <w:r>
        <w:rPr>
          <w:rFonts w:hint="eastAsia" w:ascii="方正仿宋_GBK" w:hAnsi="仿宋" w:eastAsia="方正仿宋_GBK"/>
          <w:sz w:val="24"/>
          <w:szCs w:val="24"/>
          <w:lang w:val="en-US" w:eastAsia="zh-CN"/>
        </w:rPr>
        <w:t>商务</w:t>
      </w:r>
      <w:r>
        <w:rPr>
          <w:rFonts w:hint="eastAsia" w:ascii="方正仿宋_GBK" w:hAnsi="仿宋" w:eastAsia="方正仿宋_GBK"/>
          <w:sz w:val="24"/>
          <w:szCs w:val="24"/>
        </w:rPr>
        <w:t>需求”中所列条款进行比较和响应；</w:t>
      </w: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rPr>
        <w:t>2.本表可扩展</w:t>
      </w:r>
      <w:r>
        <w:rPr>
          <w:rFonts w:hint="eastAsia" w:ascii="方正仿宋_GBK" w:hAnsi="宋体" w:eastAsia="方正仿宋_GBK"/>
          <w:sz w:val="24"/>
          <w:szCs w:val="24"/>
        </w:rPr>
        <w:t>。</w:t>
      </w:r>
    </w:p>
    <w:p>
      <w:pPr>
        <w:tabs>
          <w:tab w:val="left" w:pos="6300"/>
        </w:tabs>
        <w:snapToGrid w:val="0"/>
        <w:spacing w:line="480" w:lineRule="exact"/>
        <w:ind w:firstLine="480" w:firstLineChars="200"/>
        <w:rPr>
          <w:rFonts w:hint="eastAsia" w:ascii="方正仿宋_GBK" w:hAnsi="宋体" w:eastAsia="方正仿宋_GBK"/>
          <w:sz w:val="24"/>
          <w:szCs w:val="24"/>
        </w:rPr>
      </w:pP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br w:type="page"/>
      </w:r>
      <w:r>
        <w:rPr>
          <w:rFonts w:hint="eastAsia" w:ascii="方正仿宋_GBK" w:hAnsi="宋体" w:eastAsia="方正仿宋_GBK"/>
          <w:sz w:val="24"/>
          <w:szCs w:val="24"/>
        </w:rPr>
        <w:t>（二）其它优惠承诺（格式自定）</w:t>
      </w:r>
    </w:p>
    <w:p>
      <w:pPr>
        <w:tabs>
          <w:tab w:val="left" w:pos="6300"/>
        </w:tabs>
        <w:snapToGrid w:val="0"/>
        <w:spacing w:line="48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Start w:id="156" w:name="_Toc65660382"/>
      <w:bookmarkStart w:id="157" w:name="_Toc20162"/>
      <w:bookmarkStart w:id="158" w:name="_Toc6614"/>
      <w:bookmarkStart w:id="159" w:name="_Toc2082"/>
      <w:r>
        <w:rPr>
          <w:rFonts w:hint="eastAsia" w:ascii="方正仿宋_GBK" w:hAnsi="宋体" w:eastAsia="方正仿宋_GBK"/>
          <w:sz w:val="24"/>
        </w:rPr>
        <w:t>四、</w:t>
      </w:r>
      <w:bookmarkEnd w:id="153"/>
      <w:bookmarkEnd w:id="154"/>
      <w:bookmarkEnd w:id="155"/>
      <w:r>
        <w:rPr>
          <w:rFonts w:hint="eastAsia" w:ascii="方正仿宋_GBK" w:hAnsi="宋体" w:eastAsia="方正仿宋_GBK"/>
          <w:sz w:val="24"/>
        </w:rPr>
        <w:t>资格条件及其他</w:t>
      </w:r>
      <w:bookmarkEnd w:id="156"/>
      <w:bookmarkEnd w:id="157"/>
      <w:bookmarkEnd w:id="158"/>
      <w:bookmarkEnd w:id="159"/>
      <w:bookmarkStart w:id="160" w:name="_Toc313008359"/>
      <w:bookmarkStart w:id="161" w:name="_Toc342913422"/>
      <w:bookmarkStart w:id="162" w:name="_Toc313888363"/>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500" w:lineRule="exact"/>
        <w:ind w:firstLine="570"/>
        <w:rPr>
          <w:rFonts w:hint="eastAsia" w:ascii="方正仿宋_GBK" w:hAnsi="宋体" w:eastAsia="方正仿宋_GBK"/>
          <w:sz w:val="24"/>
          <w:szCs w:val="24"/>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谈判项目名称：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none"/>
          <w:lang w:val="en-US" w:eastAsia="zh-CN"/>
        </w:rPr>
        <w:t>重庆医科大学附属儿童医院</w:t>
      </w:r>
      <w:r>
        <w:rPr>
          <w:rFonts w:hint="eastAsia" w:ascii="方正仿宋_GBK" w:hAnsi="宋体" w:eastAsia="方正仿宋_GBK"/>
          <w:sz w:val="24"/>
        </w:rPr>
        <w:t>：</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widowControl/>
        <w:spacing w:line="400" w:lineRule="exact"/>
        <w:ind w:firstLine="560" w:firstLineChars="200"/>
        <w:jc w:val="left"/>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谈判项目名称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none"/>
          <w:lang w:val="en-US" w:eastAsia="zh-CN"/>
        </w:rPr>
        <w:t>重庆医科大学附属儿童医院</w:t>
      </w:r>
      <w:r>
        <w:rPr>
          <w:rFonts w:hint="eastAsia" w:ascii="方正仿宋_GBK" w:hAnsi="宋体" w:eastAsia="方正仿宋_GBK"/>
          <w:sz w:val="24"/>
        </w:rPr>
        <w:t>：</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（被授权人姓名及身份证代码）代表我单位全权办理上述项目的谈判、签约等具体工作，并签署全部有关文件、协议及合同。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注：若为法定代表人办理并签署响应文件的，不提供此文件。</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widowControl/>
        <w:spacing w:line="400" w:lineRule="exact"/>
        <w:jc w:val="left"/>
        <w:rPr>
          <w:rFonts w:hint="eastAsia" w:ascii="方正仿宋_GBK" w:hAnsi="宋体" w:eastAsia="方正仿宋_GBK"/>
          <w:sz w:val="24"/>
          <w:szCs w:val="24"/>
          <w:lang w:val="en-US" w:eastAsia="zh-CN"/>
        </w:rPr>
      </w:pPr>
    </w:p>
    <w:p>
      <w:pPr>
        <w:pStyle w:val="66"/>
        <w:rPr>
          <w:rFonts w:hint="eastAsia"/>
          <w:lang w:val="en-US" w:eastAsia="zh-CN"/>
        </w:rPr>
      </w:pPr>
    </w:p>
    <w:p>
      <w:pPr>
        <w:pStyle w:val="67"/>
        <w:rPr>
          <w:rFonts w:hint="eastAsia" w:ascii="方正仿宋_GBK" w:hAnsi="宋体" w:eastAsia="方正仿宋_GBK"/>
          <w:sz w:val="24"/>
          <w:szCs w:val="24"/>
          <w:lang w:val="en-US" w:eastAsia="zh-CN"/>
        </w:rPr>
      </w:pPr>
    </w:p>
    <w:p>
      <w:pPr>
        <w:pStyle w:val="67"/>
        <w:rPr>
          <w:rFonts w:hint="eastAsia" w:ascii="方正仿宋_GBK" w:hAnsi="宋体" w:eastAsia="方正仿宋_GBK"/>
          <w:sz w:val="24"/>
          <w:szCs w:val="24"/>
          <w:lang w:val="en-US" w:eastAsia="zh-CN"/>
        </w:rPr>
      </w:pPr>
    </w:p>
    <w:p>
      <w:pPr>
        <w:pStyle w:val="67"/>
        <w:rPr>
          <w:rFonts w:hint="eastAsia" w:ascii="方正仿宋_GBK" w:hAnsi="宋体" w:eastAsia="方正仿宋_GBK"/>
          <w:sz w:val="24"/>
          <w:szCs w:val="24"/>
          <w:lang w:val="en-US" w:eastAsia="zh-CN"/>
        </w:rPr>
      </w:pPr>
    </w:p>
    <w:p>
      <w:pPr>
        <w:widowControl/>
        <w:spacing w:line="400" w:lineRule="exact"/>
        <w:jc w:val="lef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w:t>
      </w:r>
      <w:r>
        <w:rPr>
          <w:rFonts w:hint="eastAsia" w:ascii="方正仿宋_GBK" w:hAnsi="仿宋" w:eastAsia="方正仿宋_GBK"/>
          <w:sz w:val="24"/>
          <w:lang w:val="en-US" w:eastAsia="zh-CN"/>
        </w:rPr>
        <w:t xml:space="preserve"> </w:t>
      </w:r>
      <w:r>
        <w:rPr>
          <w:rFonts w:hint="eastAsia" w:ascii="方正仿宋_GBK" w:hAnsi="宋体" w:eastAsia="方正仿宋_GBK"/>
          <w:sz w:val="24"/>
          <w:u w:val="none"/>
          <w:lang w:val="en-US" w:eastAsia="zh-CN"/>
        </w:rPr>
        <w:t>重庆医科大学附属儿童医院</w:t>
      </w:r>
      <w:r>
        <w:rPr>
          <w:rFonts w:hint="eastAsia" w:ascii="方正仿宋_GBK" w:hAnsi="仿宋" w:eastAsia="方正仿宋_GBK"/>
          <w:sz w:val="24"/>
        </w:rPr>
        <w:t>：</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widowControl/>
        <w:spacing w:line="400" w:lineRule="exact"/>
        <w:ind w:firstLine="7920" w:firstLineChars="3300"/>
        <w:jc w:val="left"/>
        <w:rPr>
          <w:rFonts w:hint="eastAsia" w:ascii="方正仿宋_GBK" w:hAnsi="宋体" w:eastAsia="方正仿宋_GBK"/>
          <w:sz w:val="24"/>
          <w:szCs w:val="24"/>
        </w:rPr>
      </w:pPr>
      <w:r>
        <w:rPr>
          <w:rFonts w:hint="eastAsia" w:ascii="方正仿宋_GBK" w:hAnsi="仿宋" w:eastAsia="方正仿宋_GBK"/>
          <w:sz w:val="24"/>
        </w:rPr>
        <w:t>年   月   日</w:t>
      </w: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widowControl/>
        <w:spacing w:line="400" w:lineRule="exact"/>
        <w:ind w:firstLine="480" w:firstLineChars="200"/>
        <w:jc w:val="left"/>
        <w:rPr>
          <w:rFonts w:hint="eastAsia" w:ascii="方正仿宋_GBK" w:hAnsi="宋体" w:eastAsia="方正仿宋_GBK"/>
          <w:sz w:val="24"/>
          <w:szCs w:val="24"/>
        </w:rPr>
      </w:pPr>
    </w:p>
    <w:p>
      <w:pPr>
        <w:rPr>
          <w:rFonts w:hint="eastAsia" w:ascii="方正仿宋_GBK" w:hAnsi="宋体" w:eastAsia="方正仿宋_GBK"/>
          <w:sz w:val="24"/>
          <w:szCs w:val="24"/>
        </w:rPr>
      </w:pPr>
      <w:r>
        <w:rPr>
          <w:rFonts w:ascii="方正仿宋_GBK" w:hAnsi="宋体" w:eastAsia="方正仿宋_GBK"/>
          <w:sz w:val="24"/>
          <w:szCs w:val="24"/>
        </w:rPr>
        <w:br w:type="page"/>
      </w:r>
      <w:bookmarkEnd w:id="160"/>
      <w:bookmarkEnd w:id="161"/>
      <w:bookmarkEnd w:id="162"/>
    </w:p>
    <w:p>
      <w:pPr>
        <w:widowControl/>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jc w:val="both"/>
        <w:rPr>
          <w:rFonts w:hint="eastAsia" w:ascii="方正仿宋_GBK" w:hAnsi="仿宋" w:eastAsia="方正仿宋_GBK"/>
        </w:rPr>
      </w:pPr>
      <w:r>
        <w:rPr>
          <w:rFonts w:hint="eastAsia" w:ascii="方正仿宋_GBK" w:hAnsi="仿宋" w:eastAsia="方正仿宋_GBK"/>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文鼎粗黑">
    <w:altName w:val="黑体"/>
    <w:panose1 w:val="020B0609010101010101"/>
    <w:charset w:val="86"/>
    <w:family w:val="modern"/>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0"/>
      </w:rPr>
    </w:pPr>
  </w:p>
  <w:p>
    <w:pPr>
      <w:pStyle w:val="35"/>
      <w:jc w:val="center"/>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0"/>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重庆医科大学附属儿童医院竞争性谈判文件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45"/>
      <w:suff w:val="nothing"/>
      <w:lvlText w:val="附　录　%1"/>
      <w:lvlJc w:val="left"/>
      <w:pPr>
        <w:ind w:left="0" w:firstLine="0"/>
      </w:pPr>
      <w:rPr>
        <w:rFonts w:hint="eastAsia" w:ascii="黑体" w:hAnsi="Times New Roman" w:eastAsia="黑体"/>
        <w:b w:val="0"/>
        <w:i w:val="0"/>
        <w:sz w:val="21"/>
      </w:rPr>
    </w:lvl>
    <w:lvl w:ilvl="1" w:tentative="0">
      <w:start w:val="1"/>
      <w:numFmt w:val="decimal"/>
      <w:pStyle w:val="153"/>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94"/>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8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18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22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20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218"/>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02"/>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57"/>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11"/>
  </w:num>
  <w:num w:numId="8">
    <w:abstractNumId w:val="2"/>
  </w:num>
  <w:num w:numId="9">
    <w:abstractNumId w:val="4"/>
  </w:num>
  <w:num w:numId="10">
    <w:abstractNumId w:val="1"/>
  </w:num>
  <w:num w:numId="11">
    <w:abstractNumId w:val="1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EAF"/>
    <w:rsid w:val="000040DE"/>
    <w:rsid w:val="00005A02"/>
    <w:rsid w:val="00015A2E"/>
    <w:rsid w:val="00016B79"/>
    <w:rsid w:val="00026AFF"/>
    <w:rsid w:val="00027AF7"/>
    <w:rsid w:val="00033C8A"/>
    <w:rsid w:val="000358F8"/>
    <w:rsid w:val="000362F7"/>
    <w:rsid w:val="0003632F"/>
    <w:rsid w:val="00036537"/>
    <w:rsid w:val="00043C9B"/>
    <w:rsid w:val="000446C0"/>
    <w:rsid w:val="000513D1"/>
    <w:rsid w:val="0005298B"/>
    <w:rsid w:val="00052A3A"/>
    <w:rsid w:val="00053A69"/>
    <w:rsid w:val="00053CC2"/>
    <w:rsid w:val="00054308"/>
    <w:rsid w:val="0005456D"/>
    <w:rsid w:val="000549FF"/>
    <w:rsid w:val="000576E1"/>
    <w:rsid w:val="00063981"/>
    <w:rsid w:val="00064FA3"/>
    <w:rsid w:val="00091B1C"/>
    <w:rsid w:val="00092CF5"/>
    <w:rsid w:val="000938CD"/>
    <w:rsid w:val="000946B8"/>
    <w:rsid w:val="000959DA"/>
    <w:rsid w:val="00096E0E"/>
    <w:rsid w:val="000A126B"/>
    <w:rsid w:val="000A164E"/>
    <w:rsid w:val="000A2FE6"/>
    <w:rsid w:val="000A77B9"/>
    <w:rsid w:val="000B42F4"/>
    <w:rsid w:val="000B711E"/>
    <w:rsid w:val="000B7377"/>
    <w:rsid w:val="000B7F54"/>
    <w:rsid w:val="000C04DB"/>
    <w:rsid w:val="000C1EE4"/>
    <w:rsid w:val="000C34DA"/>
    <w:rsid w:val="000C3C93"/>
    <w:rsid w:val="000C5B30"/>
    <w:rsid w:val="000C6AC7"/>
    <w:rsid w:val="000D15C6"/>
    <w:rsid w:val="000D23F5"/>
    <w:rsid w:val="000D40BA"/>
    <w:rsid w:val="000E3259"/>
    <w:rsid w:val="000F3752"/>
    <w:rsid w:val="000F48FD"/>
    <w:rsid w:val="000F511B"/>
    <w:rsid w:val="000F5ACE"/>
    <w:rsid w:val="000F7DBF"/>
    <w:rsid w:val="00100639"/>
    <w:rsid w:val="00103DA9"/>
    <w:rsid w:val="00103DDC"/>
    <w:rsid w:val="0010418E"/>
    <w:rsid w:val="001077D3"/>
    <w:rsid w:val="001122C5"/>
    <w:rsid w:val="00113E89"/>
    <w:rsid w:val="00116856"/>
    <w:rsid w:val="00120259"/>
    <w:rsid w:val="00120851"/>
    <w:rsid w:val="00124CD0"/>
    <w:rsid w:val="00124CF0"/>
    <w:rsid w:val="001266BF"/>
    <w:rsid w:val="00131054"/>
    <w:rsid w:val="00133D16"/>
    <w:rsid w:val="0013496A"/>
    <w:rsid w:val="00135B50"/>
    <w:rsid w:val="00135E0D"/>
    <w:rsid w:val="001363B2"/>
    <w:rsid w:val="001376CB"/>
    <w:rsid w:val="001401FF"/>
    <w:rsid w:val="00140C83"/>
    <w:rsid w:val="00140E25"/>
    <w:rsid w:val="00147FB4"/>
    <w:rsid w:val="0015011C"/>
    <w:rsid w:val="00150429"/>
    <w:rsid w:val="0015108F"/>
    <w:rsid w:val="00153353"/>
    <w:rsid w:val="0015351E"/>
    <w:rsid w:val="001559C6"/>
    <w:rsid w:val="0016035A"/>
    <w:rsid w:val="0016303B"/>
    <w:rsid w:val="00165700"/>
    <w:rsid w:val="0017421F"/>
    <w:rsid w:val="001748ED"/>
    <w:rsid w:val="00177DD5"/>
    <w:rsid w:val="00180ACB"/>
    <w:rsid w:val="00181A7F"/>
    <w:rsid w:val="0018347E"/>
    <w:rsid w:val="0018465A"/>
    <w:rsid w:val="00184E27"/>
    <w:rsid w:val="00186623"/>
    <w:rsid w:val="0018699A"/>
    <w:rsid w:val="001915CE"/>
    <w:rsid w:val="001A0016"/>
    <w:rsid w:val="001A4270"/>
    <w:rsid w:val="001A6A3F"/>
    <w:rsid w:val="001A6DCC"/>
    <w:rsid w:val="001A7806"/>
    <w:rsid w:val="001B2365"/>
    <w:rsid w:val="001B3DBD"/>
    <w:rsid w:val="001B4377"/>
    <w:rsid w:val="001B6655"/>
    <w:rsid w:val="001D2321"/>
    <w:rsid w:val="001D2DCD"/>
    <w:rsid w:val="001D435E"/>
    <w:rsid w:val="001D5055"/>
    <w:rsid w:val="001E0376"/>
    <w:rsid w:val="001E5CAC"/>
    <w:rsid w:val="001E5EB4"/>
    <w:rsid w:val="001E725F"/>
    <w:rsid w:val="001E75B9"/>
    <w:rsid w:val="001E75F4"/>
    <w:rsid w:val="001F1AF7"/>
    <w:rsid w:val="001F1CA8"/>
    <w:rsid w:val="001F48D9"/>
    <w:rsid w:val="001F4964"/>
    <w:rsid w:val="001F511B"/>
    <w:rsid w:val="001F7063"/>
    <w:rsid w:val="00200186"/>
    <w:rsid w:val="00202B04"/>
    <w:rsid w:val="00204936"/>
    <w:rsid w:val="002100EE"/>
    <w:rsid w:val="002105E1"/>
    <w:rsid w:val="00211874"/>
    <w:rsid w:val="00211A92"/>
    <w:rsid w:val="0022065B"/>
    <w:rsid w:val="00222097"/>
    <w:rsid w:val="0022517B"/>
    <w:rsid w:val="00225B78"/>
    <w:rsid w:val="00227BA9"/>
    <w:rsid w:val="00231797"/>
    <w:rsid w:val="00235F8F"/>
    <w:rsid w:val="00237759"/>
    <w:rsid w:val="0024359D"/>
    <w:rsid w:val="00244E68"/>
    <w:rsid w:val="002539DF"/>
    <w:rsid w:val="00263F49"/>
    <w:rsid w:val="002643C1"/>
    <w:rsid w:val="00267DDF"/>
    <w:rsid w:val="00270ED7"/>
    <w:rsid w:val="00271A27"/>
    <w:rsid w:val="00271D47"/>
    <w:rsid w:val="002721EA"/>
    <w:rsid w:val="00275FED"/>
    <w:rsid w:val="00280E8A"/>
    <w:rsid w:val="00282FBA"/>
    <w:rsid w:val="00283A40"/>
    <w:rsid w:val="00283B57"/>
    <w:rsid w:val="00285164"/>
    <w:rsid w:val="00285D78"/>
    <w:rsid w:val="00293D74"/>
    <w:rsid w:val="00294EB6"/>
    <w:rsid w:val="00295381"/>
    <w:rsid w:val="002A4956"/>
    <w:rsid w:val="002A5652"/>
    <w:rsid w:val="002A6710"/>
    <w:rsid w:val="002A7598"/>
    <w:rsid w:val="002A7622"/>
    <w:rsid w:val="002B1F56"/>
    <w:rsid w:val="002B3C24"/>
    <w:rsid w:val="002B47A4"/>
    <w:rsid w:val="002B7904"/>
    <w:rsid w:val="002C0821"/>
    <w:rsid w:val="002C2507"/>
    <w:rsid w:val="002C2E6E"/>
    <w:rsid w:val="002C69BF"/>
    <w:rsid w:val="002C6DF1"/>
    <w:rsid w:val="002E4C46"/>
    <w:rsid w:val="002E632A"/>
    <w:rsid w:val="002F159B"/>
    <w:rsid w:val="002F1B06"/>
    <w:rsid w:val="002F26FF"/>
    <w:rsid w:val="002F3DE3"/>
    <w:rsid w:val="002F5060"/>
    <w:rsid w:val="002F632E"/>
    <w:rsid w:val="002F761B"/>
    <w:rsid w:val="00310AF9"/>
    <w:rsid w:val="00312897"/>
    <w:rsid w:val="0031465E"/>
    <w:rsid w:val="00314E6F"/>
    <w:rsid w:val="00315742"/>
    <w:rsid w:val="003163B3"/>
    <w:rsid w:val="00317698"/>
    <w:rsid w:val="00323FD5"/>
    <w:rsid w:val="00325A26"/>
    <w:rsid w:val="00326BBC"/>
    <w:rsid w:val="00335BDB"/>
    <w:rsid w:val="003360A8"/>
    <w:rsid w:val="003405FD"/>
    <w:rsid w:val="00341DEB"/>
    <w:rsid w:val="00343C3E"/>
    <w:rsid w:val="00346A3D"/>
    <w:rsid w:val="00350C20"/>
    <w:rsid w:val="0035143D"/>
    <w:rsid w:val="003548FA"/>
    <w:rsid w:val="00355A74"/>
    <w:rsid w:val="00361427"/>
    <w:rsid w:val="00361441"/>
    <w:rsid w:val="00362402"/>
    <w:rsid w:val="00363A39"/>
    <w:rsid w:val="0036458B"/>
    <w:rsid w:val="00371328"/>
    <w:rsid w:val="00371D2F"/>
    <w:rsid w:val="00372D5B"/>
    <w:rsid w:val="0037335E"/>
    <w:rsid w:val="00375E03"/>
    <w:rsid w:val="0038344F"/>
    <w:rsid w:val="00384161"/>
    <w:rsid w:val="00387610"/>
    <w:rsid w:val="00396FFE"/>
    <w:rsid w:val="003973D3"/>
    <w:rsid w:val="003A0892"/>
    <w:rsid w:val="003A449E"/>
    <w:rsid w:val="003A501C"/>
    <w:rsid w:val="003A57F1"/>
    <w:rsid w:val="003A71F3"/>
    <w:rsid w:val="003B19F5"/>
    <w:rsid w:val="003B2501"/>
    <w:rsid w:val="003B7B71"/>
    <w:rsid w:val="003C0A38"/>
    <w:rsid w:val="003D0E0A"/>
    <w:rsid w:val="003D1569"/>
    <w:rsid w:val="003E1F8A"/>
    <w:rsid w:val="003E4727"/>
    <w:rsid w:val="003E5324"/>
    <w:rsid w:val="003E5E67"/>
    <w:rsid w:val="00402B32"/>
    <w:rsid w:val="004044EE"/>
    <w:rsid w:val="00410C93"/>
    <w:rsid w:val="00411B4A"/>
    <w:rsid w:val="00412680"/>
    <w:rsid w:val="004167CD"/>
    <w:rsid w:val="00425367"/>
    <w:rsid w:val="00425EDA"/>
    <w:rsid w:val="0043290D"/>
    <w:rsid w:val="00433ADB"/>
    <w:rsid w:val="004353BF"/>
    <w:rsid w:val="004400CA"/>
    <w:rsid w:val="00446735"/>
    <w:rsid w:val="004474F3"/>
    <w:rsid w:val="004515DA"/>
    <w:rsid w:val="00453A00"/>
    <w:rsid w:val="004543A5"/>
    <w:rsid w:val="00462878"/>
    <w:rsid w:val="0046417B"/>
    <w:rsid w:val="004657EA"/>
    <w:rsid w:val="00481A49"/>
    <w:rsid w:val="00484E88"/>
    <w:rsid w:val="004953EC"/>
    <w:rsid w:val="004A015E"/>
    <w:rsid w:val="004A020F"/>
    <w:rsid w:val="004A0DE1"/>
    <w:rsid w:val="004A21A7"/>
    <w:rsid w:val="004A2410"/>
    <w:rsid w:val="004A27AC"/>
    <w:rsid w:val="004A2B68"/>
    <w:rsid w:val="004A6DDD"/>
    <w:rsid w:val="004A7523"/>
    <w:rsid w:val="004B181C"/>
    <w:rsid w:val="004C1DD0"/>
    <w:rsid w:val="004C2ED2"/>
    <w:rsid w:val="004C60EA"/>
    <w:rsid w:val="004C64E4"/>
    <w:rsid w:val="004D1D5E"/>
    <w:rsid w:val="004E0650"/>
    <w:rsid w:val="004E3234"/>
    <w:rsid w:val="004E3AEE"/>
    <w:rsid w:val="004E4EFB"/>
    <w:rsid w:val="004E55DB"/>
    <w:rsid w:val="004F0533"/>
    <w:rsid w:val="004F2A9F"/>
    <w:rsid w:val="004F6879"/>
    <w:rsid w:val="005000E9"/>
    <w:rsid w:val="00500D8B"/>
    <w:rsid w:val="00502B2F"/>
    <w:rsid w:val="00505F40"/>
    <w:rsid w:val="00512D00"/>
    <w:rsid w:val="00514179"/>
    <w:rsid w:val="00516CDF"/>
    <w:rsid w:val="005170E4"/>
    <w:rsid w:val="005171C9"/>
    <w:rsid w:val="005214D2"/>
    <w:rsid w:val="00522621"/>
    <w:rsid w:val="00524D8A"/>
    <w:rsid w:val="005266F6"/>
    <w:rsid w:val="005320C1"/>
    <w:rsid w:val="00536484"/>
    <w:rsid w:val="00545431"/>
    <w:rsid w:val="005460D5"/>
    <w:rsid w:val="0055517C"/>
    <w:rsid w:val="00556AA7"/>
    <w:rsid w:val="005573AE"/>
    <w:rsid w:val="0056050C"/>
    <w:rsid w:val="0056217D"/>
    <w:rsid w:val="00562860"/>
    <w:rsid w:val="005631C8"/>
    <w:rsid w:val="00565746"/>
    <w:rsid w:val="00566A85"/>
    <w:rsid w:val="00570831"/>
    <w:rsid w:val="00570FCB"/>
    <w:rsid w:val="00571368"/>
    <w:rsid w:val="00573AE3"/>
    <w:rsid w:val="00574240"/>
    <w:rsid w:val="005768CC"/>
    <w:rsid w:val="00581B74"/>
    <w:rsid w:val="00583204"/>
    <w:rsid w:val="005902D9"/>
    <w:rsid w:val="00590B75"/>
    <w:rsid w:val="0059244D"/>
    <w:rsid w:val="005925EE"/>
    <w:rsid w:val="00592A7E"/>
    <w:rsid w:val="005943A4"/>
    <w:rsid w:val="00596AB7"/>
    <w:rsid w:val="00597F87"/>
    <w:rsid w:val="005A1459"/>
    <w:rsid w:val="005A1EA7"/>
    <w:rsid w:val="005A7D38"/>
    <w:rsid w:val="005B0724"/>
    <w:rsid w:val="005B1E46"/>
    <w:rsid w:val="005B295A"/>
    <w:rsid w:val="005B7775"/>
    <w:rsid w:val="005C0014"/>
    <w:rsid w:val="005C2924"/>
    <w:rsid w:val="005C42AC"/>
    <w:rsid w:val="005C4F84"/>
    <w:rsid w:val="005C5383"/>
    <w:rsid w:val="005D12E2"/>
    <w:rsid w:val="005D3382"/>
    <w:rsid w:val="005D703E"/>
    <w:rsid w:val="005E370D"/>
    <w:rsid w:val="005E620C"/>
    <w:rsid w:val="005E7E9D"/>
    <w:rsid w:val="005F123E"/>
    <w:rsid w:val="005F1B6C"/>
    <w:rsid w:val="005F4509"/>
    <w:rsid w:val="005F7F2B"/>
    <w:rsid w:val="0060543A"/>
    <w:rsid w:val="00610C5F"/>
    <w:rsid w:val="00613410"/>
    <w:rsid w:val="00615434"/>
    <w:rsid w:val="0061717E"/>
    <w:rsid w:val="00617986"/>
    <w:rsid w:val="00625262"/>
    <w:rsid w:val="00627DD2"/>
    <w:rsid w:val="00635B4B"/>
    <w:rsid w:val="00640026"/>
    <w:rsid w:val="006414B7"/>
    <w:rsid w:val="00654A48"/>
    <w:rsid w:val="006552FD"/>
    <w:rsid w:val="0065651B"/>
    <w:rsid w:val="00664607"/>
    <w:rsid w:val="0066468B"/>
    <w:rsid w:val="00670089"/>
    <w:rsid w:val="00670560"/>
    <w:rsid w:val="006809DA"/>
    <w:rsid w:val="00680AE4"/>
    <w:rsid w:val="00684E51"/>
    <w:rsid w:val="0069086A"/>
    <w:rsid w:val="00695990"/>
    <w:rsid w:val="0069635B"/>
    <w:rsid w:val="006A100B"/>
    <w:rsid w:val="006A143A"/>
    <w:rsid w:val="006A278D"/>
    <w:rsid w:val="006A3285"/>
    <w:rsid w:val="006A4743"/>
    <w:rsid w:val="006A55C3"/>
    <w:rsid w:val="006B0048"/>
    <w:rsid w:val="006B17C8"/>
    <w:rsid w:val="006B243E"/>
    <w:rsid w:val="006B5E7E"/>
    <w:rsid w:val="006B72DE"/>
    <w:rsid w:val="006C4BA5"/>
    <w:rsid w:val="006C5FC1"/>
    <w:rsid w:val="006D44E1"/>
    <w:rsid w:val="006D552C"/>
    <w:rsid w:val="006E21FA"/>
    <w:rsid w:val="006E6952"/>
    <w:rsid w:val="006F03F0"/>
    <w:rsid w:val="006F0DEB"/>
    <w:rsid w:val="006F0FB7"/>
    <w:rsid w:val="006F15D4"/>
    <w:rsid w:val="006F354D"/>
    <w:rsid w:val="006F511B"/>
    <w:rsid w:val="006F70D3"/>
    <w:rsid w:val="006F7C11"/>
    <w:rsid w:val="00701184"/>
    <w:rsid w:val="00704E5D"/>
    <w:rsid w:val="00705739"/>
    <w:rsid w:val="007113A1"/>
    <w:rsid w:val="0071489C"/>
    <w:rsid w:val="007159B2"/>
    <w:rsid w:val="00717148"/>
    <w:rsid w:val="00717835"/>
    <w:rsid w:val="00724F97"/>
    <w:rsid w:val="00726088"/>
    <w:rsid w:val="007267F7"/>
    <w:rsid w:val="007279DB"/>
    <w:rsid w:val="00730B6A"/>
    <w:rsid w:val="00730BFB"/>
    <w:rsid w:val="00731622"/>
    <w:rsid w:val="00732F02"/>
    <w:rsid w:val="00734C8D"/>
    <w:rsid w:val="00736D88"/>
    <w:rsid w:val="00736DD2"/>
    <w:rsid w:val="00736E78"/>
    <w:rsid w:val="00743D93"/>
    <w:rsid w:val="00745FA2"/>
    <w:rsid w:val="0074681C"/>
    <w:rsid w:val="00746B5E"/>
    <w:rsid w:val="00746EC2"/>
    <w:rsid w:val="0075581A"/>
    <w:rsid w:val="0076486C"/>
    <w:rsid w:val="00765984"/>
    <w:rsid w:val="00767F36"/>
    <w:rsid w:val="00770494"/>
    <w:rsid w:val="00771617"/>
    <w:rsid w:val="00771A7C"/>
    <w:rsid w:val="007766B3"/>
    <w:rsid w:val="007766E9"/>
    <w:rsid w:val="00777433"/>
    <w:rsid w:val="007820DC"/>
    <w:rsid w:val="00785E3E"/>
    <w:rsid w:val="00785F86"/>
    <w:rsid w:val="00794CCF"/>
    <w:rsid w:val="00794FE8"/>
    <w:rsid w:val="007955DD"/>
    <w:rsid w:val="007959AC"/>
    <w:rsid w:val="007A20E0"/>
    <w:rsid w:val="007A2D82"/>
    <w:rsid w:val="007A64B7"/>
    <w:rsid w:val="007B2204"/>
    <w:rsid w:val="007B4B60"/>
    <w:rsid w:val="007C075F"/>
    <w:rsid w:val="007C2245"/>
    <w:rsid w:val="007C2331"/>
    <w:rsid w:val="007C2636"/>
    <w:rsid w:val="007C4A0F"/>
    <w:rsid w:val="007C75E9"/>
    <w:rsid w:val="007D3CA6"/>
    <w:rsid w:val="007E0D9F"/>
    <w:rsid w:val="007E298C"/>
    <w:rsid w:val="007E30A9"/>
    <w:rsid w:val="007E3989"/>
    <w:rsid w:val="007E64BA"/>
    <w:rsid w:val="007F2295"/>
    <w:rsid w:val="007F3CCE"/>
    <w:rsid w:val="007F5589"/>
    <w:rsid w:val="007F5C55"/>
    <w:rsid w:val="007F6A65"/>
    <w:rsid w:val="00801462"/>
    <w:rsid w:val="008026BD"/>
    <w:rsid w:val="00802CE7"/>
    <w:rsid w:val="00803B59"/>
    <w:rsid w:val="008041D4"/>
    <w:rsid w:val="00804AE5"/>
    <w:rsid w:val="00807C01"/>
    <w:rsid w:val="00807EE7"/>
    <w:rsid w:val="008109A2"/>
    <w:rsid w:val="0081156A"/>
    <w:rsid w:val="00815920"/>
    <w:rsid w:val="00823DF6"/>
    <w:rsid w:val="00825DDF"/>
    <w:rsid w:val="00826964"/>
    <w:rsid w:val="00827398"/>
    <w:rsid w:val="00831290"/>
    <w:rsid w:val="00832559"/>
    <w:rsid w:val="00832F7E"/>
    <w:rsid w:val="008409B0"/>
    <w:rsid w:val="00842974"/>
    <w:rsid w:val="0084353E"/>
    <w:rsid w:val="00851805"/>
    <w:rsid w:val="00853FE4"/>
    <w:rsid w:val="00854ACE"/>
    <w:rsid w:val="00854BF8"/>
    <w:rsid w:val="0085550A"/>
    <w:rsid w:val="0086105E"/>
    <w:rsid w:val="008616EF"/>
    <w:rsid w:val="00863C25"/>
    <w:rsid w:val="008668A0"/>
    <w:rsid w:val="008705BC"/>
    <w:rsid w:val="0087422F"/>
    <w:rsid w:val="00874324"/>
    <w:rsid w:val="00875A42"/>
    <w:rsid w:val="00883BD5"/>
    <w:rsid w:val="008904A8"/>
    <w:rsid w:val="00891344"/>
    <w:rsid w:val="008A2EFF"/>
    <w:rsid w:val="008A30C6"/>
    <w:rsid w:val="008A48FC"/>
    <w:rsid w:val="008A7C3B"/>
    <w:rsid w:val="008B12E9"/>
    <w:rsid w:val="008B53D8"/>
    <w:rsid w:val="008B63A1"/>
    <w:rsid w:val="008C28C6"/>
    <w:rsid w:val="008C3708"/>
    <w:rsid w:val="008C510F"/>
    <w:rsid w:val="008D264D"/>
    <w:rsid w:val="008D4DD3"/>
    <w:rsid w:val="008D5EB0"/>
    <w:rsid w:val="008D6EBF"/>
    <w:rsid w:val="008E0E94"/>
    <w:rsid w:val="008E39CA"/>
    <w:rsid w:val="008E50B8"/>
    <w:rsid w:val="008E66B8"/>
    <w:rsid w:val="008F00E5"/>
    <w:rsid w:val="008F1988"/>
    <w:rsid w:val="008F25DB"/>
    <w:rsid w:val="008F2AD5"/>
    <w:rsid w:val="008F2D73"/>
    <w:rsid w:val="008F3F62"/>
    <w:rsid w:val="008F6252"/>
    <w:rsid w:val="008F770B"/>
    <w:rsid w:val="009023F3"/>
    <w:rsid w:val="00902D42"/>
    <w:rsid w:val="0090383C"/>
    <w:rsid w:val="00904E19"/>
    <w:rsid w:val="00905382"/>
    <w:rsid w:val="00905D25"/>
    <w:rsid w:val="00907FFD"/>
    <w:rsid w:val="00911ACF"/>
    <w:rsid w:val="00911AE9"/>
    <w:rsid w:val="00912132"/>
    <w:rsid w:val="00912A05"/>
    <w:rsid w:val="00916001"/>
    <w:rsid w:val="009160E6"/>
    <w:rsid w:val="00922FAD"/>
    <w:rsid w:val="00924F0A"/>
    <w:rsid w:val="0092708B"/>
    <w:rsid w:val="009313BB"/>
    <w:rsid w:val="0093578C"/>
    <w:rsid w:val="00937713"/>
    <w:rsid w:val="00943FB2"/>
    <w:rsid w:val="009519E2"/>
    <w:rsid w:val="00954464"/>
    <w:rsid w:val="00960FDC"/>
    <w:rsid w:val="00963C95"/>
    <w:rsid w:val="00966820"/>
    <w:rsid w:val="00967377"/>
    <w:rsid w:val="00967A56"/>
    <w:rsid w:val="00972633"/>
    <w:rsid w:val="00973679"/>
    <w:rsid w:val="009739E4"/>
    <w:rsid w:val="00973E50"/>
    <w:rsid w:val="00980037"/>
    <w:rsid w:val="009821C6"/>
    <w:rsid w:val="00983B43"/>
    <w:rsid w:val="009935C9"/>
    <w:rsid w:val="00996D2C"/>
    <w:rsid w:val="009A070C"/>
    <w:rsid w:val="009B6D65"/>
    <w:rsid w:val="009C032D"/>
    <w:rsid w:val="009C3034"/>
    <w:rsid w:val="009C40F0"/>
    <w:rsid w:val="009C4958"/>
    <w:rsid w:val="009C7326"/>
    <w:rsid w:val="009D01D6"/>
    <w:rsid w:val="009D2934"/>
    <w:rsid w:val="009D6931"/>
    <w:rsid w:val="009E1F06"/>
    <w:rsid w:val="009E2AF3"/>
    <w:rsid w:val="009E737D"/>
    <w:rsid w:val="009E749B"/>
    <w:rsid w:val="009F3B26"/>
    <w:rsid w:val="009F3FE9"/>
    <w:rsid w:val="009F4390"/>
    <w:rsid w:val="009F5335"/>
    <w:rsid w:val="009F5682"/>
    <w:rsid w:val="00A03977"/>
    <w:rsid w:val="00A04BC7"/>
    <w:rsid w:val="00A050D4"/>
    <w:rsid w:val="00A056BA"/>
    <w:rsid w:val="00A065B8"/>
    <w:rsid w:val="00A16C2A"/>
    <w:rsid w:val="00A26FF7"/>
    <w:rsid w:val="00A30B50"/>
    <w:rsid w:val="00A3107D"/>
    <w:rsid w:val="00A330D4"/>
    <w:rsid w:val="00A35338"/>
    <w:rsid w:val="00A417D7"/>
    <w:rsid w:val="00A445DC"/>
    <w:rsid w:val="00A44BEA"/>
    <w:rsid w:val="00A527E2"/>
    <w:rsid w:val="00A553F3"/>
    <w:rsid w:val="00A575D9"/>
    <w:rsid w:val="00A57A7E"/>
    <w:rsid w:val="00A60C8A"/>
    <w:rsid w:val="00A66DEB"/>
    <w:rsid w:val="00A67DFB"/>
    <w:rsid w:val="00A67FC1"/>
    <w:rsid w:val="00A711C6"/>
    <w:rsid w:val="00A7358D"/>
    <w:rsid w:val="00A75ABC"/>
    <w:rsid w:val="00A7737E"/>
    <w:rsid w:val="00A77D33"/>
    <w:rsid w:val="00A837D7"/>
    <w:rsid w:val="00A84863"/>
    <w:rsid w:val="00A86554"/>
    <w:rsid w:val="00A911F8"/>
    <w:rsid w:val="00A930D0"/>
    <w:rsid w:val="00A943CB"/>
    <w:rsid w:val="00A952ED"/>
    <w:rsid w:val="00A95D95"/>
    <w:rsid w:val="00A974FE"/>
    <w:rsid w:val="00A977EC"/>
    <w:rsid w:val="00AA3FD1"/>
    <w:rsid w:val="00AA4AAD"/>
    <w:rsid w:val="00AB0701"/>
    <w:rsid w:val="00AB4509"/>
    <w:rsid w:val="00AB5D3A"/>
    <w:rsid w:val="00AB5ED3"/>
    <w:rsid w:val="00AB6B0C"/>
    <w:rsid w:val="00AB70CD"/>
    <w:rsid w:val="00AC2047"/>
    <w:rsid w:val="00AC2780"/>
    <w:rsid w:val="00AC28C5"/>
    <w:rsid w:val="00AC485C"/>
    <w:rsid w:val="00AC48B3"/>
    <w:rsid w:val="00AC6BCD"/>
    <w:rsid w:val="00AC7AC9"/>
    <w:rsid w:val="00AD23EF"/>
    <w:rsid w:val="00AD2504"/>
    <w:rsid w:val="00AD361A"/>
    <w:rsid w:val="00AD6A95"/>
    <w:rsid w:val="00AE0E00"/>
    <w:rsid w:val="00AE1920"/>
    <w:rsid w:val="00AE6A83"/>
    <w:rsid w:val="00AF01B3"/>
    <w:rsid w:val="00AF0F13"/>
    <w:rsid w:val="00AF65E5"/>
    <w:rsid w:val="00AF7992"/>
    <w:rsid w:val="00B00AB3"/>
    <w:rsid w:val="00B00B4D"/>
    <w:rsid w:val="00B031C9"/>
    <w:rsid w:val="00B0498C"/>
    <w:rsid w:val="00B04AB7"/>
    <w:rsid w:val="00B0583F"/>
    <w:rsid w:val="00B073C8"/>
    <w:rsid w:val="00B14C52"/>
    <w:rsid w:val="00B200AA"/>
    <w:rsid w:val="00B20272"/>
    <w:rsid w:val="00B21225"/>
    <w:rsid w:val="00B21731"/>
    <w:rsid w:val="00B225F1"/>
    <w:rsid w:val="00B22A7A"/>
    <w:rsid w:val="00B3056D"/>
    <w:rsid w:val="00B30755"/>
    <w:rsid w:val="00B313C2"/>
    <w:rsid w:val="00B33ED2"/>
    <w:rsid w:val="00B36D6C"/>
    <w:rsid w:val="00B4023A"/>
    <w:rsid w:val="00B44584"/>
    <w:rsid w:val="00B478C3"/>
    <w:rsid w:val="00B50A8F"/>
    <w:rsid w:val="00B51BBE"/>
    <w:rsid w:val="00B51C65"/>
    <w:rsid w:val="00B51D5D"/>
    <w:rsid w:val="00B534C4"/>
    <w:rsid w:val="00B537C3"/>
    <w:rsid w:val="00B61348"/>
    <w:rsid w:val="00B6263F"/>
    <w:rsid w:val="00B64178"/>
    <w:rsid w:val="00B67114"/>
    <w:rsid w:val="00B702D7"/>
    <w:rsid w:val="00B71C3A"/>
    <w:rsid w:val="00B75449"/>
    <w:rsid w:val="00B75F36"/>
    <w:rsid w:val="00B823F6"/>
    <w:rsid w:val="00B83831"/>
    <w:rsid w:val="00B93463"/>
    <w:rsid w:val="00B94CCB"/>
    <w:rsid w:val="00BA26B3"/>
    <w:rsid w:val="00BA3FFF"/>
    <w:rsid w:val="00BA4003"/>
    <w:rsid w:val="00BA527C"/>
    <w:rsid w:val="00BA67CA"/>
    <w:rsid w:val="00BA6F7B"/>
    <w:rsid w:val="00BB02CB"/>
    <w:rsid w:val="00BB5D6B"/>
    <w:rsid w:val="00BB7494"/>
    <w:rsid w:val="00BB778C"/>
    <w:rsid w:val="00BC0431"/>
    <w:rsid w:val="00BC19B9"/>
    <w:rsid w:val="00BC1C91"/>
    <w:rsid w:val="00BD0FBA"/>
    <w:rsid w:val="00BD7B7F"/>
    <w:rsid w:val="00BE07A9"/>
    <w:rsid w:val="00BE0A4E"/>
    <w:rsid w:val="00BE33D1"/>
    <w:rsid w:val="00BF4FCD"/>
    <w:rsid w:val="00BF5230"/>
    <w:rsid w:val="00BF7EE4"/>
    <w:rsid w:val="00C01161"/>
    <w:rsid w:val="00C1090C"/>
    <w:rsid w:val="00C23C73"/>
    <w:rsid w:val="00C240C8"/>
    <w:rsid w:val="00C26513"/>
    <w:rsid w:val="00C37F72"/>
    <w:rsid w:val="00C420C1"/>
    <w:rsid w:val="00C4525F"/>
    <w:rsid w:val="00C45963"/>
    <w:rsid w:val="00C472B8"/>
    <w:rsid w:val="00C477E6"/>
    <w:rsid w:val="00C53124"/>
    <w:rsid w:val="00C53B2E"/>
    <w:rsid w:val="00C53B49"/>
    <w:rsid w:val="00C53FFD"/>
    <w:rsid w:val="00C55080"/>
    <w:rsid w:val="00C6160A"/>
    <w:rsid w:val="00C64326"/>
    <w:rsid w:val="00C65570"/>
    <w:rsid w:val="00C67CCD"/>
    <w:rsid w:val="00C7484C"/>
    <w:rsid w:val="00C753F3"/>
    <w:rsid w:val="00C76ECD"/>
    <w:rsid w:val="00C83C75"/>
    <w:rsid w:val="00C84763"/>
    <w:rsid w:val="00C848E6"/>
    <w:rsid w:val="00C84E04"/>
    <w:rsid w:val="00C8791A"/>
    <w:rsid w:val="00C909AA"/>
    <w:rsid w:val="00C910BE"/>
    <w:rsid w:val="00C9130D"/>
    <w:rsid w:val="00C922BE"/>
    <w:rsid w:val="00C92F76"/>
    <w:rsid w:val="00C94FD0"/>
    <w:rsid w:val="00C951AE"/>
    <w:rsid w:val="00CA5844"/>
    <w:rsid w:val="00CA7415"/>
    <w:rsid w:val="00CB2177"/>
    <w:rsid w:val="00CB265C"/>
    <w:rsid w:val="00CB4FEB"/>
    <w:rsid w:val="00CB7A07"/>
    <w:rsid w:val="00CC457C"/>
    <w:rsid w:val="00CC59BB"/>
    <w:rsid w:val="00CD635D"/>
    <w:rsid w:val="00CD7CED"/>
    <w:rsid w:val="00CE04C7"/>
    <w:rsid w:val="00CF09B7"/>
    <w:rsid w:val="00CF156B"/>
    <w:rsid w:val="00CF1E02"/>
    <w:rsid w:val="00CF2D68"/>
    <w:rsid w:val="00CF2F47"/>
    <w:rsid w:val="00CF329B"/>
    <w:rsid w:val="00CF597A"/>
    <w:rsid w:val="00D0319A"/>
    <w:rsid w:val="00D032D5"/>
    <w:rsid w:val="00D05BAA"/>
    <w:rsid w:val="00D07FB9"/>
    <w:rsid w:val="00D10112"/>
    <w:rsid w:val="00D121B8"/>
    <w:rsid w:val="00D13B7A"/>
    <w:rsid w:val="00D22C4B"/>
    <w:rsid w:val="00D230C7"/>
    <w:rsid w:val="00D235DF"/>
    <w:rsid w:val="00D23E7D"/>
    <w:rsid w:val="00D2405F"/>
    <w:rsid w:val="00D24905"/>
    <w:rsid w:val="00D25FE3"/>
    <w:rsid w:val="00D30C7F"/>
    <w:rsid w:val="00D35D2A"/>
    <w:rsid w:val="00D41BA9"/>
    <w:rsid w:val="00D456F3"/>
    <w:rsid w:val="00D46250"/>
    <w:rsid w:val="00D52376"/>
    <w:rsid w:val="00D54CA1"/>
    <w:rsid w:val="00D57B9E"/>
    <w:rsid w:val="00D60F92"/>
    <w:rsid w:val="00D612C2"/>
    <w:rsid w:val="00D64080"/>
    <w:rsid w:val="00D66A2D"/>
    <w:rsid w:val="00D745E0"/>
    <w:rsid w:val="00D74CF9"/>
    <w:rsid w:val="00D76AA3"/>
    <w:rsid w:val="00D80604"/>
    <w:rsid w:val="00D858F8"/>
    <w:rsid w:val="00D86212"/>
    <w:rsid w:val="00D91FE4"/>
    <w:rsid w:val="00D9460E"/>
    <w:rsid w:val="00D952B8"/>
    <w:rsid w:val="00D95411"/>
    <w:rsid w:val="00DA086B"/>
    <w:rsid w:val="00DA0B92"/>
    <w:rsid w:val="00DA5225"/>
    <w:rsid w:val="00DA565F"/>
    <w:rsid w:val="00DA5E46"/>
    <w:rsid w:val="00DA7E05"/>
    <w:rsid w:val="00DB1007"/>
    <w:rsid w:val="00DB4794"/>
    <w:rsid w:val="00DB4BDE"/>
    <w:rsid w:val="00DB5457"/>
    <w:rsid w:val="00DB5C3E"/>
    <w:rsid w:val="00DB628E"/>
    <w:rsid w:val="00DD1761"/>
    <w:rsid w:val="00DD66DC"/>
    <w:rsid w:val="00DE1E3E"/>
    <w:rsid w:val="00DE4929"/>
    <w:rsid w:val="00DE4DC4"/>
    <w:rsid w:val="00DE5BEB"/>
    <w:rsid w:val="00DE7ABF"/>
    <w:rsid w:val="00DF2028"/>
    <w:rsid w:val="00DF3046"/>
    <w:rsid w:val="00DF348B"/>
    <w:rsid w:val="00DF39A9"/>
    <w:rsid w:val="00DF782C"/>
    <w:rsid w:val="00E023D0"/>
    <w:rsid w:val="00E02BE3"/>
    <w:rsid w:val="00E030A0"/>
    <w:rsid w:val="00E04FF7"/>
    <w:rsid w:val="00E124E3"/>
    <w:rsid w:val="00E1356C"/>
    <w:rsid w:val="00E1419D"/>
    <w:rsid w:val="00E14812"/>
    <w:rsid w:val="00E14F74"/>
    <w:rsid w:val="00E15DDE"/>
    <w:rsid w:val="00E2339E"/>
    <w:rsid w:val="00E2709C"/>
    <w:rsid w:val="00E308E8"/>
    <w:rsid w:val="00E3245B"/>
    <w:rsid w:val="00E34DF5"/>
    <w:rsid w:val="00E3707B"/>
    <w:rsid w:val="00E4024B"/>
    <w:rsid w:val="00E40CF1"/>
    <w:rsid w:val="00E4710C"/>
    <w:rsid w:val="00E50685"/>
    <w:rsid w:val="00E570D9"/>
    <w:rsid w:val="00E57F6B"/>
    <w:rsid w:val="00E64B94"/>
    <w:rsid w:val="00E654A2"/>
    <w:rsid w:val="00E71934"/>
    <w:rsid w:val="00E7342C"/>
    <w:rsid w:val="00E81737"/>
    <w:rsid w:val="00E8198D"/>
    <w:rsid w:val="00E873EA"/>
    <w:rsid w:val="00E91EC1"/>
    <w:rsid w:val="00E947AE"/>
    <w:rsid w:val="00E95ABA"/>
    <w:rsid w:val="00EA010E"/>
    <w:rsid w:val="00EA4561"/>
    <w:rsid w:val="00EB0588"/>
    <w:rsid w:val="00EB0E2D"/>
    <w:rsid w:val="00EB1E33"/>
    <w:rsid w:val="00EB215E"/>
    <w:rsid w:val="00EB2F99"/>
    <w:rsid w:val="00EB4AA3"/>
    <w:rsid w:val="00EB706C"/>
    <w:rsid w:val="00EC0215"/>
    <w:rsid w:val="00EC029D"/>
    <w:rsid w:val="00EC0881"/>
    <w:rsid w:val="00EC3AB1"/>
    <w:rsid w:val="00ED05EA"/>
    <w:rsid w:val="00ED0742"/>
    <w:rsid w:val="00ED216E"/>
    <w:rsid w:val="00ED579F"/>
    <w:rsid w:val="00EE061A"/>
    <w:rsid w:val="00EE30AF"/>
    <w:rsid w:val="00EE67BB"/>
    <w:rsid w:val="00EE68E4"/>
    <w:rsid w:val="00EF2477"/>
    <w:rsid w:val="00F009EC"/>
    <w:rsid w:val="00F06551"/>
    <w:rsid w:val="00F06D97"/>
    <w:rsid w:val="00F10932"/>
    <w:rsid w:val="00F11A47"/>
    <w:rsid w:val="00F134B1"/>
    <w:rsid w:val="00F13738"/>
    <w:rsid w:val="00F169C3"/>
    <w:rsid w:val="00F16EFC"/>
    <w:rsid w:val="00F1718E"/>
    <w:rsid w:val="00F20FF1"/>
    <w:rsid w:val="00F25205"/>
    <w:rsid w:val="00F2777C"/>
    <w:rsid w:val="00F31987"/>
    <w:rsid w:val="00F35457"/>
    <w:rsid w:val="00F3595B"/>
    <w:rsid w:val="00F36398"/>
    <w:rsid w:val="00F4097C"/>
    <w:rsid w:val="00F426A6"/>
    <w:rsid w:val="00F429FD"/>
    <w:rsid w:val="00F449C4"/>
    <w:rsid w:val="00F538D9"/>
    <w:rsid w:val="00F5531F"/>
    <w:rsid w:val="00F56399"/>
    <w:rsid w:val="00F63953"/>
    <w:rsid w:val="00F6510D"/>
    <w:rsid w:val="00F65545"/>
    <w:rsid w:val="00F6689A"/>
    <w:rsid w:val="00F7213B"/>
    <w:rsid w:val="00F725B2"/>
    <w:rsid w:val="00F7298D"/>
    <w:rsid w:val="00F7750A"/>
    <w:rsid w:val="00F80006"/>
    <w:rsid w:val="00F80084"/>
    <w:rsid w:val="00F81663"/>
    <w:rsid w:val="00F85A30"/>
    <w:rsid w:val="00F92045"/>
    <w:rsid w:val="00F95676"/>
    <w:rsid w:val="00F96A73"/>
    <w:rsid w:val="00FA0979"/>
    <w:rsid w:val="00FA5828"/>
    <w:rsid w:val="00FB3FC5"/>
    <w:rsid w:val="00FB4BA6"/>
    <w:rsid w:val="00FC3EBE"/>
    <w:rsid w:val="00FC66C2"/>
    <w:rsid w:val="00FC6F58"/>
    <w:rsid w:val="00FC6FA8"/>
    <w:rsid w:val="00FD2470"/>
    <w:rsid w:val="00FD26B5"/>
    <w:rsid w:val="00FD5823"/>
    <w:rsid w:val="00FE1B42"/>
    <w:rsid w:val="00FE1C27"/>
    <w:rsid w:val="00FE215B"/>
    <w:rsid w:val="00FE5C31"/>
    <w:rsid w:val="00FE68B1"/>
    <w:rsid w:val="00FF25BA"/>
    <w:rsid w:val="00FF3BC9"/>
    <w:rsid w:val="00FF748B"/>
    <w:rsid w:val="00FF7623"/>
    <w:rsid w:val="015251A9"/>
    <w:rsid w:val="037F1AAB"/>
    <w:rsid w:val="03BE7F18"/>
    <w:rsid w:val="0480254A"/>
    <w:rsid w:val="04D46D43"/>
    <w:rsid w:val="080264CE"/>
    <w:rsid w:val="08C52A1E"/>
    <w:rsid w:val="08F13E0E"/>
    <w:rsid w:val="097B6E2D"/>
    <w:rsid w:val="0CC74CE0"/>
    <w:rsid w:val="0EBC78C0"/>
    <w:rsid w:val="107752B0"/>
    <w:rsid w:val="11A92009"/>
    <w:rsid w:val="12D62551"/>
    <w:rsid w:val="14DA606C"/>
    <w:rsid w:val="16480659"/>
    <w:rsid w:val="17F142C0"/>
    <w:rsid w:val="1ABD3F8C"/>
    <w:rsid w:val="1B344769"/>
    <w:rsid w:val="1BA4182E"/>
    <w:rsid w:val="1C746C70"/>
    <w:rsid w:val="1CD758AD"/>
    <w:rsid w:val="1DF1193F"/>
    <w:rsid w:val="1EBA4A39"/>
    <w:rsid w:val="209B361A"/>
    <w:rsid w:val="21E738ED"/>
    <w:rsid w:val="245B32B8"/>
    <w:rsid w:val="254E75E6"/>
    <w:rsid w:val="25D1069F"/>
    <w:rsid w:val="25D216B8"/>
    <w:rsid w:val="25F15DB5"/>
    <w:rsid w:val="266A7FA7"/>
    <w:rsid w:val="29505CDA"/>
    <w:rsid w:val="2B286BC5"/>
    <w:rsid w:val="2B89500C"/>
    <w:rsid w:val="2C2D2523"/>
    <w:rsid w:val="2F57706B"/>
    <w:rsid w:val="310E761B"/>
    <w:rsid w:val="3530225E"/>
    <w:rsid w:val="361E4B80"/>
    <w:rsid w:val="36EA2EF3"/>
    <w:rsid w:val="3AD31FFD"/>
    <w:rsid w:val="3B0D2CD2"/>
    <w:rsid w:val="3B66228C"/>
    <w:rsid w:val="3C75460F"/>
    <w:rsid w:val="3D396C7C"/>
    <w:rsid w:val="3E8D1015"/>
    <w:rsid w:val="3F2255E5"/>
    <w:rsid w:val="3F6C0A17"/>
    <w:rsid w:val="40D8574E"/>
    <w:rsid w:val="414C48A8"/>
    <w:rsid w:val="4311195E"/>
    <w:rsid w:val="43D7786D"/>
    <w:rsid w:val="44637395"/>
    <w:rsid w:val="461F6313"/>
    <w:rsid w:val="47323E34"/>
    <w:rsid w:val="47843DB9"/>
    <w:rsid w:val="4A0C2326"/>
    <w:rsid w:val="4E3F2D9E"/>
    <w:rsid w:val="4F6103E5"/>
    <w:rsid w:val="50A27791"/>
    <w:rsid w:val="51BB25F2"/>
    <w:rsid w:val="524C0680"/>
    <w:rsid w:val="526562DC"/>
    <w:rsid w:val="52EB45C2"/>
    <w:rsid w:val="531E68CD"/>
    <w:rsid w:val="545C6AF1"/>
    <w:rsid w:val="560E52DE"/>
    <w:rsid w:val="56B61429"/>
    <w:rsid w:val="56D66DE4"/>
    <w:rsid w:val="575E1494"/>
    <w:rsid w:val="589F3A44"/>
    <w:rsid w:val="59D9651C"/>
    <w:rsid w:val="59DC3A22"/>
    <w:rsid w:val="5B6D0457"/>
    <w:rsid w:val="5BD75000"/>
    <w:rsid w:val="5BDC2C95"/>
    <w:rsid w:val="5C5666C8"/>
    <w:rsid w:val="5D1B313B"/>
    <w:rsid w:val="5E910B3F"/>
    <w:rsid w:val="64FD35F3"/>
    <w:rsid w:val="666A0BEA"/>
    <w:rsid w:val="716F5BBA"/>
    <w:rsid w:val="72026C0C"/>
    <w:rsid w:val="721C3F61"/>
    <w:rsid w:val="72BC0B39"/>
    <w:rsid w:val="75123F8E"/>
    <w:rsid w:val="75256D8B"/>
    <w:rsid w:val="789E5CA1"/>
    <w:rsid w:val="79C14722"/>
    <w:rsid w:val="7CCC6D38"/>
    <w:rsid w:val="7D134A7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69"/>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8">
    <w:name w:val="Default Paragraph Font"/>
    <w:qFormat/>
    <w:uiPriority w:val="0"/>
  </w:style>
  <w:style w:type="table" w:default="1" w:styleId="5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0"/>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1"/>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72"/>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39"/>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2"/>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character" w:styleId="59">
    <w:name w:val="Strong"/>
    <w:basedOn w:val="58"/>
    <w:qFormat/>
    <w:uiPriority w:val="22"/>
    <w:rPr>
      <w:b/>
    </w:rPr>
  </w:style>
  <w:style w:type="character" w:styleId="60">
    <w:name w:val="page number"/>
    <w:qFormat/>
    <w:uiPriority w:val="0"/>
  </w:style>
  <w:style w:type="character" w:styleId="61">
    <w:name w:val="FollowedHyperlink"/>
    <w:qFormat/>
    <w:uiPriority w:val="0"/>
    <w:rPr>
      <w:color w:val="800080"/>
      <w:u w:val="single"/>
    </w:rPr>
  </w:style>
  <w:style w:type="character" w:styleId="62">
    <w:name w:val="Emphasis"/>
    <w:qFormat/>
    <w:uiPriority w:val="0"/>
    <w:rPr>
      <w:i/>
    </w:rPr>
  </w:style>
  <w:style w:type="character" w:styleId="63">
    <w:name w:val="Hyperlink"/>
    <w:qFormat/>
    <w:uiPriority w:val="99"/>
    <w:rPr>
      <w:color w:val="0000FF"/>
      <w:u w:val="single"/>
    </w:rPr>
  </w:style>
  <w:style w:type="character" w:styleId="64">
    <w:name w:val="annotation reference"/>
    <w:qFormat/>
    <w:uiPriority w:val="0"/>
    <w:rPr>
      <w:sz w:val="21"/>
      <w:szCs w:val="21"/>
    </w:rPr>
  </w:style>
  <w:style w:type="character" w:styleId="65">
    <w:name w:val="footnote reference"/>
    <w:qFormat/>
    <w:uiPriority w:val="0"/>
    <w:rPr>
      <w:position w:val="6"/>
      <w:sz w:val="14"/>
      <w:vertAlign w:val="superscript"/>
    </w:rPr>
  </w:style>
  <w:style w:type="paragraph" w:customStyle="1" w:styleId="66">
    <w:name w:val="标题 5（有编号）（绿盟科技）"/>
    <w:basedOn w:val="1"/>
    <w:next w:val="67"/>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8">
    <w:name w:val="标题 2 Char"/>
    <w:link w:val="4"/>
    <w:qFormat/>
    <w:uiPriority w:val="0"/>
    <w:rPr>
      <w:rFonts w:ascii="Arial" w:hAnsi="Arial" w:eastAsia="黑体"/>
      <w:b/>
      <w:kern w:val="2"/>
      <w:sz w:val="32"/>
    </w:rPr>
  </w:style>
  <w:style w:type="character" w:customStyle="1" w:styleId="69">
    <w:name w:val="标题 3 Char"/>
    <w:link w:val="5"/>
    <w:qFormat/>
    <w:uiPriority w:val="0"/>
    <w:rPr>
      <w:rFonts w:eastAsia="宋体"/>
      <w:b/>
      <w:kern w:val="2"/>
      <w:sz w:val="32"/>
      <w:lang w:val="en-US" w:eastAsia="zh-CN"/>
    </w:rPr>
  </w:style>
  <w:style w:type="character" w:customStyle="1" w:styleId="70">
    <w:name w:val="批注文字 Char"/>
    <w:link w:val="20"/>
    <w:qFormat/>
    <w:uiPriority w:val="0"/>
    <w:rPr>
      <w:sz w:val="24"/>
    </w:rPr>
  </w:style>
  <w:style w:type="character" w:customStyle="1" w:styleId="71">
    <w:name w:val="正文文本缩进 Char"/>
    <w:link w:val="23"/>
    <w:qFormat/>
    <w:uiPriority w:val="0"/>
    <w:rPr>
      <w:kern w:val="2"/>
      <w:sz w:val="44"/>
    </w:rPr>
  </w:style>
  <w:style w:type="character" w:customStyle="1" w:styleId="72">
    <w:name w:val="纯文本 Char"/>
    <w:link w:val="30"/>
    <w:qFormat/>
    <w:uiPriority w:val="0"/>
    <w:rPr>
      <w:rFonts w:ascii="宋体" w:hAnsi="Courier New"/>
      <w:kern w:val="2"/>
      <w:sz w:val="21"/>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content-white1"/>
    <w:qFormat/>
    <w:uiPriority w:val="0"/>
    <w:rPr>
      <w:rFonts w:ascii="_x000B__x000C_" w:hAnsi="_x000B__x000C_"/>
      <w:color w:val="auto"/>
      <w:sz w:val="18"/>
      <w:u w:val="none"/>
    </w:rPr>
  </w:style>
  <w:style w:type="character" w:customStyle="1" w:styleId="79">
    <w:name w:val=" Char Char3"/>
    <w:qFormat/>
    <w:uiPriority w:val="0"/>
    <w:rPr>
      <w:rFonts w:eastAsia="宋体"/>
      <w:kern w:val="2"/>
      <w:sz w:val="18"/>
      <w:lang w:val="en-US" w:eastAsia="zh-CN"/>
    </w:rPr>
  </w:style>
  <w:style w:type="character" w:customStyle="1" w:styleId="80">
    <w:name w:val="Table Text Char Char Char Char"/>
    <w:link w:val="81"/>
    <w:qFormat/>
    <w:uiPriority w:val="0"/>
    <w:rPr>
      <w:rFonts w:ascii="Arial" w:hAnsi="Arial"/>
      <w:kern w:val="2"/>
      <w:sz w:val="18"/>
      <w:lang w:val="en-US" w:eastAsia="zh-CN" w:bidi="ar-SA"/>
    </w:rPr>
  </w:style>
  <w:style w:type="paragraph" w:customStyle="1" w:styleId="81">
    <w:name w:val="Table Text Char Char Char"/>
    <w:link w:val="80"/>
    <w:qFormat/>
    <w:uiPriority w:val="0"/>
    <w:pPr>
      <w:snapToGrid w:val="0"/>
      <w:spacing w:before="80" w:after="80"/>
    </w:pPr>
    <w:rPr>
      <w:rFonts w:ascii="Arial" w:hAnsi="Arial" w:eastAsia="宋体" w:cs="Times New Roman"/>
      <w:kern w:val="2"/>
      <w:sz w:val="18"/>
      <w:lang w:val="en-US" w:eastAsia="zh-CN" w:bidi="ar-SA"/>
    </w:rPr>
  </w:style>
  <w:style w:type="character" w:customStyle="1" w:styleId="82">
    <w:name w:val=" Char Char7"/>
    <w:qFormat/>
    <w:uiPriority w:val="0"/>
    <w:rPr>
      <w:rFonts w:ascii="宋体" w:hAnsi="宋体" w:eastAsia="宋体"/>
      <w:kern w:val="2"/>
      <w:sz w:val="28"/>
    </w:rPr>
  </w:style>
  <w:style w:type="character" w:customStyle="1" w:styleId="83">
    <w:name w:val="未命名11"/>
    <w:qFormat/>
    <w:uiPriority w:val="0"/>
    <w:rPr>
      <w:color w:val="77FFFF"/>
      <w:sz w:val="24"/>
    </w:rPr>
  </w:style>
  <w:style w:type="character" w:customStyle="1" w:styleId="84">
    <w:name w:val="小 Char"/>
    <w:qFormat/>
    <w:uiPriority w:val="0"/>
    <w:rPr>
      <w:rFonts w:ascii="宋体" w:hAnsi="Courier New" w:eastAsia="宋体"/>
      <w:kern w:val="2"/>
      <w:sz w:val="21"/>
      <w:lang w:val="en-US" w:eastAsia="zh-CN" w:bidi="ar-SA"/>
    </w:rPr>
  </w:style>
  <w:style w:type="character" w:customStyle="1" w:styleId="85">
    <w:name w:val="文字 Char"/>
    <w:link w:val="86"/>
    <w:qFormat/>
    <w:uiPriority w:val="0"/>
    <w:rPr>
      <w:rFonts w:ascii="宋体"/>
      <w:kern w:val="2"/>
      <w:sz w:val="28"/>
    </w:rPr>
  </w:style>
  <w:style w:type="paragraph" w:customStyle="1" w:styleId="86">
    <w:name w:val="文字"/>
    <w:basedOn w:val="1"/>
    <w:link w:val="85"/>
    <w:qFormat/>
    <w:uiPriority w:val="0"/>
    <w:pPr>
      <w:tabs>
        <w:tab w:val="left" w:pos="8520"/>
      </w:tabs>
      <w:spacing w:line="312" w:lineRule="auto"/>
      <w:ind w:right="-210" w:firstLine="556"/>
    </w:pPr>
    <w:rPr>
      <w:rFonts w:ascii="宋体"/>
    </w:rPr>
  </w:style>
  <w:style w:type="character" w:customStyle="1" w:styleId="87">
    <w:name w:val="v151"/>
    <w:qFormat/>
    <w:uiPriority w:val="0"/>
    <w:rPr>
      <w:sz w:val="18"/>
    </w:rPr>
  </w:style>
  <w:style w:type="character" w:customStyle="1" w:styleId="88">
    <w:name w:val=" Char Char2"/>
    <w:qFormat/>
    <w:uiPriority w:val="0"/>
    <w:rPr>
      <w:rFonts w:eastAsia="宋体"/>
      <w:kern w:val="2"/>
      <w:sz w:val="18"/>
      <w:lang w:val="en-US" w:eastAsia="zh-CN"/>
    </w:rPr>
  </w:style>
  <w:style w:type="character" w:customStyle="1" w:styleId="89">
    <w:name w:val="Table Text Char"/>
    <w:link w:val="90"/>
    <w:qFormat/>
    <w:uiPriority w:val="0"/>
    <w:rPr>
      <w:rFonts w:ascii="Arial" w:hAnsi="Arial"/>
      <w:kern w:val="2"/>
      <w:sz w:val="18"/>
      <w:lang w:val="en-US" w:eastAsia="zh-CN" w:bidi="ar-SA"/>
    </w:rPr>
  </w:style>
  <w:style w:type="paragraph" w:customStyle="1" w:styleId="90">
    <w:name w:val="Table Text"/>
    <w:link w:val="89"/>
    <w:qFormat/>
    <w:uiPriority w:val="0"/>
    <w:pPr>
      <w:snapToGrid w:val="0"/>
      <w:spacing w:before="80" w:after="80"/>
    </w:pPr>
    <w:rPr>
      <w:rFonts w:ascii="Arial" w:hAnsi="Arial" w:eastAsia="宋体" w:cs="Times New Roman"/>
      <w:kern w:val="2"/>
      <w:sz w:val="18"/>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 Char Char11"/>
    <w:qFormat/>
    <w:uiPriority w:val="0"/>
    <w:rPr>
      <w:rFonts w:ascii="宋体"/>
      <w:kern w:val="2"/>
      <w:sz w:val="28"/>
    </w:rPr>
  </w:style>
  <w:style w:type="character" w:customStyle="1" w:styleId="93">
    <w:name w:val="样式 宋体"/>
    <w:qFormat/>
    <w:uiPriority w:val="0"/>
    <w:rPr>
      <w:rFonts w:ascii="宋体" w:hAnsi="宋体" w:eastAsia="宋体"/>
      <w:sz w:val="28"/>
    </w:rPr>
  </w:style>
  <w:style w:type="character" w:customStyle="1" w:styleId="94">
    <w:name w:val="正文 + 三号 Char"/>
    <w:qFormat/>
    <w:uiPriority w:val="0"/>
    <w:rPr>
      <w:rFonts w:eastAsia="宋体"/>
      <w:kern w:val="2"/>
      <w:sz w:val="21"/>
      <w:lang w:val="en-US" w:eastAsia="zh-CN"/>
    </w:rPr>
  </w:style>
  <w:style w:type="character" w:customStyle="1" w:styleId="95">
    <w:name w:val="crowed11"/>
    <w:qFormat/>
    <w:uiPriority w:val="0"/>
    <w:rPr>
      <w:rFonts w:hint="default" w:ascii="_x000B__x000C_" w:hAnsi="_x000B__x000C_"/>
      <w:sz w:val="24"/>
    </w:rPr>
  </w:style>
  <w:style w:type="character" w:customStyle="1" w:styleId="96">
    <w:name w:val="font1"/>
    <w:qFormat/>
    <w:uiPriority w:val="0"/>
    <w:rPr>
      <w:color w:val="000000"/>
      <w:sz w:val="18"/>
    </w:rPr>
  </w:style>
  <w:style w:type="character" w:customStyle="1" w:styleId="97">
    <w:name w:val="H2 Char"/>
    <w:qFormat/>
    <w:uiPriority w:val="0"/>
    <w:rPr>
      <w:rFonts w:ascii="Arial" w:hAnsi="Arial" w:eastAsia="宋体"/>
      <w:kern w:val="2"/>
      <w:sz w:val="28"/>
      <w:lang w:val="en-US" w:eastAsia="zh-CN"/>
    </w:rPr>
  </w:style>
  <w:style w:type="character" w:customStyle="1" w:styleId="98">
    <w:name w:val=" Char Char4"/>
    <w:qFormat/>
    <w:uiPriority w:val="0"/>
    <w:rPr>
      <w:rFonts w:eastAsia="宋体"/>
      <w:b/>
      <w:kern w:val="2"/>
      <w:sz w:val="21"/>
      <w:lang w:val="en-US" w:eastAsia="zh-CN"/>
    </w:rPr>
  </w:style>
  <w:style w:type="character" w:customStyle="1" w:styleId="99">
    <w:name w:val="title_emph1"/>
    <w:qFormat/>
    <w:uiPriority w:val="0"/>
    <w:rPr>
      <w:rFonts w:hint="default" w:ascii="Arial" w:hAnsi="Arial"/>
      <w:b/>
      <w:sz w:val="20"/>
    </w:rPr>
  </w:style>
  <w:style w:type="character" w:customStyle="1" w:styleId="100">
    <w:name w:val=" Char Char6"/>
    <w:qFormat/>
    <w:uiPriority w:val="0"/>
    <w:rPr>
      <w:rFonts w:ascii="仿宋_GB2312" w:eastAsia="仿宋_GB2312"/>
      <w:kern w:val="2"/>
      <w:sz w:val="32"/>
    </w:rPr>
  </w:style>
  <w:style w:type="character" w:customStyle="1" w:styleId="101">
    <w:name w:val="top-det1"/>
    <w:qFormat/>
    <w:uiPriority w:val="0"/>
    <w:rPr>
      <w:b/>
      <w:color w:val="000000"/>
    </w:rPr>
  </w:style>
  <w:style w:type="character" w:customStyle="1" w:styleId="102">
    <w:name w:val=" Char Char5"/>
    <w:qFormat/>
    <w:uiPriority w:val="0"/>
    <w:rPr>
      <w:rFonts w:ascii="Arial" w:hAnsi="Arial" w:eastAsia="宋体"/>
      <w:b/>
      <w:smallCaps/>
      <w:kern w:val="28"/>
      <w:sz w:val="36"/>
      <w:lang w:val="en-US" w:eastAsia="en-US"/>
    </w:rPr>
  </w:style>
  <w:style w:type="character" w:customStyle="1" w:styleId="103">
    <w:name w:val="标书正文:  0.74 厘米 Char1"/>
    <w:qFormat/>
    <w:uiPriority w:val="0"/>
    <w:rPr>
      <w:rFonts w:eastAsia="宋体"/>
      <w:kern w:val="2"/>
      <w:sz w:val="24"/>
      <w:lang w:val="en-US" w:eastAsia="zh-CN"/>
    </w:rPr>
  </w:style>
  <w:style w:type="character" w:customStyle="1" w:styleId="104">
    <w:name w:val="Table Text Char1 Char"/>
    <w:qFormat/>
    <w:uiPriority w:val="0"/>
    <w:rPr>
      <w:rFonts w:ascii="Arial" w:hAnsi="Arial"/>
      <w:kern w:val="2"/>
      <w:sz w:val="18"/>
      <w:lang w:val="en-US" w:eastAsia="zh-CN" w:bidi="ar-SA"/>
    </w:rPr>
  </w:style>
  <w:style w:type="character" w:customStyle="1" w:styleId="105">
    <w:name w:val=" Char Char"/>
    <w:qFormat/>
    <w:uiPriority w:val="0"/>
    <w:rPr>
      <w:rFonts w:ascii="宋体" w:hAnsi="宋体" w:eastAsia="宋体"/>
      <w:kern w:val="2"/>
      <w:sz w:val="24"/>
      <w:lang w:val="en-US" w:eastAsia="zh-CN" w:bidi="ar-SA"/>
    </w:rPr>
  </w:style>
  <w:style w:type="paragraph" w:customStyle="1" w:styleId="106">
    <w:name w:val="IN Feature"/>
    <w:next w:val="107"/>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07">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08">
    <w:name w:val="表文字"/>
    <w:qFormat/>
    <w:uiPriority w:val="0"/>
    <w:rPr>
      <w:rFonts w:ascii="宋体" w:hAnsi="Times New Roman" w:eastAsia="宋体" w:cs="Times New Roman"/>
      <w:kern w:val="2"/>
      <w:lang w:val="en-US" w:eastAsia="zh-CN" w:bidi="ar-SA"/>
    </w:rPr>
  </w:style>
  <w:style w:type="paragraph" w:customStyle="1" w:styleId="109">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0">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1">
    <w:name w:val="Char1 Char Char Char"/>
    <w:basedOn w:val="1"/>
    <w:qFormat/>
    <w:uiPriority w:val="0"/>
    <w:rPr>
      <w:rFonts w:ascii="Tahoma" w:hAnsi="Tahoma"/>
      <w:sz w:val="30"/>
    </w:rPr>
  </w:style>
  <w:style w:type="paragraph" w:customStyle="1" w:styleId="112">
    <w:name w:val="二级列表"/>
    <w:basedOn w:val="113"/>
    <w:next w:val="113"/>
    <w:qFormat/>
    <w:uiPriority w:val="0"/>
    <w:pPr>
      <w:tabs>
        <w:tab w:val="left" w:pos="2120"/>
      </w:tabs>
      <w:ind w:firstLine="0" w:firstLineChars="0"/>
    </w:pPr>
    <w:rPr>
      <w:b/>
    </w:rPr>
  </w:style>
  <w:style w:type="paragraph" w:customStyle="1" w:styleId="113">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4">
    <w:name w:val="00"/>
    <w:basedOn w:val="1"/>
    <w:qFormat/>
    <w:uiPriority w:val="0"/>
    <w:pPr>
      <w:autoSpaceDE w:val="0"/>
      <w:autoSpaceDN w:val="0"/>
      <w:adjustRightInd w:val="0"/>
      <w:jc w:val="left"/>
    </w:pPr>
    <w:rPr>
      <w:rFonts w:ascii="黑体" w:eastAsia="黑体"/>
      <w:b/>
      <w:kern w:val="0"/>
      <w:sz w:val="20"/>
    </w:rPr>
  </w:style>
  <w:style w:type="paragraph" w:customStyle="1" w:styleId="115">
    <w:name w:val="1.正文"/>
    <w:basedOn w:val="1"/>
    <w:qFormat/>
    <w:uiPriority w:val="0"/>
    <w:pPr>
      <w:spacing w:line="360" w:lineRule="auto"/>
      <w:ind w:left="540" w:leftChars="225" w:firstLine="540" w:firstLineChars="225"/>
    </w:pPr>
    <w:rPr>
      <w:sz w:val="24"/>
    </w:rPr>
  </w:style>
  <w:style w:type="paragraph" w:customStyle="1" w:styleId="116">
    <w:name w:val="内容标题"/>
    <w:basedOn w:val="18"/>
    <w:qFormat/>
    <w:uiPriority w:val="0"/>
    <w:rPr>
      <w:rFonts w:ascii="Tahoma" w:hAnsi="Tahoma"/>
      <w:sz w:val="24"/>
    </w:rPr>
  </w:style>
  <w:style w:type="paragraph" w:customStyle="1" w:styleId="117">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18">
    <w:name w:val="表头"/>
    <w:basedOn w:val="119"/>
    <w:qFormat/>
    <w:uiPriority w:val="0"/>
    <w:pPr>
      <w:jc w:val="center"/>
    </w:pPr>
    <w:rPr>
      <w:b/>
      <w:bCs/>
    </w:rPr>
  </w:style>
  <w:style w:type="paragraph" w:customStyle="1" w:styleId="119">
    <w:name w:val="表格正文"/>
    <w:basedOn w:val="1"/>
    <w:qFormat/>
    <w:uiPriority w:val="0"/>
    <w:rPr>
      <w:rFonts w:ascii="Calibri" w:hAnsi="Calibri" w:eastAsia="仿宋" w:cs="宋体"/>
      <w:sz w:val="24"/>
    </w:rPr>
  </w:style>
  <w:style w:type="paragraph" w:customStyle="1" w:styleId="120">
    <w:name w:val="正文1"/>
    <w:basedOn w:val="1"/>
    <w:qFormat/>
    <w:uiPriority w:val="0"/>
    <w:pPr>
      <w:spacing w:line="300" w:lineRule="auto"/>
      <w:ind w:firstLine="200" w:firstLineChars="200"/>
    </w:pPr>
    <w:rPr>
      <w:sz w:val="24"/>
    </w:rPr>
  </w:style>
  <w:style w:type="paragraph" w:customStyle="1" w:styleId="121">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22">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23">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2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25">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6">
    <w:name w:val="Title - Date"/>
    <w:basedOn w:val="53"/>
    <w:next w:val="1"/>
    <w:qFormat/>
    <w:uiPriority w:val="0"/>
    <w:pPr>
      <w:spacing w:before="240" w:beforeLines="0" w:beforeAutospacing="0" w:after="720" w:afterLines="0" w:afterAutospacing="0"/>
    </w:pPr>
    <w:rPr>
      <w:sz w:val="28"/>
    </w:rPr>
  </w:style>
  <w:style w:type="paragraph" w:customStyle="1" w:styleId="127">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28">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29">
    <w:name w:val=" Char1 Char Char Char"/>
    <w:basedOn w:val="1"/>
    <w:qFormat/>
    <w:uiPriority w:val="0"/>
    <w:rPr>
      <w:rFonts w:ascii="Tahoma" w:hAnsi="Tahoma"/>
      <w:sz w:val="24"/>
    </w:rPr>
  </w:style>
  <w:style w:type="paragraph" w:customStyle="1" w:styleId="130">
    <w:name w:val=" Char1"/>
    <w:basedOn w:val="1"/>
    <w:qFormat/>
    <w:uiPriority w:val="0"/>
    <w:rPr>
      <w:sz w:val="21"/>
    </w:rPr>
  </w:style>
  <w:style w:type="paragraph" w:customStyle="1" w:styleId="131">
    <w:name w:val="表头样式"/>
    <w:basedOn w:val="1"/>
    <w:qFormat/>
    <w:uiPriority w:val="0"/>
    <w:pPr>
      <w:autoSpaceDE w:val="0"/>
      <w:autoSpaceDN w:val="0"/>
      <w:adjustRightInd w:val="0"/>
      <w:spacing w:line="360" w:lineRule="auto"/>
      <w:jc w:val="left"/>
    </w:pPr>
    <w:rPr>
      <w:b/>
      <w:kern w:val="0"/>
      <w:sz w:val="21"/>
    </w:rPr>
  </w:style>
  <w:style w:type="paragraph" w:customStyle="1" w:styleId="132">
    <w:name w:val="样式 正文缩进正文（首行缩进两字）表正文正文非缩进特点标题4段1 + 首行缩进:  2 字符"/>
    <w:basedOn w:val="16"/>
    <w:qFormat/>
    <w:uiPriority w:val="0"/>
    <w:pPr>
      <w:ind w:firstLine="480" w:firstLineChars="200"/>
    </w:pPr>
  </w:style>
  <w:style w:type="paragraph" w:customStyle="1" w:styleId="133">
    <w:name w:val="样式4"/>
    <w:basedOn w:val="6"/>
    <w:qFormat/>
    <w:uiPriority w:val="0"/>
    <w:pPr>
      <w:adjustRightInd w:val="0"/>
      <w:snapToGrid w:val="0"/>
    </w:pPr>
  </w:style>
  <w:style w:type="paragraph" w:customStyle="1" w:styleId="134">
    <w:name w:val="Body Text Indent 2"/>
    <w:basedOn w:val="1"/>
    <w:qFormat/>
    <w:uiPriority w:val="0"/>
    <w:pPr>
      <w:adjustRightInd w:val="0"/>
      <w:spacing w:before="120" w:beforeLines="0" w:beforeAutospacing="0"/>
      <w:ind w:firstLine="420"/>
      <w:textAlignment w:val="baseline"/>
    </w:pPr>
    <w:rPr>
      <w:sz w:val="24"/>
    </w:rPr>
  </w:style>
  <w:style w:type="paragraph" w:customStyle="1" w:styleId="135">
    <w:name w:val="首行缩进 1"/>
    <w:basedOn w:val="1"/>
    <w:qFormat/>
    <w:uiPriority w:val="0"/>
    <w:pPr>
      <w:spacing w:after="120" w:afterLines="0" w:afterAutospacing="0" w:line="360" w:lineRule="auto"/>
      <w:ind w:firstLine="200" w:firstLineChars="200"/>
    </w:pPr>
    <w:rPr>
      <w:sz w:val="24"/>
    </w:rPr>
  </w:style>
  <w:style w:type="paragraph" w:customStyle="1" w:styleId="136">
    <w:name w:val="样式 首行缩进:  0.74 厘米"/>
    <w:basedOn w:val="1"/>
    <w:qFormat/>
    <w:uiPriority w:val="0"/>
    <w:pPr>
      <w:spacing w:line="360" w:lineRule="auto"/>
      <w:ind w:firstLine="420"/>
    </w:pPr>
    <w:rPr>
      <w:sz w:val="24"/>
    </w:rPr>
  </w:style>
  <w:style w:type="paragraph" w:customStyle="1" w:styleId="137">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8">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39">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40">
    <w:name w:val="Title - Revision"/>
    <w:basedOn w:val="53"/>
    <w:qFormat/>
    <w:uiPriority w:val="0"/>
    <w:pPr>
      <w:spacing w:before="720" w:beforeLines="0" w:beforeAutospacing="0"/>
    </w:pPr>
  </w:style>
  <w:style w:type="paragraph" w:customStyle="1" w:styleId="14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4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43">
    <w:name w:val="1"/>
    <w:basedOn w:val="1"/>
    <w:next w:val="30"/>
    <w:qFormat/>
    <w:uiPriority w:val="0"/>
    <w:rPr>
      <w:rFonts w:ascii="宋体" w:hAnsi="Courier New"/>
      <w:sz w:val="21"/>
    </w:rPr>
  </w:style>
  <w:style w:type="paragraph" w:customStyle="1" w:styleId="144">
    <w:name w:val="Table Contents"/>
    <w:basedOn w:val="2"/>
    <w:qFormat/>
    <w:uiPriority w:val="0"/>
    <w:pPr>
      <w:suppressAutoHyphens/>
      <w:jc w:val="left"/>
    </w:pPr>
    <w:rPr>
      <w:rFonts w:ascii="Times New Roman" w:eastAsia="Times New Roman"/>
      <w:kern w:val="0"/>
      <w:sz w:val="24"/>
    </w:rPr>
  </w:style>
  <w:style w:type="paragraph" w:customStyle="1" w:styleId="145">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46">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7">
    <w:name w:val="Char Char Char Char Char Char Char"/>
    <w:basedOn w:val="18"/>
    <w:qFormat/>
    <w:uiPriority w:val="0"/>
    <w:rPr>
      <w:rFonts w:ascii="宋体" w:hAnsi="Tahoma"/>
    </w:rPr>
  </w:style>
  <w:style w:type="paragraph" w:customStyle="1" w:styleId="148">
    <w:name w:val="默认段落字体 Para Char Char Char Char Char Char Char Char Char1 Char Char Char Char"/>
    <w:basedOn w:val="1"/>
    <w:qFormat/>
    <w:uiPriority w:val="0"/>
    <w:rPr>
      <w:rFonts w:ascii="Tahoma" w:hAnsi="Tahoma"/>
      <w:sz w:val="24"/>
    </w:rPr>
  </w:style>
  <w:style w:type="paragraph" w:customStyle="1" w:styleId="149">
    <w:name w:val="标题无"/>
    <w:basedOn w:val="1"/>
    <w:qFormat/>
    <w:uiPriority w:val="0"/>
    <w:pPr>
      <w:spacing w:line="360" w:lineRule="auto"/>
    </w:pPr>
    <w:rPr>
      <w:sz w:val="24"/>
    </w:rPr>
  </w:style>
  <w:style w:type="paragraph" w:customStyle="1" w:styleId="150">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1">
    <w:name w:val="二级条标题"/>
    <w:basedOn w:val="152"/>
    <w:next w:val="154"/>
    <w:qFormat/>
    <w:uiPriority w:val="0"/>
    <w:pPr>
      <w:ind w:left="840"/>
      <w:outlineLvl w:val="3"/>
    </w:pPr>
  </w:style>
  <w:style w:type="paragraph" w:customStyle="1" w:styleId="152">
    <w:name w:val="一级条标题"/>
    <w:basedOn w:val="153"/>
    <w:next w:val="154"/>
    <w:qFormat/>
    <w:uiPriority w:val="0"/>
    <w:pPr>
      <w:numPr>
        <w:ilvl w:val="1"/>
        <w:numId w:val="0"/>
      </w:numPr>
      <w:spacing w:before="0" w:beforeLines="0" w:beforeAutospacing="0" w:after="0" w:afterLines="0" w:afterAutospacing="0"/>
      <w:ind w:left="525"/>
      <w:outlineLvl w:val="2"/>
    </w:pPr>
    <w:rPr>
      <w:sz w:val="21"/>
    </w:rPr>
  </w:style>
  <w:style w:type="paragraph" w:customStyle="1" w:styleId="153">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6">
    <w:name w:val="关键词"/>
    <w:basedOn w:val="1"/>
    <w:next w:val="1"/>
    <w:qFormat/>
    <w:uiPriority w:val="0"/>
    <w:pPr>
      <w:spacing w:line="360" w:lineRule="auto"/>
    </w:pPr>
    <w:rPr>
      <w:rFonts w:eastAsia="黑体"/>
      <w:sz w:val="20"/>
    </w:rPr>
  </w:style>
  <w:style w:type="paragraph" w:customStyle="1" w:styleId="157">
    <w:name w:val="样式2"/>
    <w:basedOn w:val="6"/>
    <w:qFormat/>
    <w:uiPriority w:val="0"/>
    <w:pPr>
      <w:numPr>
        <w:ilvl w:val="0"/>
        <w:numId w:val="7"/>
      </w:numPr>
      <w:spacing w:before="560" w:beforeLines="0" w:line="400" w:lineRule="exact"/>
      <w:jc w:val="center"/>
      <w:outlineLvl w:val="0"/>
    </w:pPr>
    <w:rPr>
      <w:b w:val="0"/>
      <w:sz w:val="44"/>
    </w:rPr>
  </w:style>
  <w:style w:type="paragraph" w:customStyle="1" w:styleId="158">
    <w:name w:val="表头文本"/>
    <w:qFormat/>
    <w:uiPriority w:val="0"/>
    <w:pPr>
      <w:jc w:val="center"/>
    </w:pPr>
    <w:rPr>
      <w:rFonts w:ascii="Arial" w:hAnsi="Arial" w:eastAsia="宋体" w:cs="Times New Roman"/>
      <w:b/>
      <w:sz w:val="21"/>
      <w:lang w:val="en-US" w:eastAsia="zh-CN" w:bidi="ar-SA"/>
    </w:rPr>
  </w:style>
  <w:style w:type="paragraph" w:customStyle="1" w:styleId="159">
    <w:name w:val="_Style 156"/>
    <w:qFormat/>
    <w:uiPriority w:val="0"/>
    <w:rPr>
      <w:rFonts w:ascii="Times New Roman" w:hAnsi="Times New Roman" w:eastAsia="宋体" w:cs="Times New Roman"/>
      <w:kern w:val="2"/>
      <w:sz w:val="21"/>
      <w:lang w:val="en-US" w:eastAsia="zh-CN" w:bidi="ar-SA"/>
    </w:rPr>
  </w:style>
  <w:style w:type="paragraph" w:customStyle="1" w:styleId="16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6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6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63">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64">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65">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6">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7">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68">
    <w:name w:val="样式1xz"/>
    <w:basedOn w:val="1"/>
    <w:qFormat/>
    <w:uiPriority w:val="0"/>
    <w:pPr>
      <w:tabs>
        <w:tab w:val="left" w:pos="1050"/>
        <w:tab w:val="right" w:leader="dot" w:pos="8296"/>
      </w:tabs>
    </w:pPr>
    <w:rPr>
      <w:caps/>
      <w:spacing w:val="20"/>
      <w:sz w:val="24"/>
    </w:rPr>
  </w:style>
  <w:style w:type="paragraph" w:customStyle="1" w:styleId="169">
    <w:name w:val="样式 宋体 五号 行距: 单倍行距"/>
    <w:basedOn w:val="1"/>
    <w:qFormat/>
    <w:uiPriority w:val="0"/>
    <w:pPr>
      <w:adjustRightInd w:val="0"/>
      <w:jc w:val="left"/>
    </w:pPr>
    <w:rPr>
      <w:rFonts w:ascii="宋体" w:hAnsi="宋体"/>
      <w:kern w:val="0"/>
      <w:sz w:val="21"/>
    </w:rPr>
  </w:style>
  <w:style w:type="paragraph" w:customStyle="1" w:styleId="170">
    <w:name w:val="图片文字"/>
    <w:basedOn w:val="1"/>
    <w:qFormat/>
    <w:uiPriority w:val="0"/>
    <w:pPr>
      <w:spacing w:line="240" w:lineRule="atLeast"/>
      <w:jc w:val="center"/>
    </w:pPr>
    <w:rPr>
      <w:sz w:val="21"/>
    </w:rPr>
  </w:style>
  <w:style w:type="paragraph" w:customStyle="1" w:styleId="171">
    <w:name w:val="Char"/>
    <w:basedOn w:val="1"/>
    <w:qFormat/>
    <w:uiPriority w:val="0"/>
    <w:pPr>
      <w:spacing w:line="240" w:lineRule="atLeast"/>
      <w:ind w:left="420" w:firstLine="420"/>
    </w:pPr>
    <w:rPr>
      <w:kern w:val="0"/>
      <w:sz w:val="21"/>
    </w:rPr>
  </w:style>
  <w:style w:type="paragraph" w:customStyle="1" w:styleId="172">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3">
    <w:name w:val="Note"/>
    <w:basedOn w:val="1"/>
    <w:qFormat/>
    <w:uiPriority w:val="0"/>
    <w:pPr>
      <w:pBdr>
        <w:top w:val="single" w:color="auto" w:sz="12" w:space="3"/>
        <w:bottom w:val="single" w:color="auto" w:sz="12" w:space="3"/>
      </w:pBdr>
      <w:spacing w:line="360" w:lineRule="auto"/>
    </w:pPr>
    <w:rPr>
      <w:sz w:val="24"/>
    </w:rPr>
  </w:style>
  <w:style w:type="paragraph" w:customStyle="1" w:styleId="174">
    <w:name w:val=" Char"/>
    <w:basedOn w:val="1"/>
    <w:qFormat/>
    <w:uiPriority w:val="0"/>
    <w:pPr>
      <w:spacing w:line="240" w:lineRule="atLeast"/>
      <w:ind w:left="420" w:firstLine="420"/>
    </w:pPr>
    <w:rPr>
      <w:kern w:val="0"/>
      <w:sz w:val="21"/>
    </w:rPr>
  </w:style>
  <w:style w:type="paragraph" w:customStyle="1" w:styleId="175">
    <w:name w:val=" Char Char Char"/>
    <w:basedOn w:val="1"/>
    <w:qFormat/>
    <w:uiPriority w:val="0"/>
    <w:rPr>
      <w:rFonts w:ascii="Tahoma" w:hAnsi="Tahoma"/>
      <w:sz w:val="24"/>
    </w:rPr>
  </w:style>
  <w:style w:type="paragraph" w:customStyle="1" w:styleId="176">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7">
    <w:name w:val="标书正文:  0.74 厘米"/>
    <w:basedOn w:val="1"/>
    <w:qFormat/>
    <w:uiPriority w:val="0"/>
    <w:pPr>
      <w:snapToGrid w:val="0"/>
      <w:spacing w:line="360" w:lineRule="auto"/>
      <w:ind w:firstLine="420"/>
    </w:pPr>
    <w:rPr>
      <w:sz w:val="24"/>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80">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81">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82">
    <w:name w:val=" Char Char14 Char Char"/>
    <w:basedOn w:val="1"/>
    <w:qFormat/>
    <w:uiPriority w:val="0"/>
    <w:rPr>
      <w:sz w:val="21"/>
      <w:szCs w:val="24"/>
    </w:rPr>
  </w:style>
  <w:style w:type="paragraph" w:customStyle="1" w:styleId="183">
    <w:name w:val="表号"/>
    <w:basedOn w:val="1"/>
    <w:qFormat/>
    <w:uiPriority w:val="0"/>
    <w:pPr>
      <w:numPr>
        <w:ilvl w:val="0"/>
        <w:numId w:val="8"/>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84">
    <w:name w:val="可研正文"/>
    <w:basedOn w:val="2"/>
    <w:qFormat/>
    <w:uiPriority w:val="0"/>
    <w:pPr>
      <w:adjustRightInd w:val="0"/>
      <w:snapToGrid w:val="0"/>
      <w:spacing w:line="440" w:lineRule="exact"/>
      <w:ind w:firstLine="567"/>
    </w:pPr>
    <w:rPr>
      <w:sz w:val="28"/>
    </w:rPr>
  </w:style>
  <w:style w:type="paragraph" w:customStyle="1" w:styleId="18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86">
    <w:name w:val="首行缩进"/>
    <w:basedOn w:val="1"/>
    <w:qFormat/>
    <w:uiPriority w:val="0"/>
    <w:pPr>
      <w:numPr>
        <w:ilvl w:val="0"/>
        <w:numId w:val="9"/>
      </w:numPr>
      <w:spacing w:line="360" w:lineRule="auto"/>
    </w:pPr>
    <w:rPr>
      <w:rFonts w:eastAsia="仿宋_GB2312"/>
    </w:rPr>
  </w:style>
  <w:style w:type="paragraph" w:customStyle="1" w:styleId="187">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8">
    <w:name w:val="正文 + 三号"/>
    <w:basedOn w:val="1"/>
    <w:qFormat/>
    <w:uiPriority w:val="0"/>
    <w:rPr>
      <w:sz w:val="21"/>
    </w:rPr>
  </w:style>
  <w:style w:type="paragraph" w:customStyle="1" w:styleId="189">
    <w:name w:val=" Char Char1 Char"/>
    <w:basedOn w:val="1"/>
    <w:qFormat/>
    <w:uiPriority w:val="0"/>
    <w:rPr>
      <w:rFonts w:ascii="Tahoma" w:hAnsi="Tahoma"/>
      <w:sz w:val="24"/>
      <w:szCs w:val="24"/>
    </w:rPr>
  </w:style>
  <w:style w:type="paragraph" w:customStyle="1" w:styleId="190">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9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92">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93">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94">
    <w:name w:val="样式 正文首行缩进 2 + 首行缩进:  2 字符"/>
    <w:basedOn w:val="1"/>
    <w:qFormat/>
    <w:uiPriority w:val="0"/>
    <w:pPr>
      <w:numPr>
        <w:ilvl w:val="0"/>
        <w:numId w:val="10"/>
      </w:numPr>
      <w:adjustRightInd w:val="0"/>
      <w:snapToGrid w:val="0"/>
      <w:spacing w:line="360" w:lineRule="auto"/>
    </w:pPr>
    <w:rPr>
      <w:rFonts w:ascii="Arial" w:hAnsi="Arial"/>
      <w:b/>
      <w:sz w:val="24"/>
    </w:rPr>
  </w:style>
  <w:style w:type="paragraph" w:customStyle="1" w:styleId="195">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96">
    <w:name w:val="摘要"/>
    <w:basedOn w:val="1"/>
    <w:next w:val="4"/>
    <w:qFormat/>
    <w:uiPriority w:val="0"/>
    <w:pPr>
      <w:spacing w:line="360" w:lineRule="auto"/>
    </w:pPr>
    <w:rPr>
      <w:rFonts w:eastAsia="黑体"/>
      <w:sz w:val="20"/>
    </w:rPr>
  </w:style>
  <w:style w:type="paragraph" w:customStyle="1" w:styleId="197">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98">
    <w:name w:val="正文（首行不缩进）"/>
    <w:basedOn w:val="1"/>
    <w:qFormat/>
    <w:uiPriority w:val="0"/>
    <w:pPr>
      <w:autoSpaceDE w:val="0"/>
      <w:autoSpaceDN w:val="0"/>
      <w:adjustRightInd w:val="0"/>
      <w:spacing w:line="360" w:lineRule="auto"/>
      <w:jc w:val="left"/>
    </w:pPr>
    <w:rPr>
      <w:kern w:val="0"/>
      <w:sz w:val="21"/>
    </w:rPr>
  </w:style>
  <w:style w:type="paragraph" w:customStyle="1" w:styleId="199">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200">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20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02">
    <w:name w:val="操作步骤"/>
    <w:basedOn w:val="1"/>
    <w:qFormat/>
    <w:uiPriority w:val="0"/>
    <w:pPr>
      <w:numPr>
        <w:ilvl w:val="0"/>
        <w:numId w:val="11"/>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03">
    <w:name w:val=" Char2 Char Char Char Char Char Char"/>
    <w:basedOn w:val="1"/>
    <w:qFormat/>
    <w:uiPriority w:val="0"/>
    <w:rPr>
      <w:rFonts w:ascii="仿宋_GB2312"/>
      <w:b/>
      <w:sz w:val="30"/>
    </w:rPr>
  </w:style>
  <w:style w:type="paragraph" w:customStyle="1" w:styleId="204">
    <w:name w:val="简单回函地址"/>
    <w:basedOn w:val="1"/>
    <w:qFormat/>
    <w:uiPriority w:val="0"/>
    <w:pPr>
      <w:adjustRightInd w:val="0"/>
      <w:snapToGrid w:val="0"/>
      <w:spacing w:line="360" w:lineRule="auto"/>
    </w:pPr>
    <w:rPr>
      <w:sz w:val="24"/>
    </w:rPr>
  </w:style>
  <w:style w:type="paragraph" w:customStyle="1" w:styleId="205">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20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207">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208">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0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0">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211">
    <w:name w:val="文本1"/>
    <w:basedOn w:val="1"/>
    <w:qFormat/>
    <w:uiPriority w:val="0"/>
    <w:pPr>
      <w:adjustRightInd w:val="0"/>
      <w:spacing w:line="312" w:lineRule="atLeast"/>
      <w:jc w:val="center"/>
      <w:textAlignment w:val="baseline"/>
    </w:pPr>
    <w:rPr>
      <w:kern w:val="0"/>
      <w:sz w:val="18"/>
    </w:rPr>
  </w:style>
  <w:style w:type="paragraph" w:customStyle="1" w:styleId="212">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213">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216">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217">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18">
    <w:name w:val="Item List"/>
    <w:qFormat/>
    <w:uiPriority w:val="0"/>
    <w:pPr>
      <w:numPr>
        <w:ilvl w:val="0"/>
        <w:numId w:val="13"/>
      </w:numPr>
      <w:spacing w:line="300" w:lineRule="auto"/>
      <w:jc w:val="both"/>
    </w:pPr>
    <w:rPr>
      <w:rFonts w:ascii="Arial" w:hAnsi="Arial" w:eastAsia="宋体" w:cs="Times New Roman"/>
      <w:sz w:val="21"/>
      <w:lang w:val="en-US" w:eastAsia="zh-CN" w:bidi="ar-SA"/>
    </w:rPr>
  </w:style>
  <w:style w:type="paragraph" w:customStyle="1" w:styleId="219">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220">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221">
    <w:name w:val="af"/>
    <w:basedOn w:val="1"/>
    <w:qFormat/>
    <w:uiPriority w:val="0"/>
    <w:pPr>
      <w:widowControl/>
      <w:spacing w:line="300" w:lineRule="atLeast"/>
      <w:jc w:val="left"/>
    </w:pPr>
    <w:rPr>
      <w:rFonts w:ascii="宋体" w:hAnsi="宋体"/>
      <w:kern w:val="0"/>
      <w:sz w:val="18"/>
    </w:rPr>
  </w:style>
  <w:style w:type="paragraph" w:customStyle="1" w:styleId="222">
    <w:name w:val="文章正文"/>
    <w:basedOn w:val="1"/>
    <w:qFormat/>
    <w:uiPriority w:val="0"/>
    <w:pPr>
      <w:ind w:firstLine="560" w:firstLineChars="200"/>
    </w:pPr>
    <w:rPr>
      <w:rFonts w:ascii="仿宋_GB2312" w:hAnsi="宋体" w:eastAsia="仿宋_GB2312"/>
      <w:color w:val="000000"/>
    </w:rPr>
  </w:style>
  <w:style w:type="paragraph" w:customStyle="1" w:styleId="223">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224">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25">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22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22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2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229">
    <w:name w:val="默认段落字体 Para Char Char Char Char Char Char Char"/>
    <w:basedOn w:val="1"/>
    <w:qFormat/>
    <w:uiPriority w:val="0"/>
    <w:rPr>
      <w:rFonts w:ascii="Tahoma" w:hAnsi="Tahoma"/>
      <w:sz w:val="24"/>
    </w:rPr>
  </w:style>
  <w:style w:type="paragraph" w:customStyle="1" w:styleId="230">
    <w:name w:val="编号正文"/>
    <w:basedOn w:val="199"/>
    <w:qFormat/>
    <w:uiPriority w:val="0"/>
    <w:pPr>
      <w:snapToGrid/>
      <w:spacing w:line="360" w:lineRule="auto"/>
      <w:ind w:left="1407" w:hanging="1047"/>
      <w:jc w:val="left"/>
    </w:pPr>
    <w:rPr>
      <w:rFonts w:eastAsia="仿宋_GB2312"/>
    </w:rPr>
  </w:style>
  <w:style w:type="paragraph" w:customStyle="1" w:styleId="231">
    <w:name w:val="表格内文字"/>
    <w:basedOn w:val="30"/>
    <w:qFormat/>
    <w:uiPriority w:val="0"/>
    <w:pPr>
      <w:adjustRightInd w:val="0"/>
    </w:pPr>
    <w:rPr>
      <w:color w:val="000000"/>
      <w:lang w:val="en-GB"/>
    </w:rPr>
  </w:style>
  <w:style w:type="paragraph" w:customStyle="1" w:styleId="232">
    <w:name w:val="样式 行距: 1.5 倍行距1"/>
    <w:basedOn w:val="1"/>
    <w:qFormat/>
    <w:uiPriority w:val="0"/>
    <w:pPr>
      <w:snapToGrid w:val="0"/>
    </w:pPr>
    <w:rPr>
      <w:sz w:val="21"/>
    </w:rPr>
  </w:style>
  <w:style w:type="paragraph" w:customStyle="1" w:styleId="233">
    <w:name w:val=" Char Char Char Char Char Char Char"/>
    <w:basedOn w:val="1"/>
    <w:qFormat/>
    <w:uiPriority w:val="0"/>
    <w:rPr>
      <w:rFonts w:ascii="Tahoma" w:hAnsi="Tahoma"/>
      <w:sz w:val="24"/>
    </w:rPr>
  </w:style>
  <w:style w:type="paragraph" w:customStyle="1" w:styleId="234">
    <w:name w:val="表格文本"/>
    <w:qFormat/>
    <w:uiPriority w:val="0"/>
    <w:pPr>
      <w:tabs>
        <w:tab w:val="decimal" w:pos="0"/>
      </w:tabs>
    </w:pPr>
    <w:rPr>
      <w:rFonts w:ascii="Arial" w:hAnsi="Arial" w:eastAsia="宋体" w:cs="Times New Roman"/>
      <w:sz w:val="21"/>
      <w:lang w:val="en-US" w:eastAsia="zh-CN" w:bidi="ar-SA"/>
    </w:rPr>
  </w:style>
  <w:style w:type="paragraph" w:customStyle="1" w:styleId="235">
    <w:name w:val="正文表格"/>
    <w:basedOn w:val="1"/>
    <w:qFormat/>
    <w:uiPriority w:val="0"/>
    <w:pPr>
      <w:adjustRightInd w:val="0"/>
      <w:spacing w:before="40" w:beforeLines="0" w:beforeAutospacing="0" w:after="40" w:afterLines="0" w:afterAutospacing="0"/>
    </w:pPr>
    <w:rPr>
      <w:sz w:val="24"/>
    </w:rPr>
  </w:style>
  <w:style w:type="paragraph" w:customStyle="1" w:styleId="236">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237">
    <w:name w:val=" Char Char Char Char Char Char Char Char Char Char Char Char Char Char Char Char"/>
    <w:basedOn w:val="1"/>
    <w:qFormat/>
    <w:uiPriority w:val="0"/>
    <w:pPr>
      <w:tabs>
        <w:tab w:val="left" w:pos="360"/>
      </w:tabs>
    </w:pPr>
    <w:rPr>
      <w:sz w:val="24"/>
    </w:rPr>
  </w:style>
  <w:style w:type="paragraph" w:customStyle="1" w:styleId="238">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39">
    <w:name w:val="标准正文"/>
    <w:basedOn w:val="23"/>
    <w:qFormat/>
    <w:uiPriority w:val="0"/>
    <w:pPr>
      <w:spacing w:before="60" w:beforeLines="0" w:after="60" w:afterLines="0" w:line="360" w:lineRule="auto"/>
      <w:ind w:left="0" w:firstLine="482"/>
    </w:pPr>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34</Pages>
  <Words>13606</Words>
  <Characters>14249</Characters>
  <Lines>166</Lines>
  <Paragraphs>46</Paragraphs>
  <TotalTime>1</TotalTime>
  <ScaleCrop>false</ScaleCrop>
  <LinksUpToDate>false</LinksUpToDate>
  <CharactersWithSpaces>15786</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2022-06-13T08:38:00Z</dcterms:created>
  <dc:creator>罗成</dc:creator>
  <cp:lastModifiedBy>周洋</cp:lastModifiedBy>
  <cp:lastPrinted>2022-05-18T09:11:00Z</cp:lastPrinted>
  <dcterms:modified xsi:type="dcterms:W3CDTF">2023-05-24T02:05:35Z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A2F1A15EF037402887C7EC738A533758</vt:lpwstr>
  </property>
</Properties>
</file>