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7"/>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8"/>
        <w:rPr>
          <w:rFonts w:hint="eastAsia" w:ascii="方正黑体_GBK" w:hAnsi="宋体" w:eastAsia="方正黑体_GBK" w:cs="Times New Roman"/>
          <w:b w:val="0"/>
          <w:kern w:val="2"/>
          <w:sz w:val="44"/>
          <w:szCs w:val="44"/>
          <w:lang w:val="en-US" w:eastAsia="zh-CN" w:bidi="ar-SA"/>
        </w:rPr>
      </w:pPr>
    </w:p>
    <w:p>
      <w:pPr>
        <w:pStyle w:val="68"/>
        <w:rPr>
          <w:rFonts w:hint="eastAsia" w:ascii="方正黑体_GBK" w:hAnsi="宋体" w:eastAsia="方正黑体_GBK" w:cs="Times New Roman"/>
          <w:b w:val="0"/>
          <w:kern w:val="2"/>
          <w:sz w:val="44"/>
          <w:szCs w:val="44"/>
          <w:lang w:val="en-US" w:eastAsia="zh-CN" w:bidi="ar-SA"/>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YBW230374</w:t>
      </w:r>
    </w:p>
    <w:p>
      <w:pPr>
        <w:spacing w:line="360" w:lineRule="auto"/>
        <w:ind w:firstLine="1800" w:firstLineChars="5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两江院区二期楼栋视频监控存储</w:t>
      </w:r>
    </w:p>
    <w:p>
      <w:pPr>
        <w:spacing w:line="360" w:lineRule="auto"/>
        <w:ind w:firstLine="3600" w:firstLineChars="10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u w:val="single"/>
          <w:lang w:val="en-US" w:eastAsia="zh-CN"/>
        </w:rPr>
        <w:t>扩容工程</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_Toc13393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_Toc13393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_Toc24796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_Toc24796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_Toc31080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_Toc31080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_Toc26095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_Toc26095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_Toc3016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_Toc28190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_Toc28190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_Toc18666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_Toc18666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_Toc31435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技术</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_Toc31435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_Toc157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_Toc26784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_Toc26784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_Toc25428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_Toc25428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_Toc3826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二、报价方式</w:t>
      </w:r>
      <w:r>
        <w:rPr>
          <w:sz w:val="24"/>
          <w:szCs w:val="24"/>
        </w:rPr>
        <w:tab/>
      </w:r>
      <w:r>
        <w:rPr>
          <w:sz w:val="24"/>
          <w:szCs w:val="24"/>
        </w:rPr>
        <w:fldChar w:fldCharType="begin"/>
      </w:r>
      <w:r>
        <w:rPr>
          <w:sz w:val="24"/>
          <w:szCs w:val="24"/>
        </w:rPr>
        <w:instrText xml:space="preserve"> PAGEREF _Toc3826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_Toc21283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三、评标方法</w:t>
      </w:r>
      <w:r>
        <w:rPr>
          <w:sz w:val="24"/>
          <w:szCs w:val="24"/>
        </w:rPr>
        <w:tab/>
      </w:r>
      <w:r>
        <w:rPr>
          <w:sz w:val="24"/>
          <w:szCs w:val="24"/>
        </w:rPr>
        <w:fldChar w:fldCharType="begin"/>
      </w:r>
      <w:r>
        <w:rPr>
          <w:sz w:val="24"/>
          <w:szCs w:val="24"/>
        </w:rPr>
        <w:instrText xml:space="preserve"> PAGEREF _Toc21283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_Toc5447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_Toc5447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_Toc20703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_Toc20703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_Toc2878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_Toc2878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_Toc31517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_Toc31517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_Toc23358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_Toc23358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_Toc17810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_Toc17810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_Toc22688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_Toc22688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_Toc4803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_Toc4803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_Toc3620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_Toc3620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_Toc21399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_Toc21399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_Toc32169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_Toc32169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_Toc27807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_Toc27807 \h </w:instrText>
      </w:r>
      <w:r>
        <w:rPr>
          <w:sz w:val="24"/>
          <w:szCs w:val="24"/>
        </w:rPr>
        <w:fldChar w:fldCharType="separate"/>
      </w:r>
      <w:r>
        <w:rPr>
          <w:sz w:val="24"/>
          <w:szCs w:val="24"/>
        </w:rPr>
        <w:t>- 16 -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_Toc748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_Toc748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_Toc22120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_Toc22120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_Toc6397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_Toc6397 \h </w:instrText>
      </w:r>
      <w:r>
        <w:rPr>
          <w:sz w:val="24"/>
          <w:szCs w:val="24"/>
        </w:rPr>
        <w:fldChar w:fldCharType="separate"/>
      </w:r>
      <w:r>
        <w:rPr>
          <w:sz w:val="24"/>
          <w:szCs w:val="24"/>
        </w:rPr>
        <w:t>- 23 -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_Toc22931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_Toc22931 \h </w:instrText>
      </w:r>
      <w:r>
        <w:rPr>
          <w:sz w:val="24"/>
          <w:szCs w:val="24"/>
        </w:rPr>
        <w:fldChar w:fldCharType="separate"/>
      </w:r>
      <w:r>
        <w:rPr>
          <w:sz w:val="24"/>
          <w:szCs w:val="24"/>
        </w:rPr>
        <w:t>- 25 -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_Toc130 \h </w:instrText>
      </w:r>
      <w:r>
        <w:rPr>
          <w:sz w:val="24"/>
          <w:szCs w:val="24"/>
        </w:rPr>
        <w:fldChar w:fldCharType="separate"/>
      </w:r>
      <w:r>
        <w:rPr>
          <w:sz w:val="24"/>
          <w:szCs w:val="24"/>
        </w:rPr>
        <w:t>- 31 -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76462316"/>
      <w:bookmarkStart w:id="1" w:name="_Toc24037"/>
      <w:bookmarkStart w:id="2" w:name="_Toc11641050"/>
      <w:bookmarkStart w:id="3" w:name="_Toc12789052"/>
      <w:bookmarkStart w:id="4" w:name="_Toc106030870"/>
      <w:bookmarkStart w:id="5" w:name="_Toc13393"/>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微软雅黑" w:hAnsi="微软雅黑" w:eastAsia="微软雅黑" w:cs="微软雅黑"/>
          <w:b w:val="0"/>
          <w:bCs/>
          <w:sz w:val="24"/>
          <w:szCs w:val="24"/>
          <w:u w:val="single"/>
          <w:lang w:val="en-US" w:eastAsia="zh-CN"/>
        </w:rPr>
        <w:t>两江院区二期楼栋视频监控存储扩容工程</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13893526"/>
      <w:bookmarkStart w:id="7" w:name="_Toc317775175"/>
      <w:bookmarkStart w:id="8" w:name="_Toc106030871"/>
      <w:bookmarkStart w:id="9" w:name="_Toc24796"/>
      <w:bookmarkStart w:id="10" w:name="_Toc3856"/>
      <w:bookmarkStart w:id="11" w:name="_Toc76462317"/>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2"/>
        <w:gridCol w:w="2593"/>
        <w:gridCol w:w="1320"/>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56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9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最高限价（万元）</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0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YBW230374</w:t>
            </w:r>
          </w:p>
        </w:tc>
        <w:tc>
          <w:tcPr>
            <w:tcW w:w="15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微软雅黑" w:hAnsi="微软雅黑" w:eastAsia="微软雅黑" w:cs="微软雅黑"/>
                <w:b w:val="0"/>
                <w:bCs/>
                <w:sz w:val="21"/>
                <w:szCs w:val="21"/>
                <w:lang w:val="en-US" w:eastAsia="zh-CN"/>
              </w:rPr>
              <w:t>两江院区二期楼栋视频监控存储扩容工程</w:t>
            </w:r>
          </w:p>
        </w:tc>
        <w:tc>
          <w:tcPr>
            <w:tcW w:w="7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49</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31080"/>
      <w:r>
        <w:rPr>
          <w:rFonts w:hint="eastAsia" w:ascii="方正仿宋_GBK" w:hAnsi="宋体" w:eastAsia="方正仿宋_GBK"/>
          <w:sz w:val="24"/>
        </w:rPr>
        <w:t>二、</w:t>
      </w:r>
      <w:bookmarkEnd w:id="12"/>
      <w:bookmarkEnd w:id="13"/>
      <w:bookmarkEnd w:id="16"/>
      <w:bookmarkStart w:id="18" w:name="_Toc4480"/>
      <w:bookmarkStart w:id="19" w:name="_Toc106030873"/>
      <w:bookmarkStart w:id="20" w:name="_Toc76462319"/>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（二）本项目的特定资格要求：</w:t>
      </w:r>
      <w:r>
        <w:rPr>
          <w:rFonts w:hint="eastAsia" w:ascii="方正仿宋_GBK" w:hAnsi="方正仿宋_GBK" w:eastAsia="方正仿宋_GBK" w:cs="方正仿宋_GBK"/>
          <w:color w:val="auto"/>
          <w:sz w:val="24"/>
          <w:szCs w:val="24"/>
        </w:rPr>
        <w:t>投标</w:t>
      </w:r>
      <w:r>
        <w:rPr>
          <w:rFonts w:hint="eastAsia" w:ascii="方正仿宋_GBK" w:hAnsi="方正仿宋_GBK" w:eastAsia="方正仿宋_GBK" w:cs="方正仿宋_GBK"/>
          <w:color w:val="auto"/>
          <w:sz w:val="24"/>
          <w:szCs w:val="24"/>
          <w:lang w:val="en-US" w:eastAsia="zh-CN"/>
        </w:rPr>
        <w:t>人</w:t>
      </w:r>
      <w:r>
        <w:rPr>
          <w:rFonts w:hint="eastAsia" w:ascii="方正仿宋_GBK" w:hAnsi="方正仿宋_GBK" w:eastAsia="方正仿宋_GBK" w:cs="方正仿宋_GBK"/>
          <w:color w:val="auto"/>
          <w:sz w:val="24"/>
          <w:szCs w:val="24"/>
        </w:rPr>
        <w:t>须提供具有电子与智能化工程专业承包二级及以上资质，</w:t>
      </w:r>
      <w:r>
        <w:rPr>
          <w:rFonts w:hint="eastAsia" w:ascii="方正仿宋_GBK" w:hAnsi="方正仿宋_GBK" w:eastAsia="方正仿宋_GBK" w:cs="方正仿宋_GBK"/>
          <w:color w:val="auto"/>
          <w:sz w:val="24"/>
          <w:szCs w:val="24"/>
          <w:lang w:val="en-US" w:eastAsia="zh-CN"/>
        </w:rPr>
        <w:t>并</w:t>
      </w:r>
      <w:r>
        <w:rPr>
          <w:rFonts w:hint="eastAsia" w:ascii="方正仿宋_GBK" w:hAnsi="方正仿宋_GBK" w:eastAsia="方正仿宋_GBK" w:cs="方正仿宋_GBK"/>
          <w:color w:val="auto"/>
          <w:sz w:val="24"/>
          <w:szCs w:val="24"/>
        </w:rPr>
        <w:t>具有安全生产许可证</w:t>
      </w:r>
      <w:r>
        <w:rPr>
          <w:rFonts w:hint="eastAsia" w:ascii="方正仿宋_GBK" w:hAnsi="方正仿宋_GBK" w:eastAsia="方正仿宋_GBK" w:cs="方正仿宋_GBK"/>
          <w:color w:val="auto"/>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76462320"/>
      <w:bookmarkStart w:id="22" w:name="_Toc27954"/>
      <w:bookmarkStart w:id="23" w:name="_Toc106030874"/>
      <w:bookmarkStart w:id="24" w:name="_Toc26095"/>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1053053"/>
      <w:bookmarkStart w:id="26" w:name="_Toc3016"/>
      <w:bookmarkStart w:id="27" w:name="_Toc65660334"/>
      <w:bookmarkStart w:id="28" w:name="_Toc11956"/>
      <w:bookmarkStart w:id="29" w:name="_Toc525047161"/>
      <w:bookmarkStart w:id="30" w:name="_Toc12841"/>
      <w:bookmarkStart w:id="31" w:name="_Toc106034625"/>
      <w:bookmarkStart w:id="32" w:name="_Toc6178"/>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auto"/>
          <w:sz w:val="24"/>
          <w:szCs w:val="24"/>
        </w:rPr>
        <w:t>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521053054"/>
      <w:bookmarkStart w:id="34" w:name="_Toc2945"/>
      <w:bookmarkStart w:id="35" w:name="_Toc65660335"/>
      <w:bookmarkStart w:id="36" w:name="_Toc106034626"/>
      <w:bookmarkStart w:id="37" w:name="_Toc4355"/>
      <w:bookmarkStart w:id="38" w:name="_Toc525047162"/>
      <w:bookmarkStart w:id="39" w:name="_Toc2819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5047163"/>
      <w:bookmarkStart w:id="42" w:name="_Toc16269"/>
      <w:bookmarkStart w:id="43" w:name="_Toc6563"/>
      <w:bookmarkStart w:id="44" w:name="_Toc65660336"/>
      <w:bookmarkStart w:id="45" w:name="_Toc106034627"/>
      <w:bookmarkStart w:id="46" w:name="_Toc521053055"/>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18666"/>
      <w:bookmarkStart w:id="48" w:name="_Toc525047164"/>
      <w:bookmarkStart w:id="49" w:name="_Toc65660337"/>
      <w:bookmarkStart w:id="50" w:name="_Toc10415"/>
      <w:bookmarkStart w:id="51" w:name="_Toc24901"/>
      <w:bookmarkStart w:id="52" w:name="_Toc1733"/>
      <w:bookmarkStart w:id="53" w:name="_Toc521053056"/>
      <w:bookmarkStart w:id="54" w:name="_Toc106034628"/>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8649"/>
      <w:bookmarkStart w:id="57" w:name="_Toc19886"/>
      <w:bookmarkStart w:id="58" w:name="_Toc1492"/>
      <w:bookmarkStart w:id="59" w:name="_Toc25639"/>
      <w:bookmarkStart w:id="60" w:name="_Toc23143"/>
      <w:bookmarkStart w:id="61" w:name="_Toc32686"/>
      <w:bookmarkStart w:id="62" w:name="_Toc12959"/>
      <w:bookmarkStart w:id="63" w:name="_Toc2422"/>
      <w:bookmarkStart w:id="64" w:name="_Toc26176"/>
      <w:bookmarkStart w:id="65" w:name="_Toc725"/>
      <w:bookmarkStart w:id="66" w:name="_Toc2070"/>
      <w:bookmarkStart w:id="67" w:name="_Toc1625"/>
      <w:bookmarkStart w:id="68" w:name="_Toc11017"/>
      <w:bookmarkStart w:id="69" w:name="_Toc75793504"/>
      <w:bookmarkStart w:id="70" w:name="_Toc5461"/>
      <w:bookmarkStart w:id="71" w:name="_Toc106030380"/>
      <w:bookmarkStart w:id="72" w:name="_Toc31435"/>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技术</w:t>
      </w:r>
      <w:r>
        <w:rPr>
          <w:rFonts w:hint="eastAsia" w:ascii="方正仿宋_GBK" w:hAnsi="Times New Roman" w:eastAsia="方正仿宋_GBK" w:cs="Times New Roman"/>
          <w:b/>
          <w:kern w:val="2"/>
          <w:sz w:val="44"/>
          <w:szCs w:val="20"/>
          <w:lang w:val="en-US" w:eastAsia="zh-CN" w:bidi="ar-SA"/>
        </w:rPr>
        <w:t>需求</w:t>
      </w:r>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1866"/>
      <w:bookmarkStart w:id="74" w:name="_Toc106030879"/>
      <w:bookmarkStart w:id="75" w:name="_Toc76462325"/>
      <w:bookmarkStart w:id="76" w:name="_Toc18470"/>
      <w:bookmarkStart w:id="77" w:name="_Toc106030882"/>
      <w:bookmarkStart w:id="78" w:name="_Toc7791"/>
      <w:bookmarkStart w:id="79" w:name="_Toc76462327"/>
      <w:r>
        <w:rPr>
          <w:rFonts w:hint="eastAsia" w:ascii="方正仿宋_GBK" w:hAnsi="宋体" w:eastAsia="方正仿宋_GBK"/>
          <w:sz w:val="24"/>
        </w:rPr>
        <w:t>一、项目基本概况介绍</w:t>
      </w:r>
      <w:bookmarkEnd w:id="73"/>
      <w:bookmarkEnd w:id="74"/>
      <w:bookmarkEnd w:id="75"/>
      <w:bookmarkEnd w:id="76"/>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0"/>
        <w:gridCol w:w="4047"/>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210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服务期限</w:t>
            </w:r>
          </w:p>
        </w:tc>
        <w:tc>
          <w:tcPr>
            <w:tcW w:w="883"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eastAsia" w:ascii="方正仿宋_GBK" w:hAnsi="宋体" w:eastAsia="方正仿宋_GBK"/>
                <w:sz w:val="24"/>
                <w:szCs w:val="24"/>
                <w:lang w:eastAsia="zh-CN"/>
              </w:rPr>
            </w:pPr>
            <w:r>
              <w:rPr>
                <w:rFonts w:hint="eastAsia" w:ascii="微软雅黑" w:hAnsi="微软雅黑" w:eastAsia="微软雅黑" w:cs="微软雅黑"/>
                <w:b w:val="0"/>
                <w:bCs/>
                <w:sz w:val="24"/>
                <w:szCs w:val="24"/>
                <w:lang w:val="en-US" w:eastAsia="zh-CN"/>
              </w:rPr>
              <w:t>两江院区二期楼栋视频监控存储扩容工程</w:t>
            </w:r>
          </w:p>
        </w:tc>
        <w:tc>
          <w:tcPr>
            <w:tcW w:w="210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合同签订之日起30个日历日内</w:t>
            </w:r>
          </w:p>
        </w:tc>
        <w:tc>
          <w:tcPr>
            <w:tcW w:w="883"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spacing w:line="400" w:lineRule="exact"/>
        <w:ind w:firstLine="480" w:firstLineChars="200"/>
        <w:rPr>
          <w:rFonts w:hint="eastAsia" w:ascii="方正仿宋_GBK" w:hAnsi="方正仿宋_GBK" w:eastAsia="方正仿宋_GBK" w:cs="方正仿宋_GBK"/>
          <w:color w:val="auto"/>
          <w:sz w:val="24"/>
          <w:szCs w:val="24"/>
          <w:highlight w:val="none"/>
        </w:rPr>
      </w:pPr>
      <w:bookmarkStart w:id="80" w:name="_Toc106030880"/>
      <w:bookmarkStart w:id="81" w:name="_Toc12384"/>
      <w:bookmarkStart w:id="82" w:name="_Toc25495"/>
      <w:r>
        <w:rPr>
          <w:rFonts w:hint="eastAsia" w:ascii="方正仿宋_GBK" w:hAnsi="方正仿宋_GBK" w:eastAsia="方正仿宋_GBK" w:cs="方正仿宋_GBK"/>
          <w:color w:val="auto"/>
          <w:sz w:val="24"/>
          <w:szCs w:val="24"/>
        </w:rPr>
        <w:t>两江院区</w:t>
      </w:r>
      <w:r>
        <w:rPr>
          <w:rFonts w:hint="eastAsia" w:ascii="方正仿宋_GBK" w:hAnsi="方正仿宋_GBK" w:eastAsia="方正仿宋_GBK" w:cs="方正仿宋_GBK"/>
          <w:color w:val="auto"/>
          <w:sz w:val="24"/>
          <w:szCs w:val="24"/>
          <w:lang w:eastAsia="zh-CN"/>
        </w:rPr>
        <w:t>二期楼栋建成于</w:t>
      </w:r>
      <w:r>
        <w:rPr>
          <w:rFonts w:hint="eastAsia" w:ascii="方正仿宋_GBK" w:hAnsi="方正仿宋_GBK" w:eastAsia="方正仿宋_GBK" w:cs="方正仿宋_GBK"/>
          <w:color w:val="auto"/>
          <w:sz w:val="24"/>
          <w:szCs w:val="24"/>
          <w:lang w:val="en-US" w:eastAsia="zh-CN"/>
        </w:rPr>
        <w:t>2020年，现有存储2016T，须新增</w:t>
      </w:r>
      <w:r>
        <w:rPr>
          <w:rFonts w:hint="eastAsia" w:ascii="方正仿宋_GBK" w:hAnsi="方正仿宋_GBK" w:eastAsia="方正仿宋_GBK" w:cs="方正仿宋_GBK"/>
          <w:color w:val="auto"/>
          <w:sz w:val="24"/>
          <w:szCs w:val="24"/>
          <w:highlight w:val="none"/>
          <w:lang w:val="en-US" w:eastAsia="zh-CN"/>
        </w:rPr>
        <w:t>4台</w:t>
      </w:r>
      <w:r>
        <w:rPr>
          <w:rFonts w:hint="eastAsia" w:ascii="方正仿宋_GBK" w:hAnsi="方正仿宋_GBK" w:eastAsia="方正仿宋_GBK" w:cs="方正仿宋_GBK"/>
          <w:color w:val="auto"/>
          <w:sz w:val="22"/>
          <w:szCs w:val="22"/>
          <w:highlight w:val="none"/>
          <w:lang w:val="en-US" w:eastAsia="zh-CN"/>
        </w:rPr>
        <w:t>网络存储，</w:t>
      </w:r>
      <w:r>
        <w:rPr>
          <w:rFonts w:hint="eastAsia" w:ascii="方正仿宋_GBK" w:hAnsi="方正仿宋_GBK" w:eastAsia="方正仿宋_GBK" w:cs="方正仿宋_GBK"/>
          <w:color w:val="auto"/>
          <w:sz w:val="24"/>
          <w:szCs w:val="24"/>
          <w:lang w:val="en-US" w:eastAsia="zh-CN"/>
        </w:rPr>
        <w:t>满足90天录像时长要求，</w:t>
      </w:r>
      <w:r>
        <w:rPr>
          <w:rFonts w:hint="eastAsia" w:ascii="方正仿宋_GBK" w:hAnsi="方正仿宋_GBK" w:eastAsia="方正仿宋_GBK" w:cs="方正仿宋_GBK"/>
          <w:color w:val="auto"/>
          <w:sz w:val="24"/>
          <w:szCs w:val="24"/>
        </w:rPr>
        <w:t>并有一定冗余和备份</w:t>
      </w:r>
      <w:r>
        <w:rPr>
          <w:rFonts w:hint="eastAsia" w:ascii="方正仿宋_GBK" w:hAnsi="方正仿宋_GBK" w:eastAsia="方正仿宋_GBK" w:cs="方正仿宋_GBK"/>
          <w:color w:val="auto"/>
          <w:sz w:val="24"/>
          <w:szCs w:val="24"/>
          <w:highlight w:val="none"/>
        </w:rPr>
        <w:t>设计。</w:t>
      </w:r>
    </w:p>
    <w:p>
      <w:pPr>
        <w:spacing w:line="400" w:lineRule="exact"/>
        <w:ind w:firstLine="480" w:firstLineChars="200"/>
        <w:rPr>
          <w:rFonts w:hint="default" w:ascii="方正仿宋_GBK" w:hAnsi="宋体" w:eastAsia="方正仿宋_GBK" w:cs="Times New Roman"/>
          <w:b/>
          <w:bCs/>
          <w:sz w:val="24"/>
          <w:szCs w:val="24"/>
          <w:highlight w:val="none"/>
          <w:lang w:val="en-US" w:eastAsia="zh-CN"/>
        </w:rPr>
      </w:pPr>
      <w:r>
        <w:rPr>
          <w:rFonts w:hint="eastAsia" w:ascii="方正仿宋_GBK" w:hAnsi="宋体" w:eastAsia="方正仿宋_GBK" w:cs="Times New Roman"/>
          <w:b/>
          <w:bCs/>
          <w:sz w:val="24"/>
          <w:szCs w:val="24"/>
          <w:highlight w:val="none"/>
        </w:rPr>
        <w:t>二、</w:t>
      </w:r>
      <w:bookmarkEnd w:id="80"/>
      <w:bookmarkEnd w:id="81"/>
      <w:bookmarkEnd w:id="82"/>
      <w:r>
        <w:rPr>
          <w:rFonts w:hint="eastAsia" w:ascii="方正仿宋_GBK" w:hAnsi="宋体" w:eastAsia="方正仿宋_GBK" w:cs="Times New Roman"/>
          <w:b/>
          <w:bCs/>
          <w:sz w:val="24"/>
          <w:szCs w:val="24"/>
          <w:highlight w:val="none"/>
          <w:lang w:val="en-US" w:eastAsia="zh-CN"/>
        </w:rPr>
        <w:t>技术要求</w:t>
      </w:r>
    </w:p>
    <w:p>
      <w:pPr>
        <w:spacing w:line="400" w:lineRule="exact"/>
        <w:ind w:firstLine="480" w:firstLineChars="200"/>
        <w:outlineLvl w:val="2"/>
        <w:rPr>
          <w:rFonts w:hint="eastAsia" w:ascii="方正仿宋_GBK" w:hAnsi="宋体" w:eastAsia="方正仿宋_GBK" w:cs="Times New Roman"/>
          <w:sz w:val="24"/>
          <w:szCs w:val="28"/>
          <w:lang w:val="en-US" w:eastAsia="zh-CN"/>
        </w:rPr>
      </w:pPr>
      <w:r>
        <w:rPr>
          <w:rFonts w:hint="eastAsia" w:ascii="方正仿宋_GBK" w:hAnsi="宋体" w:eastAsia="方正仿宋_GBK" w:cs="Times New Roman"/>
          <w:sz w:val="24"/>
          <w:szCs w:val="28"/>
          <w:lang w:val="en-US" w:eastAsia="zh-CN"/>
        </w:rPr>
        <w:t>（一）硬件技术要求</w:t>
      </w:r>
    </w:p>
    <w:p>
      <w:pPr>
        <w:spacing w:line="400" w:lineRule="exact"/>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1.机架式，4U 600TB，服务器架构，64位多核处理器，16GB缓存（可扩展至32GB)，冗余电源，2个千兆网口，1个千兆管理口。</w:t>
      </w:r>
    </w:p>
    <w:p>
      <w:pPr>
        <w:spacing w:line="400" w:lineRule="exact"/>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2.支持视音频直存，1220Mbps接入带宽，VRAID2.0。</w:t>
      </w:r>
    </w:p>
    <w:p>
      <w:pPr>
        <w:spacing w:line="400" w:lineRule="exact"/>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3.网络协议：RTSP、ONVIF、PSIA、GB/T28181。</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4.</w:t>
      </w:r>
      <w:r>
        <w:rPr>
          <w:rFonts w:hint="eastAsia" w:ascii="方正仿宋_GBK" w:hAnsi="方正仿宋_GBK" w:eastAsia="方正仿宋_GBK" w:cs="方正仿宋_GBK"/>
          <w:color w:val="auto"/>
          <w:sz w:val="24"/>
          <w:szCs w:val="24"/>
          <w:lang w:eastAsia="zh-CN"/>
        </w:rPr>
        <w:t>单设备配置≥64位多核处理器，≥8GB内存，内存支持扩展到≥128GB，内置SSD固态硬盘和企业级硬盘（以公安部检测报告为准）。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5.</w:t>
      </w:r>
      <w:r>
        <w:rPr>
          <w:rFonts w:hint="eastAsia" w:ascii="方正仿宋_GBK" w:hAnsi="方正仿宋_GBK" w:eastAsia="方正仿宋_GBK" w:cs="方正仿宋_GBK"/>
          <w:color w:val="auto"/>
          <w:sz w:val="24"/>
          <w:szCs w:val="24"/>
          <w:lang w:eastAsia="zh-CN"/>
        </w:rPr>
        <w:t>标配≥2个千兆网口，2个USB3.0接口（以公安部检测报告为准）。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6.</w:t>
      </w:r>
      <w:r>
        <w:rPr>
          <w:rFonts w:hint="eastAsia" w:ascii="方正仿宋_GBK" w:hAnsi="方正仿宋_GBK" w:eastAsia="方正仿宋_GBK" w:cs="方正仿宋_GBK"/>
          <w:color w:val="auto"/>
          <w:sz w:val="24"/>
          <w:szCs w:val="24"/>
          <w:lang w:eastAsia="zh-CN"/>
        </w:rPr>
        <w:t>提供RAID0、1、3、5、6、10、50，60、JBOD、VRAID、iRAID模式。</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7.</w:t>
      </w:r>
      <w:r>
        <w:rPr>
          <w:rFonts w:hint="eastAsia" w:ascii="方正仿宋_GBK" w:hAnsi="方正仿宋_GBK" w:eastAsia="方正仿宋_GBK" w:cs="方正仿宋_GBK"/>
          <w:color w:val="auto"/>
          <w:sz w:val="24"/>
          <w:szCs w:val="24"/>
          <w:lang w:eastAsia="zh-CN"/>
        </w:rPr>
        <w:t>应能可对视音频、图片、智能数据（智能行为分析录像）流进行混合直存，无须存储服务器和图片服务器的参与，平台服务器宕机时，存储业务正常；（以公安部检测报告为准）。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8.</w:t>
      </w:r>
      <w:r>
        <w:rPr>
          <w:rFonts w:hint="eastAsia" w:ascii="方正仿宋_GBK" w:hAnsi="方正仿宋_GBK" w:eastAsia="方正仿宋_GBK" w:cs="方正仿宋_GBK"/>
          <w:color w:val="auto"/>
          <w:sz w:val="24"/>
          <w:szCs w:val="24"/>
          <w:lang w:eastAsia="zh-CN"/>
        </w:rPr>
        <w:t>应能接入并存储800Mbps视频图像，同时转发800Mbps的视频图像；同时回放128Mbps的视频图像。</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9.</w:t>
      </w:r>
      <w:r>
        <w:rPr>
          <w:rFonts w:hint="eastAsia" w:ascii="方正仿宋_GBK" w:hAnsi="方正仿宋_GBK" w:eastAsia="方正仿宋_GBK" w:cs="方正仿宋_GBK"/>
          <w:color w:val="auto"/>
          <w:sz w:val="24"/>
          <w:szCs w:val="24"/>
          <w:lang w:eastAsia="zh-CN"/>
        </w:rPr>
        <w:t>一键配置存储模式，自动实现RAID5或VRAID创建与空间划分。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10.</w:t>
      </w:r>
      <w:r>
        <w:rPr>
          <w:rFonts w:hint="eastAsia" w:ascii="方正仿宋_GBK" w:hAnsi="方正仿宋_GBK" w:eastAsia="方正仿宋_GBK" w:cs="方正仿宋_GBK"/>
          <w:color w:val="auto"/>
          <w:sz w:val="24"/>
          <w:szCs w:val="24"/>
          <w:lang w:eastAsia="zh-CN"/>
        </w:rPr>
        <w:t>应能在RAID内丢失2块（含）以上硬盘但至少有1块正常磁盘时，无需等待丢失盘恢复，保留的硬盘中的数据可正常读出，且新数据可正常写入（以公安部检测报告为准）。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11.</w:t>
      </w:r>
      <w:r>
        <w:rPr>
          <w:rFonts w:hint="eastAsia" w:ascii="方正仿宋_GBK" w:hAnsi="方正仿宋_GBK" w:eastAsia="方正仿宋_GBK" w:cs="方正仿宋_GBK"/>
          <w:color w:val="auto"/>
          <w:sz w:val="24"/>
          <w:szCs w:val="24"/>
          <w:lang w:eastAsia="zh-CN"/>
        </w:rPr>
        <w:t>应支持双活功能，单机故障时不影响数据读写，根据数据对象的重要性（例如：系统信息、配置信息、报警录像、普通录像等）、访问频率等属性按照预先设定的分层存储区域可进行自动分层存储并可实现快速访问（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12.</w:t>
      </w:r>
      <w:r>
        <w:rPr>
          <w:rFonts w:hint="eastAsia" w:ascii="方正仿宋_GBK" w:hAnsi="方正仿宋_GBK" w:eastAsia="方正仿宋_GBK" w:cs="方正仿宋_GBK"/>
          <w:color w:val="auto"/>
          <w:sz w:val="24"/>
          <w:szCs w:val="24"/>
          <w:lang w:eastAsia="zh-CN"/>
        </w:rPr>
        <w:t>可支持视频质量诊断功能，对图像的亮度、偏色、对比度、清晰度、视频丢失、条纹干扰、视频噪声、视频虚焦等特征进行实时分析，并以日志、报表和图形化方式显示结果（以公安部检测报告为准）。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13.</w:t>
      </w:r>
      <w:r>
        <w:rPr>
          <w:rFonts w:hint="eastAsia" w:ascii="方正仿宋_GBK" w:hAnsi="方正仿宋_GBK" w:eastAsia="方正仿宋_GBK" w:cs="方正仿宋_GBK"/>
          <w:color w:val="auto"/>
          <w:sz w:val="24"/>
          <w:szCs w:val="24"/>
          <w:lang w:eastAsia="zh-CN"/>
        </w:rPr>
        <w:t>应能支持报警预录功能，应能预录报警触发前1-40min的视频录像（以公安部检测报告为准）。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14.</w:t>
      </w:r>
      <w:r>
        <w:rPr>
          <w:rFonts w:hint="eastAsia" w:ascii="方正仿宋_GBK" w:hAnsi="方正仿宋_GBK" w:eastAsia="方正仿宋_GBK" w:cs="方正仿宋_GBK"/>
          <w:color w:val="auto"/>
          <w:sz w:val="24"/>
          <w:szCs w:val="24"/>
          <w:lang w:eastAsia="zh-CN"/>
        </w:rPr>
        <w:t>应能支持MPEG4、H.264、H.265、SVAC编码格式和分辨率为4096×2160的前端设备并存储录像文件（以公安部检测报告为准）。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15.</w:t>
      </w:r>
      <w:r>
        <w:rPr>
          <w:rFonts w:hint="eastAsia" w:ascii="方正仿宋_GBK" w:hAnsi="方正仿宋_GBK" w:eastAsia="方正仿宋_GBK" w:cs="方正仿宋_GBK"/>
          <w:color w:val="auto"/>
          <w:sz w:val="24"/>
          <w:szCs w:val="24"/>
          <w:lang w:eastAsia="zh-CN"/>
        </w:rPr>
        <w:t>可在视频画面上绘制区域或界线，检索指定范围内的报警录像；输入车牌号码可检索出相关图片和视频；可按照报警事件进行检索（以公安部检测报告为准）。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*16.</w:t>
      </w:r>
      <w:r>
        <w:rPr>
          <w:rFonts w:hint="eastAsia" w:ascii="方正仿宋_GBK" w:hAnsi="方正仿宋_GBK" w:eastAsia="方正仿宋_GBK" w:cs="方正仿宋_GBK"/>
          <w:color w:val="auto"/>
          <w:sz w:val="24"/>
          <w:szCs w:val="24"/>
          <w:lang w:eastAsia="zh-CN"/>
        </w:rPr>
        <w:t>支持视频矫正功能，可将接入的鱼眼摄像机、双目摄像机和全景自拼接摄像机、智能相机、热成像摄像机的图像以多画面分割方式显示并进行调整；支持画中画通道视频显示和存储（以公安部检测报告为准）。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*17.</w:t>
      </w:r>
      <w:r>
        <w:rPr>
          <w:rFonts w:hint="eastAsia" w:ascii="方正仿宋_GBK" w:hAnsi="方正仿宋_GBK" w:eastAsia="方正仿宋_GBK" w:cs="方正仿宋_GBK"/>
          <w:color w:val="auto"/>
          <w:sz w:val="24"/>
          <w:szCs w:val="24"/>
          <w:lang w:eastAsia="zh-CN"/>
        </w:rPr>
        <w:t>可对指定的录像段或指定事件的1个或多个前端的不同时间段的录像段添加标签，并自动备份到存档卷中，使之不会被覆盖删除；可根据事件名称查询所有相关联的不同前端或时间的录像段并进行回放和下载（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18.</w:t>
      </w:r>
      <w:r>
        <w:rPr>
          <w:rFonts w:hint="eastAsia" w:ascii="方正仿宋_GBK" w:hAnsi="方正仿宋_GBK" w:eastAsia="方正仿宋_GBK" w:cs="方正仿宋_GBK"/>
          <w:color w:val="auto"/>
          <w:sz w:val="24"/>
          <w:szCs w:val="24"/>
          <w:lang w:eastAsia="zh-CN"/>
        </w:rPr>
        <w:t>距样机正向1.3m处，在正常工作条件下的工作噪声不应大于40dB(A)（以公安部检测报告为准）。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*19.</w:t>
      </w:r>
      <w:r>
        <w:rPr>
          <w:rFonts w:hint="eastAsia" w:ascii="方正仿宋_GBK" w:hAnsi="方正仿宋_GBK" w:eastAsia="方正仿宋_GBK" w:cs="方正仿宋_GBK"/>
          <w:color w:val="auto"/>
          <w:sz w:val="24"/>
          <w:szCs w:val="24"/>
          <w:lang w:eastAsia="zh-CN"/>
        </w:rPr>
        <w:t>在冗余范围内元数据丢失时，可自动进行数据恢复，并保持业务不中断，在UI界面实时显示磁盘体检状态，对异常状态磁盘，可查看处理建议信息；可通过IE浏览器对一台、多台样机或扩展柜中的磁盘进行定位，使对应的磁盘指示灯闪烁，闪烁的时长可设；通过客户端软件添加及删除手机号，启用短信网关报警功能后，可向添加的手机号码发送电源异常、系统卡容量不足、存储空间异常、自动修复失败、私有卷IO异常、无可用逻辑卷等报警信息，报警种类可设。（以公安部检测报告为准）。</w:t>
      </w:r>
    </w:p>
    <w:p>
      <w:pPr>
        <w:spacing w:line="400" w:lineRule="exact"/>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20.</w:t>
      </w:r>
      <w:r>
        <w:rPr>
          <w:rFonts w:hint="eastAsia" w:ascii="方正仿宋_GBK" w:hAnsi="方正仿宋_GBK" w:eastAsia="方正仿宋_GBK" w:cs="方正仿宋_GBK"/>
          <w:color w:val="auto"/>
          <w:sz w:val="24"/>
          <w:szCs w:val="24"/>
          <w:lang w:eastAsia="zh-CN"/>
        </w:rPr>
        <w:t>可将接入样机的网络设备的IP地址、端口号等信息以excel形式进行导入导出。</w:t>
      </w:r>
    </w:p>
    <w:p>
      <w:pPr>
        <w:spacing w:line="400" w:lineRule="exact"/>
        <w:ind w:firstLine="480" w:firstLineChars="200"/>
        <w:outlineLvl w:val="2"/>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21.</w:t>
      </w:r>
      <w:r>
        <w:rPr>
          <w:rFonts w:hint="eastAsia" w:ascii="方正仿宋_GBK" w:hAnsi="方正仿宋_GBK" w:eastAsia="方正仿宋_GBK" w:cs="方正仿宋_GBK"/>
          <w:color w:val="auto"/>
          <w:sz w:val="24"/>
          <w:szCs w:val="24"/>
        </w:rPr>
        <w:t>为保证兼容性，</w:t>
      </w:r>
      <w:r>
        <w:rPr>
          <w:rFonts w:hint="eastAsia" w:ascii="方正仿宋_GBK" w:hAnsi="方正仿宋_GBK" w:eastAsia="方正仿宋_GBK" w:cs="方正仿宋_GBK"/>
          <w:color w:val="auto"/>
          <w:sz w:val="24"/>
          <w:szCs w:val="24"/>
          <w:lang w:eastAsia="zh-CN"/>
        </w:rPr>
        <w:t>投标</w:t>
      </w:r>
      <w:r>
        <w:rPr>
          <w:rFonts w:hint="eastAsia" w:ascii="方正仿宋_GBK" w:hAnsi="方正仿宋_GBK" w:eastAsia="方正仿宋_GBK" w:cs="方正仿宋_GBK"/>
          <w:color w:val="auto"/>
          <w:sz w:val="24"/>
          <w:szCs w:val="24"/>
          <w:lang w:val="en-US" w:eastAsia="zh-CN"/>
        </w:rPr>
        <w:t>人</w:t>
      </w:r>
      <w:r>
        <w:rPr>
          <w:rFonts w:hint="eastAsia" w:ascii="方正仿宋_GBK" w:hAnsi="方正仿宋_GBK" w:eastAsia="方正仿宋_GBK" w:cs="方正仿宋_GBK"/>
          <w:color w:val="auto"/>
          <w:sz w:val="24"/>
          <w:szCs w:val="24"/>
          <w:lang w:eastAsia="zh-CN"/>
        </w:rPr>
        <w:t>所投产品</w:t>
      </w:r>
      <w:r>
        <w:rPr>
          <w:rFonts w:hint="eastAsia" w:ascii="方正仿宋_GBK" w:hAnsi="方正仿宋_GBK" w:eastAsia="方正仿宋_GBK" w:cs="方正仿宋_GBK"/>
          <w:color w:val="auto"/>
          <w:sz w:val="24"/>
          <w:szCs w:val="24"/>
          <w:lang w:val="en-US" w:eastAsia="zh-CN"/>
        </w:rPr>
        <w:t>需</w:t>
      </w:r>
      <w:r>
        <w:rPr>
          <w:rFonts w:hint="eastAsia" w:ascii="方正仿宋_GBK" w:hAnsi="方正仿宋_GBK" w:eastAsia="方正仿宋_GBK" w:cs="方正仿宋_GBK"/>
          <w:color w:val="auto"/>
          <w:sz w:val="24"/>
          <w:szCs w:val="24"/>
          <w:lang w:eastAsia="zh-CN"/>
        </w:rPr>
        <w:t>无缝接入采购人智慧安防管理平台，实现与门诊楼现有存储集群备份</w:t>
      </w:r>
      <w:r>
        <w:rPr>
          <w:rFonts w:hint="eastAsia" w:ascii="方正仿宋_GBK" w:hAnsi="方正仿宋_GBK" w:eastAsia="方正仿宋_GBK" w:cs="方正仿宋_GBK"/>
          <w:color w:val="auto"/>
          <w:sz w:val="24"/>
          <w:szCs w:val="24"/>
          <w:lang w:val="en-US" w:eastAsia="zh-CN"/>
        </w:rPr>
        <w:t>，</w:t>
      </w:r>
      <w:r>
        <w:rPr>
          <w:rFonts w:hint="eastAsia" w:ascii="方正仿宋_GBK" w:hAnsi="方正仿宋_GBK" w:eastAsia="方正仿宋_GBK" w:cs="方正仿宋_GBK"/>
          <w:color w:val="auto"/>
          <w:sz w:val="24"/>
          <w:szCs w:val="24"/>
          <w:lang w:eastAsia="zh-CN"/>
        </w:rPr>
        <w:t>投标</w:t>
      </w:r>
      <w:r>
        <w:rPr>
          <w:rFonts w:hint="eastAsia" w:ascii="方正仿宋_GBK" w:hAnsi="方正仿宋_GBK" w:eastAsia="方正仿宋_GBK" w:cs="方正仿宋_GBK"/>
          <w:color w:val="auto"/>
          <w:sz w:val="24"/>
          <w:szCs w:val="24"/>
          <w:lang w:val="en-US" w:eastAsia="zh-CN"/>
        </w:rPr>
        <w:t>人</w:t>
      </w:r>
      <w:r>
        <w:rPr>
          <w:rFonts w:hint="eastAsia" w:ascii="方正仿宋_GBK" w:hAnsi="方正仿宋_GBK" w:eastAsia="方正仿宋_GBK" w:cs="方正仿宋_GBK"/>
          <w:color w:val="auto"/>
          <w:sz w:val="24"/>
          <w:szCs w:val="24"/>
          <w:lang w:eastAsia="zh-CN"/>
        </w:rPr>
        <w:t>与平台厂家自行协商</w:t>
      </w:r>
      <w:r>
        <w:rPr>
          <w:rFonts w:hint="eastAsia" w:ascii="方正仿宋_GBK" w:hAnsi="方正仿宋_GBK" w:eastAsia="方正仿宋_GBK" w:cs="方正仿宋_GBK"/>
          <w:color w:val="auto"/>
          <w:sz w:val="24"/>
          <w:szCs w:val="24"/>
          <w:lang w:val="en-US" w:eastAsia="zh-CN"/>
        </w:rPr>
        <w:t>接入事宜</w:t>
      </w:r>
      <w:r>
        <w:rPr>
          <w:rFonts w:hint="eastAsia" w:ascii="方正仿宋_GBK" w:hAnsi="方正仿宋_GBK" w:eastAsia="方正仿宋_GBK" w:cs="方正仿宋_GBK"/>
          <w:color w:val="auto"/>
          <w:sz w:val="24"/>
          <w:szCs w:val="24"/>
          <w:lang w:eastAsia="zh-CN"/>
        </w:rPr>
        <w:t>，采购人不予提供支持。</w:t>
      </w:r>
    </w:p>
    <w:p>
      <w:pPr>
        <w:spacing w:line="400" w:lineRule="exact"/>
        <w:ind w:firstLine="480" w:firstLineChars="200"/>
        <w:outlineLvl w:val="2"/>
        <w:rPr>
          <w:rFonts w:hint="default" w:ascii="方正仿宋_GBK" w:hAnsi="宋体" w:eastAsia="方正仿宋_GBK" w:cs="Times New Roman"/>
          <w:sz w:val="24"/>
          <w:szCs w:val="28"/>
          <w:lang w:val="en-US" w:eastAsia="zh-CN"/>
        </w:rPr>
      </w:pPr>
      <w:r>
        <w:rPr>
          <w:rFonts w:hint="eastAsia" w:ascii="方正仿宋_GBK" w:hAnsi="宋体" w:eastAsia="方正仿宋_GBK" w:cs="Times New Roman"/>
          <w:sz w:val="24"/>
          <w:szCs w:val="28"/>
          <w:lang w:val="en-US" w:eastAsia="zh-CN"/>
        </w:rPr>
        <w:t>（二）施工要求</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w:t>
      </w:r>
      <w:r>
        <w:rPr>
          <w:rFonts w:hint="eastAsia" w:ascii="方正仿宋_GBK" w:hAnsi="方正仿宋_GBK" w:eastAsia="方正仿宋_GBK" w:cs="方正仿宋_GBK"/>
          <w:color w:val="auto"/>
          <w:sz w:val="24"/>
          <w:szCs w:val="24"/>
          <w:lang w:eastAsia="zh-CN"/>
        </w:rPr>
        <w:t>投标人所报清单包含全部的主材及辅材，并且确保系统调试正常。</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2.</w:t>
      </w:r>
      <w:r>
        <w:rPr>
          <w:rFonts w:hint="eastAsia" w:ascii="方正仿宋_GBK" w:hAnsi="方正仿宋_GBK" w:eastAsia="方正仿宋_GBK" w:cs="方正仿宋_GBK"/>
          <w:color w:val="auto"/>
          <w:sz w:val="24"/>
          <w:szCs w:val="24"/>
          <w:lang w:eastAsia="zh-CN"/>
        </w:rPr>
        <w:t>投标人应定期组织巡检，并留存记录，保障设备运行正常。投标人要服从招标方的管理，严格遵守保密规定，不得透露相关数据及信息。</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3.</w:t>
      </w:r>
      <w:r>
        <w:rPr>
          <w:rFonts w:hint="eastAsia" w:ascii="方正仿宋_GBK" w:hAnsi="方正仿宋_GBK" w:eastAsia="方正仿宋_GBK" w:cs="方正仿宋_GBK"/>
          <w:color w:val="auto"/>
          <w:sz w:val="24"/>
          <w:szCs w:val="24"/>
          <w:lang w:eastAsia="zh-CN"/>
        </w:rPr>
        <w:t>投标人需建立本次升级设备台帐，建立设备维修档案。</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4.</w:t>
      </w:r>
      <w:r>
        <w:rPr>
          <w:rFonts w:hint="eastAsia" w:ascii="方正仿宋_GBK" w:hAnsi="方正仿宋_GBK" w:eastAsia="方正仿宋_GBK" w:cs="方正仿宋_GBK"/>
          <w:color w:val="auto"/>
          <w:sz w:val="24"/>
          <w:szCs w:val="24"/>
          <w:lang w:eastAsia="zh-CN"/>
        </w:rPr>
        <w:t>新增存储</w:t>
      </w:r>
      <w:r>
        <w:rPr>
          <w:rFonts w:hint="eastAsia" w:ascii="方正仿宋_GBK" w:hAnsi="方正仿宋_GBK" w:eastAsia="方正仿宋_GBK" w:cs="方正仿宋_GBK"/>
          <w:color w:val="auto"/>
          <w:sz w:val="24"/>
          <w:szCs w:val="24"/>
          <w:lang w:val="en-US" w:eastAsia="zh-CN"/>
        </w:rPr>
        <w:t>设备</w:t>
      </w:r>
      <w:r>
        <w:rPr>
          <w:rFonts w:hint="eastAsia" w:ascii="方正仿宋_GBK" w:hAnsi="方正仿宋_GBK" w:eastAsia="方正仿宋_GBK" w:cs="方正仿宋_GBK"/>
          <w:color w:val="auto"/>
          <w:sz w:val="24"/>
          <w:szCs w:val="24"/>
          <w:lang w:eastAsia="zh-CN"/>
        </w:rPr>
        <w:t>采用通过千兆网线双链路聚合至核心，实现高速数据交互同时，确保局域网大流量数据转发的需要。</w:t>
      </w:r>
      <w:r>
        <w:rPr>
          <w:rFonts w:hint="eastAsia" w:ascii="方正仿宋_GBK" w:hAnsi="方正仿宋_GBK" w:eastAsia="方正仿宋_GBK" w:cs="方正仿宋_GBK"/>
          <w:color w:val="auto"/>
          <w:sz w:val="24"/>
          <w:szCs w:val="24"/>
          <w:lang w:val="en-US" w:eastAsia="zh-CN"/>
        </w:rPr>
        <w:t>2号楼</w:t>
      </w:r>
      <w:r>
        <w:rPr>
          <w:rFonts w:hint="eastAsia" w:ascii="方正仿宋_GBK" w:hAnsi="方正仿宋_GBK" w:eastAsia="方正仿宋_GBK" w:cs="方正仿宋_GBK"/>
          <w:color w:val="auto"/>
          <w:sz w:val="24"/>
          <w:szCs w:val="24"/>
          <w:lang w:eastAsia="zh-CN"/>
        </w:rPr>
        <w:t>LG</w:t>
      </w:r>
      <w:r>
        <w:rPr>
          <w:rFonts w:hint="eastAsia" w:ascii="方正仿宋_GBK" w:hAnsi="方正仿宋_GBK" w:eastAsia="方正仿宋_GBK" w:cs="方正仿宋_GBK"/>
          <w:color w:val="auto"/>
          <w:sz w:val="24"/>
          <w:szCs w:val="24"/>
          <w:lang w:val="en-US" w:eastAsia="zh-CN"/>
        </w:rPr>
        <w:t>层</w:t>
      </w:r>
      <w:r>
        <w:rPr>
          <w:rFonts w:hint="eastAsia" w:ascii="方正仿宋_GBK" w:hAnsi="方正仿宋_GBK" w:eastAsia="方正仿宋_GBK" w:cs="方正仿宋_GBK"/>
          <w:color w:val="auto"/>
          <w:sz w:val="24"/>
          <w:szCs w:val="24"/>
          <w:lang w:eastAsia="zh-CN"/>
        </w:rPr>
        <w:t>存储机房</w:t>
      </w:r>
      <w:r>
        <w:rPr>
          <w:rFonts w:hint="eastAsia" w:ascii="方正仿宋_GBK" w:hAnsi="方正仿宋_GBK" w:eastAsia="方正仿宋_GBK" w:cs="方正仿宋_GBK"/>
          <w:color w:val="auto"/>
          <w:sz w:val="24"/>
          <w:szCs w:val="24"/>
          <w:lang w:val="en-US" w:eastAsia="zh-CN"/>
        </w:rPr>
        <w:t>原有</w:t>
      </w:r>
      <w:r>
        <w:rPr>
          <w:rFonts w:hint="eastAsia" w:ascii="方正仿宋_GBK" w:hAnsi="方正仿宋_GBK" w:eastAsia="方正仿宋_GBK" w:cs="方正仿宋_GBK"/>
          <w:color w:val="auto"/>
          <w:sz w:val="24"/>
          <w:szCs w:val="24"/>
          <w:lang w:eastAsia="zh-CN"/>
        </w:rPr>
        <w:t>1台服务器机柜（</w:t>
      </w:r>
      <w:r>
        <w:rPr>
          <w:rFonts w:hint="eastAsia" w:ascii="方正仿宋_GBK" w:hAnsi="方正仿宋_GBK" w:eastAsia="方正仿宋_GBK" w:cs="方正仿宋_GBK"/>
          <w:color w:val="auto"/>
          <w:sz w:val="24"/>
          <w:szCs w:val="24"/>
          <w:lang w:val="en-US" w:eastAsia="zh-CN"/>
        </w:rPr>
        <w:t>利旧</w:t>
      </w:r>
      <w:r>
        <w:rPr>
          <w:rFonts w:hint="eastAsia" w:ascii="方正仿宋_GBK" w:hAnsi="方正仿宋_GBK" w:eastAsia="方正仿宋_GBK" w:cs="方正仿宋_GBK"/>
          <w:color w:val="auto"/>
          <w:sz w:val="24"/>
          <w:szCs w:val="24"/>
          <w:lang w:eastAsia="zh-CN"/>
        </w:rPr>
        <w:t>），用于放置扩容设备。中标单位需对所有跳线两端进行标识（点对点），标签清晰可辨。</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5.</w:t>
      </w:r>
      <w:r>
        <w:rPr>
          <w:rFonts w:hint="eastAsia" w:ascii="方正仿宋_GBK" w:hAnsi="方正仿宋_GBK" w:eastAsia="方正仿宋_GBK" w:cs="方正仿宋_GBK"/>
          <w:color w:val="auto"/>
          <w:sz w:val="24"/>
          <w:szCs w:val="24"/>
          <w:lang w:eastAsia="zh-CN"/>
        </w:rPr>
        <w:t>实施过程所需维修工具及检测仪器等均</w:t>
      </w:r>
      <w:r>
        <w:rPr>
          <w:rFonts w:hint="eastAsia" w:ascii="方正仿宋_GBK" w:hAnsi="方正仿宋_GBK" w:eastAsia="方正仿宋_GBK" w:cs="方正仿宋_GBK"/>
          <w:color w:val="auto"/>
          <w:sz w:val="24"/>
          <w:szCs w:val="24"/>
          <w:lang w:val="en-US" w:eastAsia="zh-CN"/>
        </w:rPr>
        <w:t>由</w:t>
      </w:r>
      <w:r>
        <w:rPr>
          <w:rFonts w:hint="eastAsia" w:ascii="方正仿宋_GBK" w:hAnsi="方正仿宋_GBK" w:eastAsia="方正仿宋_GBK" w:cs="方正仿宋_GBK"/>
          <w:color w:val="auto"/>
          <w:sz w:val="24"/>
          <w:szCs w:val="24"/>
          <w:lang w:eastAsia="zh-CN"/>
        </w:rPr>
        <w:t>投标</w:t>
      </w:r>
      <w:r>
        <w:rPr>
          <w:rFonts w:hint="eastAsia" w:ascii="方正仿宋_GBK" w:hAnsi="方正仿宋_GBK" w:eastAsia="方正仿宋_GBK" w:cs="方正仿宋_GBK"/>
          <w:color w:val="auto"/>
          <w:sz w:val="24"/>
          <w:szCs w:val="24"/>
          <w:lang w:val="en-US" w:eastAsia="zh-CN"/>
        </w:rPr>
        <w:t>人</w:t>
      </w:r>
      <w:r>
        <w:rPr>
          <w:rFonts w:hint="eastAsia" w:ascii="方正仿宋_GBK" w:hAnsi="方正仿宋_GBK" w:eastAsia="方正仿宋_GBK" w:cs="方正仿宋_GBK"/>
          <w:color w:val="auto"/>
          <w:sz w:val="24"/>
          <w:szCs w:val="24"/>
          <w:lang w:eastAsia="zh-CN"/>
        </w:rPr>
        <w:t>自备，采购人不负责提供，投标人技术人员工作期间，需佩戴工作证，着装整齐。</w:t>
      </w:r>
    </w:p>
    <w:p>
      <w:pPr>
        <w:spacing w:line="400" w:lineRule="exact"/>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6.</w:t>
      </w:r>
      <w:r>
        <w:rPr>
          <w:rFonts w:hint="eastAsia" w:ascii="方正仿宋_GBK" w:hAnsi="方正仿宋_GBK" w:eastAsia="方正仿宋_GBK" w:cs="方正仿宋_GBK"/>
          <w:color w:val="auto"/>
          <w:sz w:val="24"/>
          <w:szCs w:val="24"/>
          <w:lang w:eastAsia="zh-CN"/>
        </w:rPr>
        <w:t>投标人在履行本合同过程中发生的包括但不限于投标人人员工伤或人身损害，造成采购人或第三方人身损害或财产损失等事故均由投标人负责解决，并由投标人自行承担所有的经济责任和法律责任。</w:t>
      </w:r>
    </w:p>
    <w:p>
      <w:pPr>
        <w:spacing w:line="400" w:lineRule="exact"/>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7.</w:t>
      </w:r>
      <w:r>
        <w:rPr>
          <w:rFonts w:hint="eastAsia" w:ascii="方正仿宋_GBK" w:hAnsi="方正仿宋_GBK" w:eastAsia="方正仿宋_GBK" w:cs="方正仿宋_GBK"/>
          <w:color w:val="auto"/>
          <w:sz w:val="24"/>
          <w:szCs w:val="24"/>
          <w:lang w:eastAsia="zh-CN"/>
        </w:rPr>
        <w:t>因投标人原因，在服务期间造成建筑墙体、面、吊顶、地板、其他设施设备等损坏的，应由投标人恢复原貌或赔偿损失，所涉及费用由投标人承担。</w:t>
      </w:r>
    </w:p>
    <w:p>
      <w:pP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br w:type="page"/>
      </w:r>
    </w:p>
    <w:p>
      <w:pPr>
        <w:pStyle w:val="4"/>
        <w:spacing w:before="200" w:after="200" w:line="240" w:lineRule="auto"/>
        <w:jc w:val="center"/>
        <w:rPr>
          <w:rFonts w:hint="eastAsia" w:ascii="方正仿宋_GBK" w:hAnsi="Times New Roman" w:eastAsia="方正仿宋_GBK" w:cs="Times New Roman"/>
          <w:b/>
          <w:sz w:val="44"/>
          <w:szCs w:val="20"/>
        </w:rPr>
      </w:pPr>
      <w:bookmarkStart w:id="83" w:name="_Toc157"/>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7"/>
      <w:bookmarkEnd w:id="78"/>
      <w:bookmarkEnd w:id="79"/>
      <w:bookmarkEnd w:id="83"/>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服务期限、实施地点及验收方式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服务期限：自合同签订之日起30个日历日内</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实施地点：重庆医科大学附属儿童医院两江院区</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s="Times New Roman"/>
                <w:b w:val="0"/>
                <w:bCs w:val="0"/>
                <w:color w:val="auto"/>
                <w:kern w:val="2"/>
                <w:sz w:val="24"/>
                <w:szCs w:val="24"/>
                <w:lang w:val="en-US" w:eastAsia="zh-CN" w:bidi="ar-SA"/>
              </w:rPr>
              <w:t>验收方式</w:t>
            </w:r>
            <w:r>
              <w:rPr>
                <w:rFonts w:hint="eastAsia" w:ascii="方正仿宋_GBK" w:hAnsi="宋体" w:eastAsia="方正仿宋_GBK" w:cs="Times New Roman"/>
                <w:sz w:val="24"/>
                <w:szCs w:val="24"/>
                <w:lang w:val="en-US" w:eastAsia="zh-CN"/>
              </w:rPr>
              <w:t>：职能部门根据合同约定内容进行验收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（一）产品质量保证期：</w:t>
            </w:r>
            <w:r>
              <w:rPr>
                <w:rFonts w:hint="eastAsia" w:ascii="方正仿宋_GBK" w:hAnsi="宋体" w:eastAsia="方正仿宋_GBK"/>
                <w:color w:val="auto"/>
                <w:sz w:val="24"/>
                <w:szCs w:val="24"/>
                <w:lang w:val="en-US" w:eastAsia="zh-CN"/>
              </w:rPr>
              <w:t>该项目所有设备</w:t>
            </w:r>
            <w:r>
              <w:rPr>
                <w:rFonts w:hint="eastAsia" w:ascii="方正仿宋_GBK" w:hAnsi="宋体" w:eastAsia="方正仿宋_GBK"/>
                <w:color w:val="auto"/>
                <w:sz w:val="24"/>
                <w:szCs w:val="24"/>
              </w:rPr>
              <w:t>自验收合格之日起，提供</w:t>
            </w:r>
            <w:r>
              <w:rPr>
                <w:rFonts w:hint="eastAsia" w:ascii="方正仿宋_GBK" w:hAnsi="宋体" w:eastAsia="方正仿宋_GBK"/>
                <w:color w:val="auto"/>
                <w:sz w:val="24"/>
                <w:szCs w:val="24"/>
                <w:lang w:val="en-US" w:eastAsia="zh-CN"/>
              </w:rPr>
              <w:t>不低于三</w:t>
            </w:r>
            <w:r>
              <w:rPr>
                <w:rFonts w:hint="eastAsia" w:ascii="方正仿宋_GBK" w:hAnsi="宋体" w:eastAsia="方正仿宋_GBK"/>
                <w:color w:val="auto"/>
                <w:sz w:val="24"/>
                <w:szCs w:val="24"/>
              </w:rPr>
              <w:t>年的</w:t>
            </w:r>
            <w:r>
              <w:rPr>
                <w:rFonts w:hint="eastAsia" w:ascii="方正仿宋_GBK" w:hAnsi="宋体" w:eastAsia="方正仿宋_GBK"/>
                <w:color w:val="auto"/>
                <w:sz w:val="24"/>
                <w:szCs w:val="24"/>
                <w:lang w:val="en-US" w:eastAsia="zh-CN"/>
              </w:rPr>
              <w:t>整机</w:t>
            </w:r>
            <w:r>
              <w:rPr>
                <w:rFonts w:hint="eastAsia" w:ascii="方正仿宋_GBK" w:hAnsi="宋体" w:eastAsia="方正仿宋_GBK"/>
                <w:color w:val="auto"/>
                <w:sz w:val="24"/>
                <w:szCs w:val="24"/>
              </w:rPr>
              <w:t>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用户遇到使用及技术问题，电话咨询不能解决的，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或制造商应在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小时内派出专业人员进行技术支持。</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1.3技术升级</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在质保期内，如果</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的产品技术升级，</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应及时通知采购人，如采购人有相应要求，</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应对采购人进行</w:t>
            </w:r>
            <w:r>
              <w:rPr>
                <w:rFonts w:hint="eastAsia" w:ascii="方正仿宋_GBK" w:hAnsi="宋体" w:eastAsia="方正仿宋_GBK"/>
                <w:color w:val="auto"/>
                <w:sz w:val="24"/>
                <w:szCs w:val="24"/>
                <w:lang w:val="en-US" w:eastAsia="zh-CN"/>
              </w:rPr>
              <w:t>无条件免费</w:t>
            </w:r>
            <w:r>
              <w:rPr>
                <w:rFonts w:hint="eastAsia" w:ascii="方正仿宋_GBK" w:hAnsi="宋体" w:eastAsia="方正仿宋_GBK"/>
                <w:color w:val="auto"/>
                <w:sz w:val="24"/>
                <w:szCs w:val="24"/>
              </w:rPr>
              <w:t>升级服务。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.1质量保证期过后，</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.2质量保证期过后，采购人需要继续由原</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提供售后服务的，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应以优惠价格提供售后服务。</w:t>
            </w:r>
          </w:p>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宋体"/>
                <w:color w:val="auto"/>
                <w:kern w:val="0"/>
                <w:sz w:val="24"/>
                <w:szCs w:val="24"/>
              </w:rPr>
            </w:pPr>
            <w:r>
              <w:rPr>
                <w:rFonts w:hint="eastAsia" w:ascii="方正仿宋_GBK" w:hAnsi="宋体" w:eastAsia="方正仿宋_GBK" w:cs="宋体"/>
                <w:color w:val="auto"/>
                <w:kern w:val="0"/>
                <w:sz w:val="24"/>
                <w:szCs w:val="24"/>
              </w:rPr>
              <w:t>（三）备品备件及易损件</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宋体"/>
                <w:color w:val="auto"/>
                <w:kern w:val="0"/>
                <w:sz w:val="24"/>
                <w:szCs w:val="24"/>
                <w:lang w:eastAsia="zh-CN"/>
              </w:rPr>
              <w:t>投标人</w:t>
            </w:r>
            <w:r>
              <w:rPr>
                <w:rFonts w:hint="eastAsia" w:ascii="方正仿宋_GBK" w:hAnsi="宋体" w:eastAsia="方正仿宋_GBK" w:cs="宋体"/>
                <w:color w:val="auto"/>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本项目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货物、施工、数据转移等所有费用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项目验收合格且合同完成签订后，成交供应商根据合同金额向采购人开具发票，采购人在收到发票后20个工作日内支付给成交供应商合同总额的100%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bl>
    <w:p>
      <w:pPr>
        <w:pStyle w:val="67"/>
        <w:rPr>
          <w:rFonts w:hint="eastAsia"/>
        </w:rPr>
      </w:pPr>
    </w:p>
    <w:p>
      <w:pPr>
        <w:rPr>
          <w:rFonts w:hint="eastAsia" w:ascii="方正仿宋_GBK" w:hAnsi="Times New Roman" w:eastAsia="方正仿宋_GBK" w:cs="Times New Roman"/>
          <w:b/>
          <w:sz w:val="44"/>
          <w:szCs w:val="20"/>
        </w:rPr>
      </w:pPr>
      <w:bookmarkStart w:id="84" w:name="_Toc76462332"/>
      <w:bookmarkStart w:id="85" w:name="_Toc106030887"/>
      <w:bookmarkStart w:id="86" w:name="_Toc6692"/>
      <w:r>
        <w:rPr>
          <w:rFonts w:hint="eastAsia" w:ascii="方正仿宋_GBK" w:hAnsi="Times New Roman" w:eastAsia="方正仿宋_GBK" w:cs="Times New Roman"/>
          <w:b/>
          <w:sz w:val="44"/>
          <w:szCs w:val="20"/>
        </w:rPr>
        <w:br w:type="page"/>
      </w:r>
    </w:p>
    <w:bookmarkEnd w:id="84"/>
    <w:bookmarkEnd w:id="85"/>
    <w:bookmarkEnd w:id="86"/>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87" w:name="_Toc26784"/>
      <w:bookmarkStart w:id="88" w:name="_Toc64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87"/>
      <w:bookmarkEnd w:id="8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9" w:name="_Toc14958"/>
      <w:bookmarkStart w:id="90" w:name="_Toc106030888"/>
      <w:bookmarkStart w:id="91" w:name="_Toc76462333"/>
      <w:bookmarkStart w:id="92" w:name="_Toc13485"/>
      <w:bookmarkStart w:id="93" w:name="_Toc2542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89"/>
      <w:bookmarkEnd w:id="90"/>
      <w:bookmarkEnd w:id="91"/>
      <w:bookmarkEnd w:id="92"/>
      <w:bookmarkEnd w:id="9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936"/>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91"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91"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36"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91"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36"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4" w:name="_Toc3826"/>
      <w:bookmarkStart w:id="95" w:name="_Toc25824"/>
      <w:r>
        <w:rPr>
          <w:rFonts w:hint="eastAsia" w:ascii="方正仿宋_GBK" w:hAnsi="宋体" w:eastAsia="方正仿宋_GBK"/>
          <w:sz w:val="24"/>
          <w:lang w:val="en-US" w:eastAsia="zh-CN"/>
        </w:rPr>
        <w:t>二、报价方式</w:t>
      </w:r>
      <w:bookmarkEnd w:id="94"/>
    </w:p>
    <w:p>
      <w:pPr>
        <w:pStyle w:val="4"/>
        <w:adjustRightInd w:val="0"/>
        <w:snapToGrid w:val="0"/>
        <w:spacing w:before="0" w:after="0" w:line="400" w:lineRule="exact"/>
        <w:ind w:firstLine="480" w:firstLineChars="200"/>
        <w:rPr>
          <w:rFonts w:hint="eastAsia" w:ascii="方正仿宋_GBK" w:hAnsi="宋体" w:eastAsia="方正仿宋_GBK"/>
          <w:b w:val="0"/>
          <w:bCs/>
          <w:sz w:val="24"/>
          <w:lang w:val="en-US" w:eastAsia="zh-CN"/>
        </w:rPr>
      </w:pPr>
      <w:bookmarkStart w:id="96" w:name="_Toc5837"/>
      <w:bookmarkStart w:id="97" w:name="_Toc23829"/>
      <w:r>
        <w:rPr>
          <w:rFonts w:hint="eastAsia" w:ascii="方正仿宋_GBK" w:hAnsi="宋体" w:eastAsia="方正仿宋_GBK" w:cs="Times New Roman"/>
          <w:b w:val="0"/>
          <w:bCs/>
          <w:sz w:val="24"/>
          <w:szCs w:val="24"/>
          <w:lang w:val="en-US" w:eastAsia="zh-CN"/>
        </w:rPr>
        <w:t>本项目投标人可在投标现场进行第二次报价。</w:t>
      </w:r>
      <w:bookmarkEnd w:id="96"/>
      <w:bookmarkEnd w:id="97"/>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8" w:name="_Toc21283"/>
      <w:r>
        <w:rPr>
          <w:rFonts w:hint="eastAsia" w:ascii="方正仿宋_GBK" w:hAnsi="宋体" w:eastAsia="方正仿宋_GBK"/>
          <w:sz w:val="24"/>
          <w:lang w:val="en-US" w:eastAsia="zh-CN"/>
        </w:rPr>
        <w:t>三、评标方法</w:t>
      </w:r>
      <w:bookmarkEnd w:id="95"/>
      <w:bookmarkEnd w:id="9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评审得分相同的，由采购人委托评标委员会按照招标文件规定的方式确定一个投标人获得中标人推荐资格，招标文件未规定的采取随机抽取方式确定，其他同品牌投标人不作为中标候选人。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复核后，评标委员会汇总每个投标人每项评分因素的得分。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99" w:name="_Toc30944"/>
      <w:bookmarkStart w:id="100" w:name="_Toc76462334"/>
      <w:bookmarkStart w:id="101" w:name="_Toc18577"/>
      <w:bookmarkStart w:id="102" w:name="_Toc5447"/>
      <w:bookmarkStart w:id="103" w:name="_Toc106030889"/>
      <w:bookmarkStart w:id="104" w:name="_Toc102227320"/>
      <w:bookmarkStart w:id="105" w:name="_Toc342913394"/>
      <w:r>
        <w:rPr>
          <w:rFonts w:hint="eastAsia" w:ascii="方正仿宋_GBK" w:hAnsi="宋体" w:eastAsia="方正仿宋_GBK"/>
          <w:sz w:val="24"/>
          <w:lang w:val="en-US" w:eastAsia="zh-CN"/>
        </w:rPr>
        <w:t>四、评审标准</w:t>
      </w:r>
      <w:bookmarkEnd w:id="99"/>
      <w:bookmarkEnd w:id="100"/>
      <w:bookmarkEnd w:id="101"/>
      <w:bookmarkEnd w:id="102"/>
      <w:bookmarkEnd w:id="103"/>
    </w:p>
    <w:tbl>
      <w:tblPr>
        <w:tblStyle w:val="57"/>
        <w:tblW w:w="9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265"/>
        <w:gridCol w:w="1125"/>
        <w:gridCol w:w="5025"/>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bookmarkStart w:id="106" w:name="_Toc106030890"/>
            <w:bookmarkStart w:id="107" w:name="_Toc10063"/>
            <w:bookmarkStart w:id="108" w:name="_Toc31497"/>
            <w:bookmarkStart w:id="109" w:name="_Toc76462335"/>
            <w:r>
              <w:rPr>
                <w:rFonts w:hint="eastAsia" w:ascii="微软雅黑" w:hAnsi="微软雅黑" w:eastAsia="微软雅黑" w:cs="微软雅黑"/>
                <w:b/>
                <w:sz w:val="21"/>
                <w:szCs w:val="21"/>
              </w:rPr>
              <w:t>序号</w:t>
            </w:r>
          </w:p>
        </w:tc>
        <w:tc>
          <w:tcPr>
            <w:tcW w:w="126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评分因素及权重</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分值</w:t>
            </w:r>
          </w:p>
        </w:tc>
        <w:tc>
          <w:tcPr>
            <w:tcW w:w="50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评分标准</w:t>
            </w:r>
          </w:p>
        </w:tc>
        <w:tc>
          <w:tcPr>
            <w:tcW w:w="1477" w:type="dxa"/>
            <w:noWrap w:val="0"/>
            <w:vAlign w:val="center"/>
          </w:tcPr>
          <w:p>
            <w:pPr>
              <w:pStyle w:val="237"/>
              <w:keepNext w:val="0"/>
              <w:keepLines w:val="0"/>
              <w:pageBreakBefore w:val="0"/>
              <w:widowControl w:val="0"/>
              <w:suppressLineNumbers w:val="0"/>
              <w:kinsoku/>
              <w:wordWrap/>
              <w:overflowPunct/>
              <w:topLinePunct w:val="0"/>
              <w:autoSpaceDE/>
              <w:autoSpaceDN/>
              <w:bidi w:val="0"/>
              <w:adjustRightInd w:val="0"/>
              <w:snapToGrid w:val="0"/>
              <w:spacing w:before="0" w:after="0" w:line="240" w:lineRule="auto"/>
              <w:ind w:left="0" w:right="0"/>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3" w:hRule="atLeast"/>
        </w:trPr>
        <w:tc>
          <w:tcPr>
            <w:tcW w:w="8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bookmarkStart w:id="110" w:name="_Hlk523824638"/>
            <w:bookmarkStart w:id="111" w:name="OLE_LINK8" w:colFirst="3" w:colLast="3"/>
            <w:bookmarkStart w:id="112" w:name="OLE_LINK7" w:colFirst="3" w:colLast="3"/>
            <w:r>
              <w:rPr>
                <w:rFonts w:hint="eastAsia" w:ascii="微软雅黑" w:hAnsi="微软雅黑" w:eastAsia="微软雅黑" w:cs="微软雅黑"/>
                <w:sz w:val="21"/>
                <w:szCs w:val="21"/>
              </w:rPr>
              <w:t>1</w:t>
            </w:r>
          </w:p>
        </w:tc>
        <w:tc>
          <w:tcPr>
            <w:tcW w:w="126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报价</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30</w:t>
            </w:r>
            <w:r>
              <w:rPr>
                <w:rFonts w:hint="eastAsia" w:ascii="微软雅黑" w:hAnsi="微软雅黑" w:eastAsia="微软雅黑" w:cs="微软雅黑"/>
                <w:sz w:val="21"/>
                <w:szCs w:val="21"/>
              </w:rPr>
              <w:t>%）</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30分</w:t>
            </w:r>
          </w:p>
        </w:tc>
        <w:tc>
          <w:tcPr>
            <w:tcW w:w="50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jc w:val="left"/>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有效的投标报价中的最低价为评标基准价，其价格分为满分。其他投标人的价格分统一按照下列公式计算。</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jc w:val="left"/>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投标报价得分＝（评标基准价/投标报价）×价格权重×100。</w:t>
            </w:r>
          </w:p>
        </w:tc>
        <w:tc>
          <w:tcPr>
            <w:tcW w:w="1477"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textAlignment w:val="auto"/>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9707" w:type="dxa"/>
            <w:gridSpan w:val="5"/>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38" w:right="0"/>
              <w:textAlignment w:val="auto"/>
              <w:rPr>
                <w:rFonts w:hint="default" w:ascii="微软雅黑" w:hAnsi="微软雅黑" w:eastAsia="微软雅黑" w:cs="微软雅黑"/>
                <w:sz w:val="21"/>
                <w:szCs w:val="21"/>
                <w:lang w:val="en-US"/>
              </w:rPr>
            </w:pPr>
            <w:r>
              <w:rPr>
                <w:rFonts w:hint="eastAsia" w:ascii="微软雅黑" w:hAnsi="微软雅黑" w:eastAsia="微软雅黑" w:cs="微软雅黑"/>
                <w:b w:val="0"/>
                <w:bCs w:val="0"/>
                <w:color w:val="auto"/>
                <w:kern w:val="0"/>
                <w:sz w:val="21"/>
                <w:szCs w:val="21"/>
                <w:highlight w:val="yellow"/>
                <w:lang w:val="en-US" w:eastAsia="zh-CN" w:bidi="ar-SA"/>
              </w:rPr>
              <w:t>为保证系统兼容性和稳定性，投标人需提供医院智慧安防管理平台厂家（海康威视）出具的承诺函，承诺投标人所投产品能无缝接入医院智慧安防管理平台，实现与门诊楼现有存储集群备份。若未能提供承诺函，技术部分得0分，不再进入技术部分的评审。</w:t>
            </w:r>
          </w:p>
        </w:tc>
      </w:tr>
      <w:bookmarkEnd w:id="110"/>
      <w:bookmarkEnd w:id="111"/>
      <w:bookmarkEnd w:id="11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8" w:hRule="atLeast"/>
        </w:trPr>
        <w:tc>
          <w:tcPr>
            <w:tcW w:w="815"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265"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技术</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50</w:t>
            </w:r>
            <w:r>
              <w:rPr>
                <w:rFonts w:hint="eastAsia" w:ascii="微软雅黑" w:hAnsi="微软雅黑" w:eastAsia="微软雅黑" w:cs="微软雅黑"/>
                <w:sz w:val="21"/>
                <w:szCs w:val="21"/>
              </w:rPr>
              <w:t>%）</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20分</w:t>
            </w:r>
          </w:p>
        </w:tc>
        <w:tc>
          <w:tcPr>
            <w:tcW w:w="5025" w:type="dxa"/>
            <w:noWrap w:val="0"/>
            <w:vAlign w:val="center"/>
          </w:tcPr>
          <w:p>
            <w:pPr>
              <w:keepNext w:val="0"/>
              <w:keepLines w:val="0"/>
              <w:suppressLineNumbers w:val="0"/>
              <w:spacing w:before="0" w:beforeAutospacing="0" w:after="0" w:afterAutospacing="0" w:line="240" w:lineRule="auto"/>
              <w:ind w:left="0" w:right="0"/>
              <w:rPr>
                <w:rFonts w:hint="eastAsia" w:ascii="方正仿宋_GBK" w:hAnsi="宋体" w:eastAsia="方正仿宋_GBK" w:cs="Times New Roman"/>
                <w:b/>
                <w:bCs/>
                <w:sz w:val="21"/>
                <w:szCs w:val="21"/>
                <w:highlight w:val="yellow"/>
                <w:lang w:eastAsia="zh-CN"/>
              </w:rPr>
            </w:pPr>
            <w:r>
              <w:rPr>
                <w:rFonts w:hint="eastAsia" w:ascii="方正仿宋_GBK" w:hAnsi="宋体" w:eastAsia="方正仿宋_GBK" w:cs="Times New Roman"/>
                <w:b/>
                <w:bCs/>
                <w:sz w:val="21"/>
                <w:szCs w:val="21"/>
                <w:highlight w:val="yellow"/>
                <w:lang w:val="en-US" w:eastAsia="zh-CN"/>
              </w:rPr>
              <w:t>技术达标</w:t>
            </w:r>
          </w:p>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color w:val="auto"/>
                <w:spacing w:val="0"/>
                <w:kern w:val="0"/>
                <w:sz w:val="21"/>
                <w:szCs w:val="21"/>
                <w:highlight w:val="yellow"/>
                <w:lang w:val="en-US" w:eastAsia="zh-CN" w:bidi="ar-SA"/>
              </w:rPr>
            </w:pPr>
            <w:r>
              <w:rPr>
                <w:rFonts w:hint="eastAsia" w:ascii="微软雅黑" w:hAnsi="微软雅黑" w:eastAsia="微软雅黑" w:cs="微软雅黑"/>
                <w:sz w:val="21"/>
                <w:szCs w:val="21"/>
                <w:highlight w:val="yellow"/>
              </w:rPr>
              <w:t>投标</w:t>
            </w:r>
            <w:r>
              <w:rPr>
                <w:rFonts w:hint="eastAsia" w:ascii="微软雅黑" w:hAnsi="微软雅黑" w:eastAsia="微软雅黑" w:cs="微软雅黑"/>
                <w:sz w:val="21"/>
                <w:szCs w:val="21"/>
                <w:highlight w:val="yellow"/>
                <w:lang w:val="en-US" w:eastAsia="zh-CN"/>
              </w:rPr>
              <w:t>人响应文件</w:t>
            </w:r>
            <w:r>
              <w:rPr>
                <w:rFonts w:hint="eastAsia" w:ascii="微软雅黑" w:hAnsi="微软雅黑" w:eastAsia="微软雅黑" w:cs="微软雅黑"/>
                <w:sz w:val="21"/>
                <w:szCs w:val="21"/>
                <w:highlight w:val="yellow"/>
              </w:rPr>
              <w:t>不满足</w:t>
            </w:r>
            <w:r>
              <w:rPr>
                <w:rFonts w:hint="eastAsia" w:ascii="微软雅黑" w:hAnsi="微软雅黑" w:eastAsia="微软雅黑" w:cs="微软雅黑"/>
                <w:sz w:val="21"/>
                <w:szCs w:val="21"/>
                <w:highlight w:val="yellow"/>
                <w:lang w:val="en-US" w:eastAsia="zh-CN"/>
              </w:rPr>
              <w:t>采购</w:t>
            </w:r>
            <w:r>
              <w:rPr>
                <w:rFonts w:hint="eastAsia" w:ascii="微软雅黑" w:hAnsi="微软雅黑" w:eastAsia="微软雅黑" w:cs="微软雅黑"/>
                <w:sz w:val="21"/>
                <w:szCs w:val="21"/>
                <w:highlight w:val="yellow"/>
              </w:rPr>
              <w:t>文件</w:t>
            </w:r>
            <w:r>
              <w:rPr>
                <w:rFonts w:hint="eastAsia" w:ascii="微软雅黑" w:hAnsi="微软雅黑" w:eastAsia="微软雅黑" w:cs="微软雅黑"/>
                <w:sz w:val="21"/>
                <w:szCs w:val="21"/>
                <w:highlight w:val="yellow"/>
                <w:lang w:val="en-US" w:eastAsia="zh-CN"/>
              </w:rPr>
              <w:t>中硬件技术要求的普通条款（非带“*”符号的条款）</w:t>
            </w:r>
            <w:r>
              <w:rPr>
                <w:rFonts w:hint="eastAsia" w:ascii="微软雅黑" w:hAnsi="微软雅黑" w:eastAsia="微软雅黑" w:cs="微软雅黑"/>
                <w:sz w:val="21"/>
                <w:szCs w:val="21"/>
                <w:highlight w:val="yellow"/>
              </w:rPr>
              <w:t>的，每</w:t>
            </w:r>
            <w:r>
              <w:rPr>
                <w:rFonts w:hint="eastAsia" w:ascii="微软雅黑" w:hAnsi="微软雅黑" w:eastAsia="微软雅黑" w:cs="微软雅黑"/>
                <w:sz w:val="21"/>
                <w:szCs w:val="21"/>
                <w:highlight w:val="yellow"/>
                <w:lang w:val="en-US" w:eastAsia="zh-CN"/>
              </w:rPr>
              <w:t>有</w:t>
            </w:r>
            <w:r>
              <w:rPr>
                <w:rFonts w:hint="eastAsia" w:ascii="微软雅黑" w:hAnsi="微软雅黑" w:eastAsia="微软雅黑" w:cs="微软雅黑"/>
                <w:sz w:val="21"/>
                <w:szCs w:val="21"/>
                <w:highlight w:val="yellow"/>
              </w:rPr>
              <w:t>一条扣</w:t>
            </w:r>
            <w:r>
              <w:rPr>
                <w:rFonts w:hint="eastAsia" w:ascii="微软雅黑" w:hAnsi="微软雅黑" w:eastAsia="微软雅黑" w:cs="微软雅黑"/>
                <w:sz w:val="21"/>
                <w:szCs w:val="21"/>
                <w:highlight w:val="yellow"/>
                <w:lang w:val="en-US" w:eastAsia="zh-CN"/>
              </w:rPr>
              <w:t>3</w:t>
            </w:r>
            <w:r>
              <w:rPr>
                <w:rFonts w:hint="eastAsia" w:ascii="微软雅黑" w:hAnsi="微软雅黑" w:eastAsia="微软雅黑" w:cs="微软雅黑"/>
                <w:sz w:val="21"/>
                <w:szCs w:val="21"/>
                <w:highlight w:val="yellow"/>
              </w:rPr>
              <w:t>分</w:t>
            </w:r>
            <w:r>
              <w:rPr>
                <w:rFonts w:hint="eastAsia" w:ascii="微软雅黑" w:hAnsi="微软雅黑" w:eastAsia="微软雅黑" w:cs="微软雅黑"/>
                <w:sz w:val="21"/>
                <w:szCs w:val="21"/>
                <w:highlight w:val="yellow"/>
                <w:lang w:eastAsia="zh-CN"/>
              </w:rPr>
              <w:t>，</w:t>
            </w:r>
            <w:r>
              <w:rPr>
                <w:rFonts w:hint="eastAsia" w:ascii="微软雅黑" w:hAnsi="微软雅黑" w:eastAsia="微软雅黑" w:cs="微软雅黑"/>
                <w:sz w:val="21"/>
                <w:szCs w:val="21"/>
                <w:highlight w:val="yellow"/>
                <w:lang w:val="en-US" w:eastAsia="zh-CN"/>
              </w:rPr>
              <w:t>扣完为止</w:t>
            </w:r>
            <w:r>
              <w:rPr>
                <w:rFonts w:hint="eastAsia" w:ascii="微软雅黑" w:hAnsi="微软雅黑" w:eastAsia="微软雅黑" w:cs="微软雅黑"/>
                <w:sz w:val="21"/>
                <w:szCs w:val="21"/>
                <w:highlight w:val="yellow"/>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sz w:val="21"/>
                <w:szCs w:val="21"/>
                <w:highlight w:val="yellow"/>
                <w:lang w:val="en-US" w:eastAsia="zh-CN"/>
              </w:rPr>
            </w:pPr>
            <w:r>
              <w:rPr>
                <w:rFonts w:hint="eastAsia" w:ascii="微软雅黑" w:hAnsi="微软雅黑" w:eastAsia="微软雅黑" w:cs="微软雅黑"/>
                <w:sz w:val="21"/>
                <w:szCs w:val="21"/>
                <w:highlight w:val="yellow"/>
              </w:rPr>
              <w:t>投标</w:t>
            </w:r>
            <w:r>
              <w:rPr>
                <w:rFonts w:hint="eastAsia" w:ascii="微软雅黑" w:hAnsi="微软雅黑" w:eastAsia="微软雅黑" w:cs="微软雅黑"/>
                <w:sz w:val="21"/>
                <w:szCs w:val="21"/>
                <w:highlight w:val="yellow"/>
                <w:lang w:val="en-US" w:eastAsia="zh-CN"/>
              </w:rPr>
              <w:t>人响应文件</w:t>
            </w:r>
            <w:r>
              <w:rPr>
                <w:rFonts w:hint="eastAsia" w:ascii="微软雅黑" w:hAnsi="微软雅黑" w:eastAsia="微软雅黑" w:cs="微软雅黑"/>
                <w:sz w:val="21"/>
                <w:szCs w:val="21"/>
                <w:highlight w:val="yellow"/>
              </w:rPr>
              <w:t>不满足</w:t>
            </w:r>
            <w:r>
              <w:rPr>
                <w:rFonts w:hint="eastAsia" w:ascii="微软雅黑" w:hAnsi="微软雅黑" w:eastAsia="微软雅黑" w:cs="微软雅黑"/>
                <w:sz w:val="21"/>
                <w:szCs w:val="21"/>
                <w:highlight w:val="yellow"/>
                <w:lang w:val="en-US" w:eastAsia="zh-CN"/>
              </w:rPr>
              <w:t>采购</w:t>
            </w:r>
            <w:r>
              <w:rPr>
                <w:rFonts w:hint="eastAsia" w:ascii="微软雅黑" w:hAnsi="微软雅黑" w:eastAsia="微软雅黑" w:cs="微软雅黑"/>
                <w:sz w:val="21"/>
                <w:szCs w:val="21"/>
                <w:highlight w:val="yellow"/>
              </w:rPr>
              <w:t>文件</w:t>
            </w:r>
            <w:r>
              <w:rPr>
                <w:rFonts w:hint="eastAsia" w:ascii="微软雅黑" w:hAnsi="微软雅黑" w:eastAsia="微软雅黑" w:cs="微软雅黑"/>
                <w:sz w:val="21"/>
                <w:szCs w:val="21"/>
                <w:highlight w:val="yellow"/>
                <w:lang w:val="en-US" w:eastAsia="zh-CN"/>
              </w:rPr>
              <w:t>中硬件技术要求的重要条款（带“*”符号的条款）</w:t>
            </w:r>
            <w:r>
              <w:rPr>
                <w:rFonts w:hint="eastAsia" w:ascii="微软雅黑" w:hAnsi="微软雅黑" w:eastAsia="微软雅黑" w:cs="微软雅黑"/>
                <w:sz w:val="21"/>
                <w:szCs w:val="21"/>
                <w:highlight w:val="yellow"/>
              </w:rPr>
              <w:t>的，每</w:t>
            </w:r>
            <w:r>
              <w:rPr>
                <w:rFonts w:hint="eastAsia" w:ascii="微软雅黑" w:hAnsi="微软雅黑" w:eastAsia="微软雅黑" w:cs="微软雅黑"/>
                <w:sz w:val="21"/>
                <w:szCs w:val="21"/>
                <w:highlight w:val="yellow"/>
                <w:lang w:val="en-US" w:eastAsia="zh-CN"/>
              </w:rPr>
              <w:t>有</w:t>
            </w:r>
            <w:r>
              <w:rPr>
                <w:rFonts w:hint="eastAsia" w:ascii="微软雅黑" w:hAnsi="微软雅黑" w:eastAsia="微软雅黑" w:cs="微软雅黑"/>
                <w:sz w:val="21"/>
                <w:szCs w:val="21"/>
                <w:highlight w:val="yellow"/>
              </w:rPr>
              <w:t>一条扣</w:t>
            </w:r>
            <w:r>
              <w:rPr>
                <w:rFonts w:hint="eastAsia" w:ascii="微软雅黑" w:hAnsi="微软雅黑" w:eastAsia="微软雅黑" w:cs="微软雅黑"/>
                <w:sz w:val="21"/>
                <w:szCs w:val="21"/>
                <w:highlight w:val="yellow"/>
                <w:lang w:val="en-US" w:eastAsia="zh-CN"/>
              </w:rPr>
              <w:t>5</w:t>
            </w:r>
            <w:r>
              <w:rPr>
                <w:rFonts w:hint="eastAsia" w:ascii="微软雅黑" w:hAnsi="微软雅黑" w:eastAsia="微软雅黑" w:cs="微软雅黑"/>
                <w:sz w:val="21"/>
                <w:szCs w:val="21"/>
                <w:highlight w:val="yellow"/>
              </w:rPr>
              <w:t>分。</w:t>
            </w:r>
          </w:p>
        </w:tc>
        <w:tc>
          <w:tcPr>
            <w:tcW w:w="1477"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sz w:val="21"/>
                <w:szCs w:val="21"/>
                <w:highlight w:val="yellow"/>
                <w:lang w:val="en-US" w:eastAsia="zh-CN"/>
              </w:rPr>
            </w:pPr>
            <w:r>
              <w:rPr>
                <w:rFonts w:hint="eastAsia" w:ascii="微软雅黑" w:hAnsi="微软雅黑" w:eastAsia="微软雅黑" w:cs="微软雅黑"/>
                <w:color w:val="auto"/>
                <w:spacing w:val="0"/>
                <w:kern w:val="0"/>
                <w:sz w:val="21"/>
                <w:szCs w:val="21"/>
                <w:highlight w:val="yellow"/>
                <w:lang w:val="en-US" w:eastAsia="zh-CN" w:bidi="ar-SA"/>
              </w:rPr>
              <w:t>技术需求所有条款的响应投标人须提供官网截图并盖设备制造厂商公章确认作为证明材料，部分条款的响应须提供公安部检测报告。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trPr>
        <w:tc>
          <w:tcPr>
            <w:tcW w:w="81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p>
        </w:tc>
        <w:tc>
          <w:tcPr>
            <w:tcW w:w="126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highlight w:val="yellow"/>
                <w:lang w:val="en-US" w:eastAsia="zh-CN"/>
              </w:rPr>
              <w:t>10分</w:t>
            </w:r>
          </w:p>
        </w:tc>
        <w:tc>
          <w:tcPr>
            <w:tcW w:w="5025" w:type="dxa"/>
            <w:noWrap w:val="0"/>
            <w:vAlign w:val="center"/>
          </w:tcPr>
          <w:p>
            <w:pPr>
              <w:pStyle w:val="16"/>
              <w:keepNext w:val="0"/>
              <w:keepLines w:val="0"/>
              <w:suppressLineNumbers w:val="0"/>
              <w:spacing w:before="0" w:beforeAutospacing="0" w:after="0" w:afterAutospacing="0" w:line="240" w:lineRule="auto"/>
              <w:ind w:left="0" w:right="0" w:firstLine="0"/>
              <w:rPr>
                <w:rFonts w:hint="eastAsia" w:ascii="微软雅黑" w:hAnsi="微软雅黑" w:eastAsia="微软雅黑" w:cs="微软雅黑"/>
                <w:b/>
                <w:bCs/>
                <w:color w:val="auto"/>
                <w:kern w:val="0"/>
                <w:sz w:val="21"/>
                <w:szCs w:val="21"/>
                <w:highlight w:val="none"/>
                <w:lang w:eastAsia="zh-CN"/>
              </w:rPr>
            </w:pPr>
            <w:r>
              <w:rPr>
                <w:rFonts w:hint="eastAsia" w:ascii="微软雅黑" w:hAnsi="微软雅黑" w:eastAsia="微软雅黑" w:cs="微软雅黑"/>
                <w:b/>
                <w:bCs/>
                <w:color w:val="auto"/>
                <w:kern w:val="0"/>
                <w:sz w:val="21"/>
                <w:szCs w:val="21"/>
                <w:highlight w:val="none"/>
                <w:lang w:val="en-US" w:eastAsia="zh-CN"/>
              </w:rPr>
              <w:t>施工</w:t>
            </w:r>
            <w:r>
              <w:rPr>
                <w:rFonts w:hint="eastAsia" w:ascii="微软雅黑" w:hAnsi="微软雅黑" w:eastAsia="微软雅黑" w:cs="微软雅黑"/>
                <w:b/>
                <w:bCs/>
                <w:color w:val="auto"/>
                <w:kern w:val="0"/>
                <w:sz w:val="21"/>
                <w:szCs w:val="21"/>
                <w:highlight w:val="none"/>
              </w:rPr>
              <w:t>方案</w:t>
            </w:r>
          </w:p>
          <w:p>
            <w:pPr>
              <w:pStyle w:val="16"/>
              <w:keepNext w:val="0"/>
              <w:keepLines w:val="0"/>
              <w:suppressLineNumbers w:val="0"/>
              <w:spacing w:before="0" w:beforeAutospacing="0" w:after="0" w:afterAutospacing="0" w:line="240" w:lineRule="auto"/>
              <w:ind w:left="0" w:right="0" w:firstLine="0"/>
              <w:rPr>
                <w:rFonts w:hint="eastAsia" w:ascii="微软雅黑" w:hAnsi="微软雅黑" w:eastAsia="微软雅黑" w:cs="微软雅黑"/>
                <w:color w:val="auto"/>
                <w:kern w:val="0"/>
                <w:sz w:val="21"/>
                <w:szCs w:val="21"/>
                <w:highlight w:val="none"/>
                <w:lang w:eastAsia="zh-CN"/>
              </w:rPr>
            </w:pPr>
            <w:r>
              <w:rPr>
                <w:rFonts w:hint="eastAsia" w:ascii="微软雅黑" w:hAnsi="微软雅黑" w:eastAsia="微软雅黑" w:cs="微软雅黑"/>
                <w:color w:val="auto"/>
                <w:kern w:val="0"/>
                <w:sz w:val="21"/>
                <w:szCs w:val="21"/>
                <w:highlight w:val="none"/>
              </w:rPr>
              <w:t>根据各</w:t>
            </w:r>
            <w:r>
              <w:rPr>
                <w:rFonts w:hint="eastAsia" w:ascii="微软雅黑" w:hAnsi="微软雅黑" w:eastAsia="微软雅黑" w:cs="微软雅黑"/>
                <w:color w:val="auto"/>
                <w:kern w:val="0"/>
                <w:sz w:val="21"/>
                <w:szCs w:val="21"/>
                <w:highlight w:val="none"/>
                <w:lang w:eastAsia="zh-CN"/>
              </w:rPr>
              <w:t>投标人</w:t>
            </w:r>
            <w:r>
              <w:rPr>
                <w:rFonts w:hint="eastAsia" w:ascii="微软雅黑" w:hAnsi="微软雅黑" w:eastAsia="微软雅黑" w:cs="微软雅黑"/>
                <w:color w:val="auto"/>
                <w:kern w:val="0"/>
                <w:sz w:val="21"/>
                <w:szCs w:val="21"/>
                <w:highlight w:val="none"/>
              </w:rPr>
              <w:t>提供的</w:t>
            </w:r>
            <w:r>
              <w:rPr>
                <w:rFonts w:hint="eastAsia" w:ascii="微软雅黑" w:hAnsi="微软雅黑" w:eastAsia="微软雅黑" w:cs="微软雅黑"/>
                <w:color w:val="auto"/>
                <w:kern w:val="0"/>
                <w:sz w:val="21"/>
                <w:szCs w:val="21"/>
                <w:highlight w:val="none"/>
                <w:lang w:val="en-US" w:eastAsia="zh-CN"/>
              </w:rPr>
              <w:t>施工</w:t>
            </w:r>
            <w:r>
              <w:rPr>
                <w:rFonts w:hint="eastAsia" w:ascii="微软雅黑" w:hAnsi="微软雅黑" w:eastAsia="微软雅黑" w:cs="微软雅黑"/>
                <w:color w:val="auto"/>
                <w:kern w:val="0"/>
                <w:sz w:val="21"/>
                <w:szCs w:val="21"/>
                <w:highlight w:val="none"/>
              </w:rPr>
              <w:t>方案，审查其完备性、可行性、合理性、适用性</w:t>
            </w:r>
            <w:r>
              <w:rPr>
                <w:rFonts w:hint="eastAsia" w:ascii="微软雅黑" w:hAnsi="微软雅黑" w:eastAsia="微软雅黑" w:cs="微软雅黑"/>
                <w:color w:val="auto"/>
                <w:kern w:val="0"/>
                <w:sz w:val="21"/>
                <w:szCs w:val="21"/>
                <w:highlight w:val="none"/>
                <w:lang w:eastAsia="zh-CN"/>
              </w:rPr>
              <w:t>，按照优劣评分：</w:t>
            </w:r>
          </w:p>
          <w:p>
            <w:pPr>
              <w:pStyle w:val="16"/>
              <w:keepNext w:val="0"/>
              <w:keepLines w:val="0"/>
              <w:suppressLineNumbers w:val="0"/>
              <w:spacing w:before="0" w:beforeAutospacing="0" w:after="0" w:afterAutospacing="0" w:line="240" w:lineRule="auto"/>
              <w:ind w:left="0" w:right="0" w:firstLine="0"/>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A档</w:t>
            </w:r>
            <w:r>
              <w:rPr>
                <w:rFonts w:hint="eastAsia" w:ascii="微软雅黑" w:hAnsi="微软雅黑" w:eastAsia="微软雅黑" w:cs="微软雅黑"/>
                <w:color w:val="auto"/>
                <w:kern w:val="0"/>
                <w:sz w:val="21"/>
                <w:szCs w:val="21"/>
              </w:rPr>
              <w:t>：内容全面完整，条理清晰，针对性强、可行性强，得</w:t>
            </w:r>
            <w:r>
              <w:rPr>
                <w:rFonts w:hint="eastAsia" w:ascii="微软雅黑" w:hAnsi="微软雅黑" w:eastAsia="微软雅黑" w:cs="微软雅黑"/>
                <w:color w:val="auto"/>
                <w:kern w:val="0"/>
                <w:sz w:val="21"/>
                <w:szCs w:val="21"/>
                <w:lang w:val="en-US" w:eastAsia="zh-CN"/>
              </w:rPr>
              <w:t>10</w:t>
            </w:r>
            <w:r>
              <w:rPr>
                <w:rFonts w:hint="eastAsia" w:ascii="微软雅黑" w:hAnsi="微软雅黑" w:eastAsia="微软雅黑" w:cs="微软雅黑"/>
                <w:color w:val="auto"/>
                <w:kern w:val="0"/>
                <w:sz w:val="21"/>
                <w:szCs w:val="21"/>
              </w:rPr>
              <w:t xml:space="preserve">分；         </w:t>
            </w:r>
          </w:p>
          <w:p>
            <w:pPr>
              <w:pStyle w:val="16"/>
              <w:keepNext w:val="0"/>
              <w:keepLines w:val="0"/>
              <w:suppressLineNumbers w:val="0"/>
              <w:spacing w:before="0" w:beforeAutospacing="0" w:after="0" w:afterAutospacing="0" w:line="240" w:lineRule="auto"/>
              <w:ind w:left="0" w:right="0" w:firstLine="0"/>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B档</w:t>
            </w:r>
            <w:r>
              <w:rPr>
                <w:rFonts w:hint="eastAsia" w:ascii="微软雅黑" w:hAnsi="微软雅黑" w:eastAsia="微软雅黑" w:cs="微软雅黑"/>
                <w:color w:val="auto"/>
                <w:kern w:val="0"/>
                <w:sz w:val="21"/>
                <w:szCs w:val="21"/>
              </w:rPr>
              <w:t>：内容基本完整，条理较清晰，针对性较强、可行性较强，得</w:t>
            </w:r>
            <w:r>
              <w:rPr>
                <w:rFonts w:hint="eastAsia" w:ascii="微软雅黑" w:hAnsi="微软雅黑" w:eastAsia="微软雅黑" w:cs="微软雅黑"/>
                <w:color w:val="auto"/>
                <w:kern w:val="0"/>
                <w:sz w:val="21"/>
                <w:szCs w:val="21"/>
                <w:lang w:val="en-US" w:eastAsia="zh-CN"/>
              </w:rPr>
              <w:t>6</w:t>
            </w:r>
            <w:r>
              <w:rPr>
                <w:rFonts w:hint="eastAsia" w:ascii="微软雅黑" w:hAnsi="微软雅黑" w:eastAsia="微软雅黑" w:cs="微软雅黑"/>
                <w:color w:val="auto"/>
                <w:kern w:val="0"/>
                <w:sz w:val="21"/>
                <w:szCs w:val="21"/>
              </w:rPr>
              <w:t>分；</w:t>
            </w:r>
          </w:p>
          <w:p>
            <w:pPr>
              <w:pStyle w:val="16"/>
              <w:keepNext w:val="0"/>
              <w:keepLines w:val="0"/>
              <w:suppressLineNumbers w:val="0"/>
              <w:spacing w:before="0" w:beforeAutospacing="0" w:after="0" w:afterAutospacing="0" w:line="240" w:lineRule="auto"/>
              <w:ind w:left="0" w:right="0" w:firstLine="0"/>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C档</w:t>
            </w:r>
            <w:r>
              <w:rPr>
                <w:rFonts w:hint="eastAsia" w:ascii="微软雅黑" w:hAnsi="微软雅黑" w:eastAsia="微软雅黑" w:cs="微软雅黑"/>
                <w:color w:val="auto"/>
                <w:kern w:val="0"/>
                <w:sz w:val="21"/>
                <w:szCs w:val="21"/>
              </w:rPr>
              <w:t>：内容不完整，条理一般，针对性一般、可行性一般，实用性一般，得</w:t>
            </w:r>
            <w:r>
              <w:rPr>
                <w:rFonts w:hint="eastAsia" w:ascii="微软雅黑" w:hAnsi="微软雅黑" w:eastAsia="微软雅黑" w:cs="微软雅黑"/>
                <w:color w:val="auto"/>
                <w:kern w:val="0"/>
                <w:sz w:val="21"/>
                <w:szCs w:val="21"/>
                <w:lang w:val="en-US" w:eastAsia="zh-CN"/>
              </w:rPr>
              <w:t>3</w:t>
            </w:r>
            <w:r>
              <w:rPr>
                <w:rFonts w:hint="eastAsia" w:ascii="微软雅黑" w:hAnsi="微软雅黑" w:eastAsia="微软雅黑" w:cs="微软雅黑"/>
                <w:color w:val="auto"/>
                <w:kern w:val="0"/>
                <w:sz w:val="21"/>
                <w:szCs w:val="21"/>
              </w:rPr>
              <w:t>分；</w:t>
            </w:r>
          </w:p>
          <w:p>
            <w:pPr>
              <w:keepNext w:val="0"/>
              <w:keepLines w:val="0"/>
              <w:suppressLineNumbers w:val="0"/>
              <w:spacing w:before="0" w:beforeAutospacing="0" w:after="0" w:afterAutospacing="0" w:line="240" w:lineRule="auto"/>
              <w:ind w:left="0" w:right="0"/>
              <w:rPr>
                <w:rFonts w:hint="eastAsia" w:ascii="方正仿宋_GBK" w:hAnsi="宋体" w:eastAsia="方正仿宋_GBK" w:cs="Times New Roman"/>
                <w:sz w:val="21"/>
                <w:szCs w:val="21"/>
                <w:lang w:val="en-US" w:eastAsia="zh-Hans"/>
              </w:rPr>
            </w:pPr>
            <w:r>
              <w:rPr>
                <w:rFonts w:hint="eastAsia" w:ascii="微软雅黑" w:hAnsi="微软雅黑" w:eastAsia="微软雅黑" w:cs="微软雅黑"/>
                <w:b/>
                <w:bCs/>
                <w:color w:val="auto"/>
                <w:kern w:val="0"/>
                <w:sz w:val="21"/>
                <w:szCs w:val="21"/>
              </w:rPr>
              <w:t>D档</w:t>
            </w:r>
            <w:r>
              <w:rPr>
                <w:rFonts w:hint="eastAsia" w:ascii="微软雅黑" w:hAnsi="微软雅黑" w:eastAsia="微软雅黑" w:cs="微软雅黑"/>
                <w:color w:val="auto"/>
                <w:kern w:val="0"/>
                <w:sz w:val="21"/>
                <w:szCs w:val="21"/>
              </w:rPr>
              <w:t>：内容缺失，条理混乱，无针对性、可行性，无实用性或未提供得0分。</w:t>
            </w:r>
          </w:p>
        </w:tc>
        <w:tc>
          <w:tcPr>
            <w:tcW w:w="1477" w:type="dxa"/>
            <w:vMerge w:val="restart"/>
            <w:noWrap w:val="0"/>
            <w:vAlign w:val="center"/>
          </w:tcPr>
          <w:p>
            <w:pPr>
              <w:pStyle w:val="16"/>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textAlignment w:val="baseline"/>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施工方案、售后服务方案、质量管理措施的格式内容自拟，并加盖投标人公章确认。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trPr>
        <w:tc>
          <w:tcPr>
            <w:tcW w:w="81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szCs w:val="20"/>
              </w:rPr>
            </w:pPr>
          </w:p>
        </w:tc>
        <w:tc>
          <w:tcPr>
            <w:tcW w:w="126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szCs w:val="20"/>
              </w:rPr>
            </w:pP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highlight w:val="yellow"/>
                <w:lang w:val="en-US" w:eastAsia="zh-CN"/>
              </w:rPr>
              <w:t>10分</w:t>
            </w:r>
          </w:p>
        </w:tc>
        <w:tc>
          <w:tcPr>
            <w:tcW w:w="5025" w:type="dxa"/>
            <w:noWrap w:val="0"/>
            <w:vAlign w:val="center"/>
          </w:tcPr>
          <w:p>
            <w:pPr>
              <w:keepNext w:val="0"/>
              <w:keepLines w:val="0"/>
              <w:suppressLineNumbers w:val="0"/>
              <w:spacing w:before="0" w:beforeAutospacing="0" w:after="0" w:afterAutospacing="0" w:line="240" w:lineRule="auto"/>
              <w:ind w:left="0" w:right="0"/>
              <w:rPr>
                <w:rFonts w:hint="eastAsia" w:ascii="微软雅黑" w:hAnsi="微软雅黑" w:eastAsia="微软雅黑" w:cs="微软雅黑"/>
                <w:b/>
                <w:bCs/>
                <w:color w:val="auto"/>
                <w:spacing w:val="0"/>
                <w:kern w:val="0"/>
                <w:sz w:val="21"/>
                <w:szCs w:val="21"/>
                <w:highlight w:val="none"/>
                <w:lang w:val="en-US" w:eastAsia="zh-CN" w:bidi="ar-SA"/>
              </w:rPr>
            </w:pPr>
            <w:r>
              <w:rPr>
                <w:rFonts w:hint="eastAsia" w:ascii="微软雅黑" w:hAnsi="微软雅黑" w:eastAsia="微软雅黑" w:cs="微软雅黑"/>
                <w:b/>
                <w:bCs/>
                <w:color w:val="auto"/>
                <w:spacing w:val="0"/>
                <w:kern w:val="0"/>
                <w:sz w:val="21"/>
                <w:szCs w:val="21"/>
                <w:highlight w:val="none"/>
                <w:lang w:val="en-US" w:eastAsia="zh-CN" w:bidi="ar-SA"/>
              </w:rPr>
              <w:t>售后服务方案</w:t>
            </w:r>
          </w:p>
          <w:p>
            <w:pPr>
              <w:keepNext w:val="0"/>
              <w:keepLines w:val="0"/>
              <w:suppressLineNumbers w:val="0"/>
              <w:spacing w:before="0" w:beforeAutospacing="0" w:after="0" w:afterAutospacing="0" w:line="240" w:lineRule="auto"/>
              <w:ind w:left="0" w:right="0" w:firstLine="28"/>
              <w:rPr>
                <w:rFonts w:hint="eastAsia" w:ascii="微软雅黑" w:hAnsi="微软雅黑" w:eastAsia="微软雅黑" w:cs="微软雅黑"/>
                <w:color w:val="auto"/>
                <w:spacing w:val="0"/>
                <w:kern w:val="0"/>
                <w:sz w:val="21"/>
                <w:szCs w:val="21"/>
                <w:highlight w:val="none"/>
                <w:lang w:val="en-US" w:eastAsia="zh-CN" w:bidi="ar-SA"/>
              </w:rPr>
            </w:pPr>
            <w:r>
              <w:rPr>
                <w:rFonts w:hint="eastAsia" w:ascii="微软雅黑" w:hAnsi="微软雅黑" w:eastAsia="微软雅黑" w:cs="微软雅黑"/>
                <w:color w:val="auto"/>
                <w:spacing w:val="0"/>
                <w:kern w:val="0"/>
                <w:sz w:val="21"/>
                <w:szCs w:val="21"/>
                <w:highlight w:val="none"/>
                <w:lang w:val="en-US" w:eastAsia="zh-CN" w:bidi="ar-SA"/>
              </w:rPr>
              <w:t>方案中有具体的售后服务内容等，审查其可行性、创新性、适用性，按照优劣评分：</w:t>
            </w:r>
          </w:p>
          <w:p>
            <w:pPr>
              <w:keepNext w:val="0"/>
              <w:keepLines w:val="0"/>
              <w:suppressLineNumbers w:val="0"/>
              <w:spacing w:before="0" w:beforeAutospacing="0" w:after="0" w:afterAutospacing="0" w:line="240" w:lineRule="auto"/>
              <w:ind w:left="0" w:right="0" w:firstLine="28"/>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A档</w:t>
            </w:r>
            <w:r>
              <w:rPr>
                <w:rFonts w:hint="eastAsia" w:ascii="微软雅黑" w:hAnsi="微软雅黑" w:eastAsia="微软雅黑" w:cs="微软雅黑"/>
                <w:color w:val="auto"/>
                <w:kern w:val="0"/>
                <w:sz w:val="21"/>
                <w:szCs w:val="21"/>
              </w:rPr>
              <w:t>：内容全面完整，条理清晰，可行性强、适用性强，得</w:t>
            </w:r>
            <w:r>
              <w:rPr>
                <w:rFonts w:hint="eastAsia" w:ascii="微软雅黑" w:hAnsi="微软雅黑" w:eastAsia="微软雅黑" w:cs="微软雅黑"/>
                <w:color w:val="auto"/>
                <w:kern w:val="0"/>
                <w:sz w:val="21"/>
                <w:szCs w:val="21"/>
                <w:lang w:val="en-US" w:eastAsia="zh-CN"/>
              </w:rPr>
              <w:t>10</w:t>
            </w:r>
            <w:r>
              <w:rPr>
                <w:rFonts w:hint="eastAsia" w:ascii="微软雅黑" w:hAnsi="微软雅黑" w:eastAsia="微软雅黑" w:cs="微软雅黑"/>
                <w:color w:val="auto"/>
                <w:kern w:val="0"/>
                <w:sz w:val="21"/>
                <w:szCs w:val="21"/>
              </w:rPr>
              <w:t xml:space="preserve">分；         </w:t>
            </w:r>
          </w:p>
          <w:p>
            <w:pPr>
              <w:keepNext w:val="0"/>
              <w:keepLines w:val="0"/>
              <w:suppressLineNumbers w:val="0"/>
              <w:spacing w:before="0" w:beforeAutospacing="0" w:after="0" w:afterAutospacing="0" w:line="240" w:lineRule="auto"/>
              <w:ind w:left="0" w:right="0" w:firstLine="28"/>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B档</w:t>
            </w:r>
            <w:r>
              <w:rPr>
                <w:rFonts w:hint="eastAsia" w:ascii="微软雅黑" w:hAnsi="微软雅黑" w:eastAsia="微软雅黑" w:cs="微软雅黑"/>
                <w:color w:val="auto"/>
                <w:kern w:val="0"/>
                <w:sz w:val="21"/>
                <w:szCs w:val="21"/>
              </w:rPr>
              <w:t>：内容基本完整，条理较清晰，可行性较强，适用性较强，得</w:t>
            </w:r>
            <w:r>
              <w:rPr>
                <w:rFonts w:hint="eastAsia" w:ascii="微软雅黑" w:hAnsi="微软雅黑" w:eastAsia="微软雅黑" w:cs="微软雅黑"/>
                <w:color w:val="auto"/>
                <w:kern w:val="0"/>
                <w:sz w:val="21"/>
                <w:szCs w:val="21"/>
                <w:lang w:val="en-US" w:eastAsia="zh-CN"/>
              </w:rPr>
              <w:t>6</w:t>
            </w:r>
            <w:r>
              <w:rPr>
                <w:rFonts w:hint="eastAsia" w:ascii="微软雅黑" w:hAnsi="微软雅黑" w:eastAsia="微软雅黑" w:cs="微软雅黑"/>
                <w:color w:val="auto"/>
                <w:kern w:val="0"/>
                <w:sz w:val="21"/>
                <w:szCs w:val="21"/>
              </w:rPr>
              <w:t>分；</w:t>
            </w:r>
          </w:p>
          <w:p>
            <w:pPr>
              <w:pStyle w:val="16"/>
              <w:keepNext w:val="0"/>
              <w:keepLines w:val="0"/>
              <w:suppressLineNumbers w:val="0"/>
              <w:spacing w:before="0" w:beforeAutospacing="0" w:after="0" w:afterAutospacing="0" w:line="240" w:lineRule="auto"/>
              <w:ind w:left="0" w:right="0" w:firstLine="0"/>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C档</w:t>
            </w:r>
            <w:r>
              <w:rPr>
                <w:rFonts w:hint="eastAsia" w:ascii="微软雅黑" w:hAnsi="微软雅黑" w:eastAsia="微软雅黑" w:cs="微软雅黑"/>
                <w:color w:val="auto"/>
                <w:kern w:val="0"/>
                <w:sz w:val="21"/>
                <w:szCs w:val="21"/>
              </w:rPr>
              <w:t>：内容不完整，条理一般，针对性一般、可行性一般，实用性一般，得</w:t>
            </w:r>
            <w:r>
              <w:rPr>
                <w:rFonts w:hint="eastAsia" w:ascii="微软雅黑" w:hAnsi="微软雅黑" w:eastAsia="微软雅黑" w:cs="微软雅黑"/>
                <w:color w:val="auto"/>
                <w:kern w:val="0"/>
                <w:sz w:val="21"/>
                <w:szCs w:val="21"/>
                <w:lang w:val="en-US" w:eastAsia="zh-CN"/>
              </w:rPr>
              <w:t>3</w:t>
            </w:r>
            <w:r>
              <w:rPr>
                <w:rFonts w:hint="eastAsia" w:ascii="微软雅黑" w:hAnsi="微软雅黑" w:eastAsia="微软雅黑" w:cs="微软雅黑"/>
                <w:color w:val="auto"/>
                <w:kern w:val="0"/>
                <w:sz w:val="21"/>
                <w:szCs w:val="21"/>
              </w:rPr>
              <w:t>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b/>
                <w:bCs/>
                <w:color w:val="auto"/>
                <w:kern w:val="0"/>
                <w:sz w:val="21"/>
                <w:szCs w:val="21"/>
              </w:rPr>
              <w:t>D档</w:t>
            </w:r>
            <w:r>
              <w:rPr>
                <w:rFonts w:hint="eastAsia" w:ascii="微软雅黑" w:hAnsi="微软雅黑" w:eastAsia="微软雅黑" w:cs="微软雅黑"/>
                <w:color w:val="auto"/>
                <w:kern w:val="0"/>
                <w:sz w:val="21"/>
                <w:szCs w:val="21"/>
              </w:rPr>
              <w:t>：内容缺失，条理混乱，无针对性、可行性，无实用性或未提供得0分。</w:t>
            </w:r>
          </w:p>
        </w:tc>
        <w:tc>
          <w:tcPr>
            <w:tcW w:w="1477"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trPr>
        <w:tc>
          <w:tcPr>
            <w:tcW w:w="81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szCs w:val="20"/>
              </w:rPr>
            </w:pPr>
          </w:p>
        </w:tc>
        <w:tc>
          <w:tcPr>
            <w:tcW w:w="126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szCs w:val="20"/>
              </w:rPr>
            </w:pP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微软雅黑" w:hAnsi="微软雅黑" w:eastAsia="微软雅黑" w:cs="微软雅黑"/>
                <w:color w:val="000000"/>
                <w:sz w:val="21"/>
                <w:szCs w:val="21"/>
                <w:lang w:val="en-US" w:eastAsia="zh-CN"/>
              </w:rPr>
            </w:pPr>
            <w:bookmarkStart w:id="213" w:name="_GoBack"/>
            <w:r>
              <w:rPr>
                <w:rFonts w:hint="eastAsia" w:ascii="微软雅黑" w:hAnsi="微软雅黑" w:eastAsia="微软雅黑" w:cs="微软雅黑"/>
                <w:color w:val="000000"/>
                <w:sz w:val="21"/>
                <w:szCs w:val="21"/>
                <w:highlight w:val="yellow"/>
                <w:lang w:val="en-US" w:eastAsia="zh-CN"/>
              </w:rPr>
              <w:t>10分</w:t>
            </w:r>
            <w:bookmarkEnd w:id="213"/>
          </w:p>
        </w:tc>
        <w:tc>
          <w:tcPr>
            <w:tcW w:w="5025" w:type="dxa"/>
            <w:noWrap w:val="0"/>
            <w:vAlign w:val="center"/>
          </w:tcPr>
          <w:p>
            <w:pPr>
              <w:keepNext w:val="0"/>
              <w:keepLines w:val="0"/>
              <w:suppressLineNumbers w:val="0"/>
              <w:spacing w:before="0" w:beforeAutospacing="0" w:after="0" w:afterAutospacing="0" w:line="240" w:lineRule="auto"/>
              <w:ind w:left="0" w:right="0" w:firstLine="28"/>
              <w:jc w:val="left"/>
              <w:rPr>
                <w:rFonts w:hint="eastAsia" w:ascii="微软雅黑" w:hAnsi="微软雅黑" w:eastAsia="微软雅黑" w:cs="微软雅黑"/>
                <w:b/>
                <w:bCs/>
                <w:color w:val="auto"/>
                <w:spacing w:val="0"/>
                <w:kern w:val="0"/>
                <w:sz w:val="21"/>
                <w:szCs w:val="21"/>
                <w:highlight w:val="none"/>
                <w:lang w:val="en-US" w:eastAsia="zh-CN" w:bidi="ar-SA"/>
              </w:rPr>
            </w:pPr>
            <w:r>
              <w:rPr>
                <w:rFonts w:hint="eastAsia" w:ascii="微软雅黑" w:hAnsi="微软雅黑" w:eastAsia="微软雅黑" w:cs="微软雅黑"/>
                <w:b/>
                <w:bCs/>
                <w:color w:val="auto"/>
                <w:spacing w:val="0"/>
                <w:kern w:val="0"/>
                <w:sz w:val="21"/>
                <w:szCs w:val="21"/>
                <w:highlight w:val="none"/>
                <w:lang w:val="en-US" w:eastAsia="zh-CN" w:bidi="ar-SA"/>
              </w:rPr>
              <w:t>质量管理措施</w:t>
            </w:r>
          </w:p>
          <w:p>
            <w:pPr>
              <w:keepNext w:val="0"/>
              <w:keepLines w:val="0"/>
              <w:suppressLineNumbers w:val="0"/>
              <w:spacing w:before="0" w:beforeAutospacing="0" w:after="0" w:afterAutospacing="0" w:line="240" w:lineRule="auto"/>
              <w:ind w:left="0" w:right="0" w:firstLine="28"/>
              <w:jc w:val="left"/>
              <w:rPr>
                <w:rFonts w:hint="eastAsia" w:ascii="微软雅黑" w:hAnsi="微软雅黑" w:eastAsia="微软雅黑" w:cs="微软雅黑"/>
                <w:color w:val="auto"/>
                <w:spacing w:val="0"/>
                <w:kern w:val="0"/>
                <w:sz w:val="21"/>
                <w:szCs w:val="21"/>
                <w:highlight w:val="none"/>
                <w:lang w:val="en-US" w:eastAsia="zh-CN" w:bidi="ar-SA"/>
              </w:rPr>
            </w:pPr>
            <w:r>
              <w:rPr>
                <w:rFonts w:hint="eastAsia" w:ascii="微软雅黑" w:hAnsi="微软雅黑" w:eastAsia="微软雅黑" w:cs="微软雅黑"/>
                <w:color w:val="auto"/>
                <w:spacing w:val="0"/>
                <w:kern w:val="0"/>
                <w:sz w:val="21"/>
                <w:szCs w:val="21"/>
                <w:highlight w:val="none"/>
                <w:lang w:val="en-US" w:eastAsia="zh-CN" w:bidi="ar-SA"/>
              </w:rPr>
              <w:t>方案中有具体的质量管理措施等，审查其可行性、适用性，按照优劣评分：</w:t>
            </w:r>
          </w:p>
          <w:p>
            <w:pPr>
              <w:keepNext w:val="0"/>
              <w:keepLines w:val="0"/>
              <w:suppressLineNumbers w:val="0"/>
              <w:spacing w:before="0" w:beforeAutospacing="0" w:after="0" w:afterAutospacing="0" w:line="240" w:lineRule="auto"/>
              <w:ind w:left="0" w:right="0" w:firstLine="28"/>
              <w:jc w:val="left"/>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A档</w:t>
            </w:r>
            <w:r>
              <w:rPr>
                <w:rFonts w:hint="eastAsia" w:ascii="微软雅黑" w:hAnsi="微软雅黑" w:eastAsia="微软雅黑" w:cs="微软雅黑"/>
                <w:color w:val="auto"/>
                <w:kern w:val="0"/>
                <w:sz w:val="21"/>
                <w:szCs w:val="21"/>
              </w:rPr>
              <w:t>：内容全面完整，条理清晰，可行性强、适用性强，得</w:t>
            </w:r>
            <w:r>
              <w:rPr>
                <w:rFonts w:hint="eastAsia" w:ascii="微软雅黑" w:hAnsi="微软雅黑" w:eastAsia="微软雅黑" w:cs="微软雅黑"/>
                <w:color w:val="auto"/>
                <w:kern w:val="0"/>
                <w:sz w:val="21"/>
                <w:szCs w:val="21"/>
                <w:lang w:val="en-US" w:eastAsia="zh-CN"/>
              </w:rPr>
              <w:t>10</w:t>
            </w:r>
            <w:r>
              <w:rPr>
                <w:rFonts w:hint="eastAsia" w:ascii="微软雅黑" w:hAnsi="微软雅黑" w:eastAsia="微软雅黑" w:cs="微软雅黑"/>
                <w:color w:val="auto"/>
                <w:kern w:val="0"/>
                <w:sz w:val="21"/>
                <w:szCs w:val="21"/>
              </w:rPr>
              <w:t xml:space="preserve">分；         </w:t>
            </w:r>
          </w:p>
          <w:p>
            <w:pPr>
              <w:keepNext w:val="0"/>
              <w:keepLines w:val="0"/>
              <w:suppressLineNumbers w:val="0"/>
              <w:spacing w:before="0" w:beforeAutospacing="0" w:after="0" w:afterAutospacing="0" w:line="240" w:lineRule="auto"/>
              <w:ind w:left="0" w:right="0" w:firstLine="28"/>
              <w:jc w:val="left"/>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B档</w:t>
            </w:r>
            <w:r>
              <w:rPr>
                <w:rFonts w:hint="eastAsia" w:ascii="微软雅黑" w:hAnsi="微软雅黑" w:eastAsia="微软雅黑" w:cs="微软雅黑"/>
                <w:color w:val="auto"/>
                <w:kern w:val="0"/>
                <w:sz w:val="21"/>
                <w:szCs w:val="21"/>
              </w:rPr>
              <w:t>：内容基本完整，条理较清晰，可行性较强，适用性较强，得</w:t>
            </w:r>
            <w:r>
              <w:rPr>
                <w:rFonts w:hint="eastAsia" w:ascii="微软雅黑" w:hAnsi="微软雅黑" w:eastAsia="微软雅黑" w:cs="微软雅黑"/>
                <w:color w:val="auto"/>
                <w:kern w:val="0"/>
                <w:sz w:val="21"/>
                <w:szCs w:val="21"/>
                <w:lang w:val="en-US" w:eastAsia="zh-CN"/>
              </w:rPr>
              <w:t>6</w:t>
            </w:r>
            <w:r>
              <w:rPr>
                <w:rFonts w:hint="eastAsia" w:ascii="微软雅黑" w:hAnsi="微软雅黑" w:eastAsia="微软雅黑" w:cs="微软雅黑"/>
                <w:color w:val="auto"/>
                <w:kern w:val="0"/>
                <w:sz w:val="21"/>
                <w:szCs w:val="21"/>
              </w:rPr>
              <w:t>分；</w:t>
            </w:r>
          </w:p>
          <w:p>
            <w:pPr>
              <w:pStyle w:val="16"/>
              <w:keepNext w:val="0"/>
              <w:keepLines w:val="0"/>
              <w:suppressLineNumbers w:val="0"/>
              <w:spacing w:before="0" w:beforeAutospacing="0" w:after="0" w:afterAutospacing="0" w:line="240" w:lineRule="auto"/>
              <w:ind w:left="0" w:right="0" w:firstLine="0"/>
              <w:jc w:val="left"/>
              <w:rPr>
                <w:rFonts w:hint="eastAsia" w:ascii="微软雅黑" w:hAnsi="微软雅黑" w:eastAsia="微软雅黑" w:cs="微软雅黑"/>
                <w:color w:val="auto"/>
                <w:kern w:val="0"/>
                <w:sz w:val="21"/>
                <w:szCs w:val="21"/>
              </w:rPr>
            </w:pPr>
            <w:r>
              <w:rPr>
                <w:rFonts w:hint="eastAsia" w:ascii="微软雅黑" w:hAnsi="微软雅黑" w:eastAsia="微软雅黑" w:cs="微软雅黑"/>
                <w:b/>
                <w:bCs/>
                <w:color w:val="auto"/>
                <w:kern w:val="0"/>
                <w:sz w:val="21"/>
                <w:szCs w:val="21"/>
              </w:rPr>
              <w:t>C档</w:t>
            </w:r>
            <w:r>
              <w:rPr>
                <w:rFonts w:hint="eastAsia" w:ascii="微软雅黑" w:hAnsi="微软雅黑" w:eastAsia="微软雅黑" w:cs="微软雅黑"/>
                <w:color w:val="auto"/>
                <w:kern w:val="0"/>
                <w:sz w:val="21"/>
                <w:szCs w:val="21"/>
              </w:rPr>
              <w:t>：内容不完整，条理一般，针对性一般、可行性一般，实用性一般，得</w:t>
            </w:r>
            <w:r>
              <w:rPr>
                <w:rFonts w:hint="eastAsia" w:ascii="微软雅黑" w:hAnsi="微软雅黑" w:eastAsia="微软雅黑" w:cs="微软雅黑"/>
                <w:color w:val="auto"/>
                <w:kern w:val="0"/>
                <w:sz w:val="21"/>
                <w:szCs w:val="21"/>
                <w:lang w:val="en-US" w:eastAsia="zh-CN"/>
              </w:rPr>
              <w:t>3</w:t>
            </w:r>
            <w:r>
              <w:rPr>
                <w:rFonts w:hint="eastAsia" w:ascii="微软雅黑" w:hAnsi="微软雅黑" w:eastAsia="微软雅黑" w:cs="微软雅黑"/>
                <w:color w:val="auto"/>
                <w:kern w:val="0"/>
                <w:sz w:val="21"/>
                <w:szCs w:val="21"/>
              </w:rPr>
              <w:t>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b/>
                <w:bCs/>
                <w:color w:val="auto"/>
                <w:kern w:val="0"/>
                <w:sz w:val="21"/>
                <w:szCs w:val="21"/>
              </w:rPr>
              <w:t>D档</w:t>
            </w:r>
            <w:r>
              <w:rPr>
                <w:rFonts w:hint="eastAsia" w:ascii="微软雅黑" w:hAnsi="微软雅黑" w:eastAsia="微软雅黑" w:cs="微软雅黑"/>
                <w:color w:val="auto"/>
                <w:kern w:val="0"/>
                <w:sz w:val="21"/>
                <w:szCs w:val="21"/>
              </w:rPr>
              <w:t>：内容缺失，条理混乱，无针对性、可行性，无实用性或未提供得0分。</w:t>
            </w:r>
          </w:p>
        </w:tc>
        <w:tc>
          <w:tcPr>
            <w:tcW w:w="1477"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707" w:type="dxa"/>
            <w:gridSpan w:val="5"/>
            <w:noWrap w:val="0"/>
            <w:vAlign w:val="center"/>
          </w:tcPr>
          <w:p>
            <w:pPr>
              <w:keepNext w:val="0"/>
              <w:keepLines w:val="0"/>
              <w:pageBreakBefore w:val="0"/>
              <w:widowControl w:val="0"/>
              <w:suppressLineNumbers w:val="0"/>
              <w:tabs>
                <w:tab w:val="left" w:pos="2497"/>
              </w:tabs>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投标人须满足“第三篇 项目商务需求”中的所有条款，如有任一条不满足则被视为无效投标，不再进入后续评审环节。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4" w:hRule="atLeast"/>
        </w:trPr>
        <w:tc>
          <w:tcPr>
            <w:tcW w:w="8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26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商务</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部分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20</w:t>
            </w:r>
            <w:r>
              <w:rPr>
                <w:rFonts w:hint="eastAsia" w:ascii="微软雅黑" w:hAnsi="微软雅黑" w:eastAsia="微软雅黑" w:cs="微软雅黑"/>
                <w:sz w:val="21"/>
                <w:szCs w:val="21"/>
              </w:rPr>
              <w:t>%）</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20分</w:t>
            </w:r>
          </w:p>
        </w:tc>
        <w:tc>
          <w:tcPr>
            <w:tcW w:w="50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履约能力</w:t>
            </w:r>
          </w:p>
          <w:p>
            <w:pPr>
              <w:pStyle w:val="16"/>
              <w:keepNext w:val="0"/>
              <w:keepLines w:val="0"/>
              <w:numPr>
                <w:ilvl w:val="0"/>
                <w:numId w:val="0"/>
              </w:numPr>
              <w:suppressLineNumbers w:val="0"/>
              <w:spacing w:before="0" w:beforeAutospacing="0" w:after="0" w:afterAutospacing="0" w:line="240" w:lineRule="atLeast"/>
              <w:ind w:left="0" w:leftChars="0" w:right="0"/>
              <w:rPr>
                <w:rFonts w:hint="default"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1、所投存储产品厂商曾在“存储技术”相关领域，获得过国家级科学技术荣誉的，得3分，未提供或不满足的得0分；（提供证书复印件，加盖厂商公章）；</w:t>
            </w:r>
          </w:p>
          <w:p>
            <w:pPr>
              <w:pStyle w:val="16"/>
              <w:keepNext w:val="0"/>
              <w:keepLines w:val="0"/>
              <w:numPr>
                <w:ilvl w:val="0"/>
                <w:numId w:val="0"/>
              </w:numPr>
              <w:suppressLineNumbers w:val="0"/>
              <w:spacing w:before="0" w:beforeAutospacing="0" w:after="0" w:afterAutospacing="0" w:line="240" w:lineRule="atLeast"/>
              <w:ind w:left="0" w:leftChars="0" w:right="0"/>
              <w:rPr>
                <w:rFonts w:hint="default"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2、所投存储产品厂商具备“安全生产标准化”二级及以上资质，得3分，未提供或不满足的得0分（提供证书复印件，加盖厂商公章）；</w:t>
            </w:r>
          </w:p>
          <w:p>
            <w:pPr>
              <w:pStyle w:val="16"/>
              <w:keepNext w:val="0"/>
              <w:keepLines w:val="0"/>
              <w:numPr>
                <w:ilvl w:val="0"/>
                <w:numId w:val="0"/>
              </w:numPr>
              <w:suppressLineNumbers w:val="0"/>
              <w:spacing w:before="0" w:beforeAutospacing="0" w:after="0" w:afterAutospacing="0" w:line="240" w:lineRule="atLeast"/>
              <w:ind w:left="0" w:leftChars="0" w:right="0"/>
              <w:rPr>
                <w:rFonts w:hint="eastAsia"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3、所投存储产品厂商提供2PB容量存储容量案例合同复印件，每有1个得1分，最多得4分，未提供或不满足的得0分（提供合同复印件，加盖厂商公章）；</w:t>
            </w:r>
          </w:p>
          <w:p>
            <w:pPr>
              <w:pStyle w:val="16"/>
              <w:keepNext w:val="0"/>
              <w:keepLines w:val="0"/>
              <w:numPr>
                <w:ilvl w:val="0"/>
                <w:numId w:val="0"/>
              </w:numPr>
              <w:suppressLineNumbers w:val="0"/>
              <w:spacing w:before="0" w:beforeAutospacing="0" w:after="0" w:afterAutospacing="0" w:line="240" w:lineRule="atLeast"/>
              <w:ind w:left="0" w:leftChars="0" w:right="0"/>
              <w:rPr>
                <w:rFonts w:hint="default"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4、投标人具有有效期内的重庆市安防协会颁发的安防工程从业资质壹级证书得4分，贰级证书得2分，未提供或不满足的得0分（提供证书复印件，加盖投标人公章）；</w:t>
            </w:r>
          </w:p>
          <w:p>
            <w:pPr>
              <w:pStyle w:val="16"/>
              <w:keepNext w:val="0"/>
              <w:keepLines w:val="0"/>
              <w:numPr>
                <w:ilvl w:val="0"/>
                <w:numId w:val="0"/>
              </w:numPr>
              <w:suppressLineNumbers w:val="0"/>
              <w:spacing w:before="0" w:beforeAutospacing="0" w:after="0" w:afterAutospacing="0" w:line="240" w:lineRule="atLeast"/>
              <w:ind w:left="0" w:leftChars="0" w:right="0"/>
              <w:rPr>
                <w:rFonts w:hint="default" w:ascii="微软雅黑" w:hAnsi="微软雅黑" w:eastAsia="微软雅黑" w:cs="微软雅黑"/>
                <w:b w:val="0"/>
                <w:bCs w:val="0"/>
                <w:color w:val="auto"/>
                <w:kern w:val="0"/>
                <w:sz w:val="21"/>
                <w:szCs w:val="21"/>
                <w:lang w:val="en-US" w:eastAsia="zh-CN" w:bidi="ar-SA"/>
              </w:rPr>
            </w:pPr>
            <w:r>
              <w:rPr>
                <w:rFonts w:hint="eastAsia" w:ascii="微软雅黑" w:hAnsi="微软雅黑" w:eastAsia="微软雅黑" w:cs="微软雅黑"/>
                <w:b w:val="0"/>
                <w:bCs w:val="0"/>
                <w:color w:val="auto"/>
                <w:kern w:val="0"/>
                <w:sz w:val="21"/>
                <w:szCs w:val="21"/>
                <w:lang w:val="en-US" w:eastAsia="zh-CN" w:bidi="ar-SA"/>
              </w:rPr>
              <w:t>5、投标人具有有效期内的质量管理体系证书，认证范围需包含安防工程施工，得3分，未提供或不满足的得0分（提供证书复印件，加盖投标人公章）；</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val="0"/>
                <w:color w:val="auto"/>
                <w:kern w:val="0"/>
                <w:sz w:val="21"/>
                <w:szCs w:val="21"/>
                <w:lang w:val="en-US" w:eastAsia="zh-CN" w:bidi="ar-SA"/>
              </w:rPr>
              <w:t>6、投标人具有有效期内的环境管理体系证书，认证范围需包含安防工程施工，得3分，未提供或不满足的得0分（提供证书复印件，加盖投标人公章）。</w:t>
            </w:r>
          </w:p>
        </w:tc>
        <w:tc>
          <w:tcPr>
            <w:tcW w:w="1477"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textAlignment w:val="auto"/>
              <w:rPr>
                <w:rFonts w:hint="eastAsia" w:ascii="微软雅黑" w:hAnsi="微软雅黑" w:eastAsia="微软雅黑" w:cs="微软雅黑"/>
                <w:color w:val="000000"/>
                <w:sz w:val="21"/>
                <w:szCs w:val="21"/>
                <w:lang w:eastAsia="zh-CN"/>
              </w:rPr>
            </w:pP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3" w:name="_Toc20703"/>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06"/>
      <w:bookmarkEnd w:id="107"/>
      <w:bookmarkEnd w:id="108"/>
      <w:bookmarkEnd w:id="109"/>
      <w:bookmarkEnd w:id="113"/>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4" w:name="_Toc31119"/>
      <w:bookmarkStart w:id="115" w:name="_Toc106030891"/>
      <w:bookmarkStart w:id="116" w:name="_Toc76462336"/>
      <w:bookmarkStart w:id="117" w:name="_Toc10687"/>
      <w:bookmarkStart w:id="118" w:name="_Toc2878"/>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04"/>
      <w:bookmarkEnd w:id="105"/>
      <w:bookmarkEnd w:id="114"/>
      <w:bookmarkEnd w:id="115"/>
      <w:bookmarkEnd w:id="116"/>
      <w:bookmarkEnd w:id="117"/>
      <w:r>
        <w:rPr>
          <w:rFonts w:hint="eastAsia" w:ascii="方正仿宋_GBK" w:hAnsi="宋体" w:eastAsia="方正仿宋_GBK"/>
          <w:sz w:val="24"/>
          <w:lang w:val="en-US" w:eastAsia="zh-CN"/>
        </w:rPr>
        <w:t>废标条款</w:t>
      </w:r>
      <w:bookmarkEnd w:id="118"/>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19" w:name="_Toc31517"/>
      <w:bookmarkStart w:id="120" w:name="_Toc76462337"/>
      <w:bookmarkStart w:id="121" w:name="_Toc102227313"/>
      <w:bookmarkStart w:id="122" w:name="_Toc106030892"/>
      <w:bookmarkStart w:id="123" w:name="_Toc29948"/>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9"/>
      <w:bookmarkEnd w:id="120"/>
      <w:bookmarkEnd w:id="121"/>
      <w:bookmarkEnd w:id="122"/>
      <w:bookmarkEnd w:id="12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4" w:name="_Toc76462338"/>
      <w:bookmarkStart w:id="125" w:name="_Toc23358"/>
      <w:bookmarkStart w:id="126" w:name="_Toc342913389"/>
      <w:bookmarkStart w:id="127" w:name="_Toc26717"/>
      <w:bookmarkStart w:id="128" w:name="_Toc106030893"/>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24"/>
      <w:bookmarkEnd w:id="125"/>
      <w:bookmarkEnd w:id="126"/>
      <w:bookmarkEnd w:id="127"/>
      <w:bookmarkEnd w:id="128"/>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9" w:name="_Toc106030894"/>
      <w:bookmarkStart w:id="130" w:name="_Toc342913391"/>
      <w:bookmarkStart w:id="131" w:name="_Toc17810"/>
      <w:bookmarkStart w:id="132" w:name="_Toc15712"/>
      <w:bookmarkStart w:id="133" w:name="_Toc76462339"/>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9"/>
      <w:bookmarkEnd w:id="130"/>
      <w:bookmarkEnd w:id="131"/>
      <w:bookmarkEnd w:id="132"/>
      <w:bookmarkEnd w:id="133"/>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4" w:name="_Toc318159160"/>
      <w:bookmarkStart w:id="135" w:name="_Toc318159780"/>
      <w:bookmarkStart w:id="136" w:name="_Toc318166429"/>
      <w:bookmarkStart w:id="137" w:name="_Toc318159349"/>
    </w:p>
    <w:bookmarkEnd w:id="134"/>
    <w:bookmarkEnd w:id="135"/>
    <w:bookmarkEnd w:id="136"/>
    <w:bookmarkEnd w:id="137"/>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8" w:name="_Toc102227318"/>
      <w:bookmarkStart w:id="139" w:name="_Toc26007"/>
      <w:bookmarkStart w:id="140" w:name="_Toc179714297"/>
      <w:bookmarkStart w:id="141" w:name="_Toc22688"/>
      <w:bookmarkStart w:id="142" w:name="_Toc106030895"/>
      <w:bookmarkStart w:id="143" w:name="_Toc342913392"/>
      <w:bookmarkStart w:id="144" w:name="_Toc7646234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8"/>
      <w:bookmarkEnd w:id="139"/>
      <w:bookmarkEnd w:id="140"/>
      <w:bookmarkEnd w:id="141"/>
      <w:bookmarkEnd w:id="142"/>
      <w:bookmarkEnd w:id="143"/>
      <w:bookmarkEnd w:id="144"/>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5" w:name="_Toc76462341"/>
      <w:bookmarkStart w:id="146" w:name="_Toc6435"/>
      <w:bookmarkStart w:id="147" w:name="_Toc4803"/>
      <w:bookmarkStart w:id="148" w:name="_Toc106030896"/>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5"/>
      <w:bookmarkEnd w:id="146"/>
      <w:bookmarkEnd w:id="147"/>
      <w:bookmarkEnd w:id="148"/>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9" w:name="_Toc106030897"/>
      <w:bookmarkStart w:id="150" w:name="_Toc3620"/>
      <w:bookmarkStart w:id="151" w:name="_Toc102227321"/>
      <w:bookmarkStart w:id="152" w:name="_Toc342913395"/>
      <w:bookmarkStart w:id="153" w:name="_Toc21532"/>
      <w:bookmarkStart w:id="154" w:name="_Toc76462342"/>
      <w:r>
        <w:rPr>
          <w:rFonts w:hint="eastAsia" w:ascii="方正仿宋_GBK" w:hAnsi="宋体" w:eastAsia="方正仿宋_GBK"/>
          <w:sz w:val="24"/>
        </w:rPr>
        <w:t>五、成交通知</w:t>
      </w:r>
      <w:bookmarkEnd w:id="149"/>
      <w:bookmarkEnd w:id="150"/>
      <w:bookmarkEnd w:id="151"/>
      <w:bookmarkEnd w:id="152"/>
      <w:bookmarkEnd w:id="153"/>
      <w:bookmarkEnd w:id="15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5" w:name="_Toc106030898"/>
      <w:bookmarkStart w:id="156" w:name="_Toc21399"/>
      <w:bookmarkStart w:id="157" w:name="_Toc76462343"/>
      <w:bookmarkStart w:id="158"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5"/>
      <w:bookmarkEnd w:id="156"/>
      <w:bookmarkEnd w:id="157"/>
      <w:bookmarkEnd w:id="158"/>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9" w:name="_Toc76462344"/>
      <w:bookmarkStart w:id="160" w:name="_Toc28334"/>
      <w:bookmarkStart w:id="161" w:name="_Toc106030899"/>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62" w:name="_Toc32169"/>
      <w:r>
        <w:rPr>
          <w:rFonts w:hint="eastAsia" w:ascii="方正仿宋_GBK" w:hAnsi="宋体" w:eastAsia="方正仿宋_GBK"/>
          <w:sz w:val="24"/>
        </w:rPr>
        <w:t>七</w:t>
      </w:r>
      <w:r>
        <w:rPr>
          <w:rFonts w:hint="eastAsia" w:ascii="方正仿宋_GBK" w:hAnsi="宋体" w:eastAsia="方正仿宋_GBK"/>
          <w:color w:val="auto"/>
          <w:sz w:val="24"/>
        </w:rPr>
        <w:t>、</w:t>
      </w:r>
      <w:bookmarkEnd w:id="159"/>
      <w:bookmarkEnd w:id="160"/>
      <w:bookmarkEnd w:id="161"/>
      <w:bookmarkStart w:id="163" w:name="_Toc102227322"/>
      <w:bookmarkStart w:id="164" w:name="_Toc76462346"/>
      <w:bookmarkStart w:id="165" w:name="_Toc342913396"/>
      <w:bookmarkStart w:id="166" w:name="_Toc3372"/>
      <w:bookmarkStart w:id="167" w:name="_Toc106030901"/>
      <w:bookmarkStart w:id="168" w:name="_Toc11641055"/>
      <w:bookmarkStart w:id="169" w:name="_Toc12789059"/>
      <w:r>
        <w:rPr>
          <w:rFonts w:hint="eastAsia" w:ascii="方正仿宋_GBK" w:hAnsi="宋体" w:eastAsia="方正仿宋_GBK"/>
          <w:color w:val="auto"/>
          <w:sz w:val="24"/>
        </w:rPr>
        <w:t>签订</w:t>
      </w:r>
      <w:bookmarkEnd w:id="163"/>
      <w:r>
        <w:rPr>
          <w:rFonts w:hint="eastAsia" w:ascii="方正仿宋_GBK" w:hAnsi="宋体" w:eastAsia="方正仿宋_GBK"/>
          <w:color w:val="auto"/>
          <w:sz w:val="24"/>
        </w:rPr>
        <w:t>合同</w:t>
      </w:r>
      <w:bookmarkEnd w:id="162"/>
      <w:bookmarkEnd w:id="164"/>
      <w:bookmarkEnd w:id="165"/>
      <w:bookmarkEnd w:id="166"/>
      <w:bookmarkEnd w:id="167"/>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8"/>
      <w:bookmarkEnd w:id="169"/>
    </w:p>
    <w:p>
      <w:pPr>
        <w:pStyle w:val="4"/>
        <w:spacing w:before="200" w:after="200" w:line="240" w:lineRule="auto"/>
        <w:jc w:val="center"/>
        <w:rPr>
          <w:rFonts w:hint="eastAsia" w:ascii="方正仿宋_GBK" w:hAnsi="Times New Roman" w:eastAsia="方正仿宋_GBK" w:cs="Times New Roman"/>
          <w:b/>
          <w:sz w:val="44"/>
          <w:szCs w:val="20"/>
        </w:rPr>
      </w:pPr>
      <w:bookmarkStart w:id="170" w:name="_Hlt41879464"/>
      <w:bookmarkEnd w:id="170"/>
      <w:bookmarkStart w:id="171" w:name="_Toc106030905"/>
      <w:bookmarkStart w:id="172" w:name="_Toc27807"/>
      <w:bookmarkStart w:id="173" w:name="_Toc27984"/>
      <w:bookmarkStart w:id="174" w:name="_Toc76462349"/>
      <w:r>
        <w:rPr>
          <w:rFonts w:hint="eastAsia" w:ascii="方正仿宋_GBK" w:hAnsi="Times New Roman" w:eastAsia="方正仿宋_GBK" w:cs="Times New Roman"/>
          <w:b/>
          <w:sz w:val="44"/>
          <w:szCs w:val="20"/>
        </w:rPr>
        <w:t>第六篇  响应文件编制要求</w:t>
      </w:r>
      <w:bookmarkEnd w:id="171"/>
      <w:bookmarkEnd w:id="172"/>
      <w:bookmarkEnd w:id="173"/>
      <w:bookmarkEnd w:id="174"/>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5" w:name="_Toc15994"/>
      <w:bookmarkStart w:id="176" w:name="_Toc313888360"/>
      <w:bookmarkStart w:id="177" w:name="_Toc342913419"/>
      <w:bookmarkStart w:id="178" w:name="_Toc313008356"/>
      <w:bookmarkStart w:id="179" w:name="_Toc76462350"/>
      <w:bookmarkStart w:id="180" w:name="_Toc106030906"/>
      <w:bookmarkStart w:id="181" w:name="_Toc12789073"/>
      <w:bookmarkStart w:id="182"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3" w:name="_Toc748"/>
      <w:r>
        <w:rPr>
          <w:rFonts w:hint="eastAsia" w:ascii="方正仿宋_GBK" w:hAnsi="宋体" w:eastAsia="方正仿宋_GBK"/>
          <w:sz w:val="24"/>
        </w:rPr>
        <w:t>一、经济部分</w:t>
      </w:r>
      <w:bookmarkEnd w:id="175"/>
      <w:bookmarkEnd w:id="176"/>
      <w:bookmarkEnd w:id="177"/>
      <w:bookmarkEnd w:id="178"/>
      <w:bookmarkEnd w:id="179"/>
      <w:bookmarkEnd w:id="180"/>
      <w:bookmarkEnd w:id="183"/>
    </w:p>
    <w:bookmarkEnd w:id="181"/>
    <w:bookmarkEnd w:id="182"/>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lang w:val="en-US" w:eastAsia="zh-CN"/>
              </w:rPr>
              <w:t>服务期限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val="en-US" w:eastAsia="zh-CN"/>
              </w:rPr>
              <w:t>自合同签订之日起30</w:t>
            </w:r>
            <w:r>
              <w:rPr>
                <w:rFonts w:hint="default" w:ascii="方正仿宋_GBK" w:hAnsi="宋体" w:eastAsia="方正仿宋_GBK" w:cs="Times New Roman"/>
                <w:color w:val="auto"/>
                <w:sz w:val="24"/>
                <w:szCs w:val="24"/>
                <w:lang w:eastAsia="zh-CN"/>
              </w:rPr>
              <w:t>个日历日内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4" w:name="OLE_LINK1"/>
      <w:bookmarkStart w:id="185" w:name="OLE_LINK2"/>
      <w:r>
        <w:rPr>
          <w:rFonts w:hint="eastAsia" w:ascii="方正仿宋_GBK" w:hAnsi="宋体" w:eastAsia="方正仿宋_GBK"/>
          <w:sz w:val="24"/>
          <w:szCs w:val="28"/>
        </w:rPr>
        <w:t>。</w:t>
      </w:r>
      <w:bookmarkEnd w:id="184"/>
      <w:bookmarkEnd w:id="185"/>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86" w:name="_Toc342913420"/>
      <w:bookmarkStart w:id="187" w:name="_Toc313888361"/>
      <w:bookmarkStart w:id="188" w:name="_Toc313008357"/>
      <w:bookmarkStart w:id="189" w:name="_Toc106030907"/>
      <w:bookmarkStart w:id="190" w:name="_Toc18669"/>
      <w:bookmarkStart w:id="191" w:name="_Toc76462351"/>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lang w:val="en-US" w:eastAsia="zh-CN"/>
              </w:rPr>
              <w:t>服务期限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val="en-US" w:eastAsia="zh-CN"/>
              </w:rPr>
              <w:t>自合同签订之日起30</w:t>
            </w:r>
            <w:r>
              <w:rPr>
                <w:rFonts w:hint="default" w:ascii="方正仿宋_GBK" w:hAnsi="宋体" w:eastAsia="方正仿宋_GBK" w:cs="Times New Roman"/>
                <w:color w:val="auto"/>
                <w:sz w:val="24"/>
                <w:szCs w:val="24"/>
                <w:lang w:eastAsia="zh-CN"/>
              </w:rPr>
              <w:t>个日历日内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2" w:name="_Toc22120"/>
      <w:r>
        <w:rPr>
          <w:rFonts w:hint="eastAsia" w:ascii="方正仿宋_GBK" w:hAnsi="宋体" w:eastAsia="方正仿宋_GBK"/>
          <w:sz w:val="24"/>
        </w:rPr>
        <w:t>二、</w:t>
      </w:r>
      <w:r>
        <w:rPr>
          <w:rFonts w:hint="eastAsia" w:ascii="方正仿宋_GBK" w:hAnsi="宋体" w:eastAsia="方正仿宋_GBK"/>
          <w:sz w:val="24"/>
          <w:lang w:val="en-US" w:eastAsia="zh-CN"/>
        </w:rPr>
        <w:t>服务</w:t>
      </w:r>
      <w:r>
        <w:rPr>
          <w:rFonts w:hint="eastAsia" w:ascii="方正仿宋_GBK" w:hAnsi="宋体" w:eastAsia="方正仿宋_GBK"/>
          <w:sz w:val="24"/>
        </w:rPr>
        <w:t>部分</w:t>
      </w:r>
      <w:bookmarkEnd w:id="186"/>
      <w:bookmarkEnd w:id="187"/>
      <w:bookmarkEnd w:id="188"/>
      <w:bookmarkEnd w:id="189"/>
      <w:bookmarkEnd w:id="190"/>
      <w:bookmarkEnd w:id="191"/>
      <w:bookmarkEnd w:id="192"/>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93" w:name="_Toc313008358"/>
      <w:bookmarkStart w:id="194" w:name="_Toc76462352"/>
      <w:bookmarkStart w:id="195" w:name="_Toc30639"/>
      <w:bookmarkStart w:id="196" w:name="_Toc106030908"/>
      <w:bookmarkStart w:id="197" w:name="_Toc313888362"/>
      <w:bookmarkStart w:id="198" w:name="_Toc6397"/>
      <w:bookmarkStart w:id="199" w:name="_Toc342913421"/>
      <w:r>
        <w:rPr>
          <w:rFonts w:hint="eastAsia" w:ascii="方正仿宋_GBK" w:hAnsi="宋体" w:eastAsia="方正仿宋_GBK"/>
          <w:sz w:val="24"/>
        </w:rPr>
        <w:t>三、商务部分</w:t>
      </w:r>
      <w:bookmarkEnd w:id="193"/>
      <w:bookmarkEnd w:id="194"/>
      <w:bookmarkEnd w:id="195"/>
      <w:bookmarkEnd w:id="196"/>
      <w:bookmarkEnd w:id="197"/>
      <w:bookmarkEnd w:id="198"/>
      <w:bookmarkEnd w:id="19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00"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00"/>
      <w:bookmarkStart w:id="201" w:name="_Toc313888363"/>
      <w:bookmarkStart w:id="202" w:name="_Toc76462353"/>
      <w:bookmarkStart w:id="203" w:name="_Toc22931"/>
      <w:bookmarkStart w:id="204" w:name="_Toc26948"/>
      <w:bookmarkStart w:id="205" w:name="_Toc106030909"/>
      <w:bookmarkStart w:id="206" w:name="_Toc342913422"/>
      <w:bookmarkStart w:id="207" w:name="_Toc313008359"/>
      <w:r>
        <w:rPr>
          <w:rFonts w:hint="eastAsia" w:ascii="方正仿宋_GBK" w:hAnsi="宋体" w:eastAsia="方正仿宋_GBK"/>
          <w:sz w:val="24"/>
        </w:rPr>
        <w:t>四、资格条件</w:t>
      </w:r>
      <w:bookmarkEnd w:id="201"/>
      <w:bookmarkEnd w:id="202"/>
      <w:bookmarkEnd w:id="203"/>
      <w:bookmarkEnd w:id="204"/>
      <w:bookmarkEnd w:id="205"/>
      <w:bookmarkEnd w:id="206"/>
      <w:bookmarkEnd w:id="207"/>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eastAsia="方正仿宋_GBK" w:cs="Times New Roman"/>
          <w:sz w:val="24"/>
          <w:szCs w:val="24"/>
          <w:u w:val="single"/>
          <w:lang w:eastAsia="zh-CN"/>
        </w:rPr>
        <w:t>投标人</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eastAsia="方正仿宋_GBK" w:cs="Times New Roman"/>
          <w:sz w:val="24"/>
          <w:szCs w:val="24"/>
          <w:lang w:eastAsia="zh-CN"/>
        </w:rPr>
        <w:t>投标人</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08" w:name="_Toc14422"/>
      <w:r>
        <w:rPr>
          <w:rFonts w:ascii="方正仿宋_GBK" w:hAnsi="宋体" w:eastAsia="方正仿宋_GBK"/>
          <w:b w:val="0"/>
          <w:sz w:val="28"/>
        </w:rPr>
        <w:br w:type="page"/>
      </w:r>
      <w:bookmarkStart w:id="209" w:name="_Toc106030910"/>
      <w:bookmarkStart w:id="210" w:name="_Toc76462354"/>
      <w:bookmarkStart w:id="211" w:name="_Toc8805"/>
      <w:bookmarkStart w:id="212" w:name="_Toc130"/>
      <w:r>
        <w:rPr>
          <w:rFonts w:hint="eastAsia" w:ascii="方正仿宋_GBK" w:hAnsi="宋体" w:eastAsia="方正仿宋_GBK"/>
          <w:sz w:val="24"/>
        </w:rPr>
        <w:t>五、其他资料</w:t>
      </w:r>
      <w:bookmarkEnd w:id="208"/>
      <w:bookmarkEnd w:id="209"/>
      <w:bookmarkEnd w:id="210"/>
      <w:bookmarkEnd w:id="211"/>
      <w:bookmarkEnd w:id="212"/>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kYjg2OGUwYTU5N2Y3ZjE5NWFhYWIzMGJkNTA1ZjY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BC54681"/>
    <w:rsid w:val="0D1F249B"/>
    <w:rsid w:val="0F3B4DFD"/>
    <w:rsid w:val="147A5E14"/>
    <w:rsid w:val="15935DB5"/>
    <w:rsid w:val="15BB3449"/>
    <w:rsid w:val="17351C20"/>
    <w:rsid w:val="178B1D79"/>
    <w:rsid w:val="17A1211B"/>
    <w:rsid w:val="18ED7A84"/>
    <w:rsid w:val="19255AF5"/>
    <w:rsid w:val="193B151F"/>
    <w:rsid w:val="1A7E6296"/>
    <w:rsid w:val="1F0D01CA"/>
    <w:rsid w:val="21864056"/>
    <w:rsid w:val="2486441F"/>
    <w:rsid w:val="27E145C2"/>
    <w:rsid w:val="2AA01F44"/>
    <w:rsid w:val="2E2D3EDF"/>
    <w:rsid w:val="300C58E0"/>
    <w:rsid w:val="31E00709"/>
    <w:rsid w:val="332D1E43"/>
    <w:rsid w:val="347734D8"/>
    <w:rsid w:val="35397720"/>
    <w:rsid w:val="3ACE5D4F"/>
    <w:rsid w:val="3C55524B"/>
    <w:rsid w:val="3DF6488D"/>
    <w:rsid w:val="3EEC6CD3"/>
    <w:rsid w:val="3F1C71CA"/>
    <w:rsid w:val="406334F2"/>
    <w:rsid w:val="409F14A1"/>
    <w:rsid w:val="415F6EA3"/>
    <w:rsid w:val="41B20BF4"/>
    <w:rsid w:val="41B75593"/>
    <w:rsid w:val="452C7897"/>
    <w:rsid w:val="48794403"/>
    <w:rsid w:val="494C6B8D"/>
    <w:rsid w:val="497B7CB3"/>
    <w:rsid w:val="4B2D12E0"/>
    <w:rsid w:val="4BEB6B31"/>
    <w:rsid w:val="4DD36371"/>
    <w:rsid w:val="4F070047"/>
    <w:rsid w:val="4F3C244F"/>
    <w:rsid w:val="5115115D"/>
    <w:rsid w:val="521E4A24"/>
    <w:rsid w:val="52D92ACB"/>
    <w:rsid w:val="53B4776F"/>
    <w:rsid w:val="53DF1E3A"/>
    <w:rsid w:val="558E730F"/>
    <w:rsid w:val="57857077"/>
    <w:rsid w:val="59D366B0"/>
    <w:rsid w:val="5A8768EA"/>
    <w:rsid w:val="5CA67F0E"/>
    <w:rsid w:val="61625D90"/>
    <w:rsid w:val="68BD663A"/>
    <w:rsid w:val="692F74C0"/>
    <w:rsid w:val="696405DD"/>
    <w:rsid w:val="6F4859CD"/>
    <w:rsid w:val="6FE969BF"/>
    <w:rsid w:val="701245F9"/>
    <w:rsid w:val="71175C34"/>
    <w:rsid w:val="747D277F"/>
    <w:rsid w:val="74D70DF7"/>
    <w:rsid w:val="750950F5"/>
    <w:rsid w:val="750D16CF"/>
    <w:rsid w:val="789F3DA6"/>
    <w:rsid w:val="78A52377"/>
    <w:rsid w:val="78EF15F1"/>
    <w:rsid w:val="79082185"/>
    <w:rsid w:val="7A6F77AB"/>
    <w:rsid w:val="7B5B7497"/>
    <w:rsid w:val="7BEF5F10"/>
    <w:rsid w:val="7DEC3198"/>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2"/>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8</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2023-09-21T00:24:35Z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1A0877D6CFA74DD986EB7A29CACCBEB5_13</vt:lpwstr>
  </property>
</Properties>
</file>