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color w:val="auto"/>
        </w:rPr>
      </w:pPr>
    </w:p>
    <w:p>
      <w:pPr>
        <w:spacing w:line="1600" w:lineRule="exact"/>
        <w:jc w:val="center"/>
        <w:outlineLvl w:val="0"/>
        <w:rPr>
          <w:rFonts w:hint="eastAsia" w:ascii="微软雅黑" w:hAnsi="微软雅黑" w:eastAsia="微软雅黑" w:cs="微软雅黑"/>
          <w:color w:val="auto"/>
          <w:sz w:val="100"/>
        </w:rPr>
      </w:pPr>
    </w:p>
    <w:p>
      <w:pPr>
        <w:spacing w:line="1600" w:lineRule="exact"/>
        <w:jc w:val="center"/>
        <w:outlineLvl w:val="0"/>
        <w:rPr>
          <w:rFonts w:hint="eastAsia" w:ascii="微软雅黑" w:hAnsi="微软雅黑" w:eastAsia="微软雅黑" w:cs="微软雅黑"/>
          <w:color w:val="auto"/>
          <w:sz w:val="130"/>
          <w:szCs w:val="130"/>
        </w:rPr>
      </w:pPr>
      <w:r>
        <w:rPr>
          <w:rFonts w:hint="eastAsia" w:ascii="微软雅黑" w:hAnsi="微软雅黑" w:eastAsia="微软雅黑" w:cs="微软雅黑"/>
          <w:color w:val="auto"/>
          <w:sz w:val="130"/>
          <w:szCs w:val="130"/>
        </w:rPr>
        <w:t>公开比选</w:t>
      </w:r>
    </w:p>
    <w:p>
      <w:pPr>
        <w:spacing w:line="1600" w:lineRule="exact"/>
        <w:jc w:val="center"/>
        <w:outlineLvl w:val="0"/>
        <w:rPr>
          <w:rFonts w:hint="eastAsia" w:ascii="微软雅黑" w:hAnsi="微软雅黑" w:eastAsia="微软雅黑" w:cs="微软雅黑"/>
          <w:color w:val="auto"/>
          <w:sz w:val="130"/>
          <w:szCs w:val="130"/>
        </w:rPr>
      </w:pPr>
      <w:r>
        <w:rPr>
          <w:rFonts w:hint="eastAsia" w:ascii="微软雅黑" w:hAnsi="微软雅黑" w:eastAsia="微软雅黑" w:cs="微软雅黑"/>
          <w:color w:val="auto"/>
          <w:sz w:val="130"/>
          <w:szCs w:val="130"/>
        </w:rPr>
        <w:t>采购文件</w:t>
      </w:r>
    </w:p>
    <w:p>
      <w:pPr>
        <w:pStyle w:val="2"/>
        <w:spacing w:before="100" w:after="100" w:line="300" w:lineRule="auto"/>
        <w:jc w:val="center"/>
        <w:rPr>
          <w:rFonts w:hint="eastAsia" w:ascii="微软雅黑" w:hAnsi="微软雅黑" w:eastAsia="微软雅黑" w:cs="微软雅黑"/>
          <w:color w:val="auto"/>
          <w:sz w:val="32"/>
        </w:rPr>
      </w:pPr>
      <w:r>
        <w:rPr>
          <w:rFonts w:hint="eastAsia" w:ascii="微软雅黑" w:hAnsi="微软雅黑" w:eastAsia="微软雅黑" w:cs="微软雅黑"/>
          <w:b w:val="0"/>
          <w:color w:val="auto"/>
          <w:sz w:val="130"/>
          <w:szCs w:val="130"/>
        </w:rPr>
        <w:t xml:space="preserve">   </w:t>
      </w:r>
    </w:p>
    <w:p>
      <w:pPr>
        <w:pStyle w:val="3"/>
        <w:rPr>
          <w:rFonts w:hint="eastAsia" w:ascii="微软雅黑" w:hAnsi="微软雅黑" w:eastAsia="微软雅黑" w:cs="微软雅黑"/>
          <w:color w:val="auto"/>
          <w:kern w:val="2"/>
          <w:sz w:val="44"/>
          <w:szCs w:val="44"/>
        </w:rPr>
      </w:pPr>
    </w:p>
    <w:p>
      <w:pPr>
        <w:pStyle w:val="3"/>
        <w:rPr>
          <w:rFonts w:hint="eastAsia" w:ascii="微软雅黑" w:hAnsi="微软雅黑" w:eastAsia="微软雅黑" w:cs="微软雅黑"/>
          <w:color w:val="auto"/>
          <w:kern w:val="2"/>
          <w:sz w:val="44"/>
          <w:szCs w:val="44"/>
        </w:rPr>
      </w:pPr>
    </w:p>
    <w:p>
      <w:pPr>
        <w:spacing w:line="360" w:lineRule="auto"/>
        <w:ind w:firstLine="2160" w:firstLineChars="600"/>
        <w:outlineLvl w:val="0"/>
        <w:rPr>
          <w:rFonts w:hint="default" w:ascii="微软雅黑" w:hAnsi="微软雅黑" w:eastAsia="微软雅黑" w:cs="微软雅黑"/>
          <w:color w:val="auto"/>
          <w:sz w:val="36"/>
          <w:szCs w:val="36"/>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YBW260058</w:t>
      </w:r>
    </w:p>
    <w:p>
      <w:pPr>
        <w:spacing w:line="360" w:lineRule="auto"/>
        <w:ind w:firstLine="2160" w:firstLineChars="600"/>
        <w:outlineLvl w:val="0"/>
        <w:rPr>
          <w:rFonts w:hint="eastAsia" w:ascii="微软雅黑" w:hAnsi="微软雅黑" w:eastAsia="微软雅黑" w:cs="微软雅黑"/>
          <w:color w:val="auto"/>
          <w:sz w:val="36"/>
          <w:szCs w:val="36"/>
          <w:u w:val="single"/>
        </w:rPr>
      </w:pPr>
      <w:r>
        <w:rPr>
          <w:rFonts w:hint="eastAsia" w:ascii="微软雅黑" w:hAnsi="微软雅黑" w:eastAsia="微软雅黑" w:cs="微软雅黑"/>
          <w:color w:val="auto"/>
          <w:sz w:val="36"/>
          <w:szCs w:val="36"/>
        </w:rPr>
        <w:t>项目名称：</w:t>
      </w:r>
      <w:r>
        <w:rPr>
          <w:rFonts w:hint="eastAsia" w:ascii="微软雅黑" w:hAnsi="微软雅黑" w:eastAsia="微软雅黑" w:cs="微软雅黑"/>
          <w:color w:val="auto"/>
          <w:sz w:val="36"/>
          <w:szCs w:val="36"/>
          <w:u w:val="single"/>
        </w:rPr>
        <w:t>重庆医科大学附属儿童医院高层</w:t>
      </w:r>
    </w:p>
    <w:p>
      <w:pPr>
        <w:spacing w:line="360" w:lineRule="auto"/>
        <w:ind w:firstLine="3960" w:firstLineChars="1100"/>
        <w:outlineLvl w:val="0"/>
        <w:rPr>
          <w:rFonts w:hint="eastAsia" w:ascii="微软雅黑" w:hAnsi="微软雅黑" w:eastAsia="微软雅黑" w:cs="微软雅黑"/>
          <w:color w:val="auto"/>
          <w:sz w:val="36"/>
          <w:szCs w:val="36"/>
        </w:rPr>
      </w:pPr>
      <w:r>
        <w:rPr>
          <w:rFonts w:hint="eastAsia" w:ascii="微软雅黑" w:hAnsi="微软雅黑" w:eastAsia="微软雅黑" w:cs="微软雅黑"/>
          <w:color w:val="auto"/>
          <w:sz w:val="36"/>
          <w:szCs w:val="36"/>
          <w:u w:val="single"/>
        </w:rPr>
        <w:t>建筑消防物联感知设备联网项目</w:t>
      </w:r>
    </w:p>
    <w:p>
      <w:pPr>
        <w:spacing w:line="700" w:lineRule="exact"/>
        <w:rPr>
          <w:rFonts w:hint="eastAsia" w:ascii="微软雅黑" w:hAnsi="微软雅黑" w:eastAsia="微软雅黑" w:cs="微软雅黑"/>
          <w:b/>
          <w:color w:val="auto"/>
          <w:sz w:val="36"/>
          <w:szCs w:val="36"/>
        </w:rPr>
      </w:pPr>
    </w:p>
    <w:p>
      <w:pPr>
        <w:spacing w:line="500" w:lineRule="exact"/>
        <w:jc w:val="center"/>
        <w:outlineLvl w:val="0"/>
        <w:rPr>
          <w:rFonts w:hint="eastAsia" w:ascii="微软雅黑" w:hAnsi="微软雅黑" w:eastAsia="微软雅黑" w:cs="微软雅黑"/>
          <w:color w:val="auto"/>
          <w:sz w:val="36"/>
          <w:szCs w:val="36"/>
        </w:rPr>
      </w:pPr>
    </w:p>
    <w:p>
      <w:pPr>
        <w:spacing w:line="500" w:lineRule="exact"/>
        <w:jc w:val="center"/>
        <w:outlineLvl w:val="0"/>
        <w:rPr>
          <w:rFonts w:hint="eastAsia" w:ascii="微软雅黑" w:hAnsi="微软雅黑" w:eastAsia="微软雅黑" w:cs="微软雅黑"/>
          <w:color w:val="auto"/>
          <w:sz w:val="36"/>
          <w:szCs w:val="36"/>
        </w:rPr>
      </w:pPr>
      <w:r>
        <w:rPr>
          <w:rFonts w:hint="eastAsia" w:ascii="微软雅黑" w:hAnsi="微软雅黑" w:eastAsia="微软雅黑" w:cs="微软雅黑"/>
          <w:color w:val="auto"/>
          <w:sz w:val="36"/>
          <w:szCs w:val="36"/>
        </w:rPr>
        <w:t>重庆医科大学附属儿童医院</w:t>
      </w:r>
    </w:p>
    <w:p>
      <w:pPr>
        <w:spacing w:line="720" w:lineRule="exact"/>
        <w:jc w:val="center"/>
        <w:outlineLvl w:val="0"/>
        <w:rPr>
          <w:rFonts w:hint="eastAsia" w:ascii="微软雅黑" w:hAnsi="微软雅黑" w:eastAsia="微软雅黑" w:cs="微软雅黑"/>
          <w:color w:val="auto"/>
          <w:sz w:val="48"/>
          <w:szCs w:val="32"/>
        </w:rPr>
      </w:pPr>
      <w:r>
        <w:rPr>
          <w:rFonts w:hint="eastAsia" w:ascii="微软雅黑" w:hAnsi="微软雅黑" w:eastAsia="微软雅黑" w:cs="微软雅黑"/>
          <w:color w:val="auto"/>
          <w:sz w:val="36"/>
          <w:szCs w:val="36"/>
        </w:rPr>
        <w:t>202</w:t>
      </w:r>
      <w:r>
        <w:rPr>
          <w:rFonts w:hint="eastAsia" w:ascii="微软雅黑" w:hAnsi="微软雅黑" w:eastAsia="微软雅黑" w:cs="微软雅黑"/>
          <w:color w:val="auto"/>
          <w:sz w:val="36"/>
          <w:szCs w:val="36"/>
          <w:lang w:val="en-US" w:eastAsia="zh-CN"/>
        </w:rPr>
        <w:t>6</w:t>
      </w:r>
      <w:r>
        <w:rPr>
          <w:rFonts w:hint="eastAsia" w:ascii="微软雅黑" w:hAnsi="微软雅黑" w:eastAsia="微软雅黑" w:cs="微软雅黑"/>
          <w:color w:val="auto"/>
          <w:sz w:val="36"/>
          <w:szCs w:val="36"/>
        </w:rPr>
        <w:t>年</w:t>
      </w:r>
      <w:r>
        <w:rPr>
          <w:rFonts w:hint="eastAsia" w:ascii="微软雅黑" w:hAnsi="微软雅黑" w:eastAsia="微软雅黑" w:cs="微软雅黑"/>
          <w:color w:val="auto"/>
          <w:sz w:val="36"/>
          <w:szCs w:val="36"/>
          <w:lang w:val="en-US" w:eastAsia="zh-CN"/>
        </w:rPr>
        <w:t>2</w:t>
      </w:r>
      <w:r>
        <w:rPr>
          <w:rFonts w:hint="eastAsia" w:ascii="微软雅黑" w:hAnsi="微软雅黑" w:eastAsia="微软雅黑" w:cs="微软雅黑"/>
          <w:color w:val="auto"/>
          <w:sz w:val="36"/>
          <w:szCs w:val="36"/>
        </w:rPr>
        <w:t>月</w:t>
      </w:r>
    </w:p>
    <w:p>
      <w:pPr>
        <w:spacing w:line="720" w:lineRule="exact"/>
        <w:jc w:val="center"/>
        <w:outlineLvl w:val="0"/>
        <w:rPr>
          <w:rFonts w:hint="eastAsia" w:ascii="微软雅黑" w:hAnsi="微软雅黑" w:eastAsia="微软雅黑" w:cs="微软雅黑"/>
          <w:color w:val="auto"/>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color w:val="auto"/>
          <w:sz w:val="44"/>
          <w:szCs w:val="28"/>
        </w:rPr>
      </w:pPr>
      <w:r>
        <w:rPr>
          <w:rFonts w:hint="eastAsia" w:ascii="微软雅黑" w:hAnsi="微软雅黑" w:eastAsia="微软雅黑" w:cs="微软雅黑"/>
          <w:color w:val="auto"/>
          <w:sz w:val="44"/>
          <w:szCs w:val="28"/>
        </w:rPr>
        <w:t>目   录</w:t>
      </w:r>
    </w:p>
    <w:p>
      <w:pPr>
        <w:pStyle w:val="46"/>
        <w:bidi w:val="0"/>
        <w:spacing w:line="240" w:lineRule="auto"/>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TOC \o "1-3" \h \z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HYPERLINK \l "_Toc5302"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第一篇  采购邀请书</w:t>
      </w:r>
      <w:r>
        <w:rPr>
          <w:rFonts w:hint="eastAsia" w:ascii="微软雅黑" w:hAnsi="微软雅黑" w:eastAsia="微软雅黑" w:cs="微软雅黑"/>
          <w:color w:val="auto"/>
        </w:rPr>
        <w:tab/>
      </w: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PAGEREF _Toc5302 \h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- 2 -</w:t>
      </w:r>
      <w:r>
        <w:rPr>
          <w:rFonts w:hint="eastAsia" w:ascii="微软雅黑" w:hAnsi="微软雅黑" w:eastAsia="微软雅黑" w:cs="微软雅黑"/>
          <w:color w:val="auto"/>
        </w:rPr>
        <w:fldChar w:fldCharType="end"/>
      </w:r>
      <w:r>
        <w:rPr>
          <w:rFonts w:hint="eastAsia" w:ascii="微软雅黑" w:hAnsi="微软雅黑" w:eastAsia="微软雅黑" w:cs="微软雅黑"/>
          <w:color w:val="auto"/>
        </w:rPr>
        <w:fldChar w:fldCharType="end"/>
      </w:r>
    </w:p>
    <w:p>
      <w:pPr>
        <w:pStyle w:val="46"/>
        <w:bidi w:val="0"/>
        <w:spacing w:line="240" w:lineRule="auto"/>
        <w:rPr>
          <w:rFonts w:hint="eastAsia" w:ascii="微软雅黑" w:hAnsi="微软雅黑" w:eastAsia="微软雅黑" w:cs="微软雅黑"/>
          <w:color w:val="auto"/>
        </w:rPr>
      </w:pP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HYPERLINK \l "_Toc8917"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一、公开比选采购内容</w:t>
      </w:r>
      <w:r>
        <w:rPr>
          <w:rFonts w:hint="eastAsia" w:ascii="微软雅黑" w:hAnsi="微软雅黑" w:eastAsia="微软雅黑" w:cs="微软雅黑"/>
          <w:color w:val="auto"/>
        </w:rPr>
        <w:tab/>
      </w: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PAGEREF _Toc8917 \h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- 2 -</w:t>
      </w:r>
      <w:r>
        <w:rPr>
          <w:rFonts w:hint="eastAsia" w:ascii="微软雅黑" w:hAnsi="微软雅黑" w:eastAsia="微软雅黑" w:cs="微软雅黑"/>
          <w:color w:val="auto"/>
        </w:rPr>
        <w:fldChar w:fldCharType="end"/>
      </w:r>
      <w:r>
        <w:rPr>
          <w:rFonts w:hint="eastAsia" w:ascii="微软雅黑" w:hAnsi="微软雅黑" w:eastAsia="微软雅黑" w:cs="微软雅黑"/>
          <w:color w:val="auto"/>
        </w:rPr>
        <w:fldChar w:fldCharType="end"/>
      </w:r>
    </w:p>
    <w:p>
      <w:pPr>
        <w:pStyle w:val="46"/>
        <w:bidi w:val="0"/>
        <w:spacing w:line="240" w:lineRule="auto"/>
        <w:rPr>
          <w:rFonts w:hint="eastAsia" w:ascii="微软雅黑" w:hAnsi="微软雅黑" w:eastAsia="微软雅黑" w:cs="微软雅黑"/>
          <w:color w:val="auto"/>
        </w:rPr>
      </w:pP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HYPERLINK \l "_Toc13455"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二、投标人资格条件</w:t>
      </w:r>
      <w:r>
        <w:rPr>
          <w:rFonts w:hint="eastAsia" w:ascii="微软雅黑" w:hAnsi="微软雅黑" w:eastAsia="微软雅黑" w:cs="微软雅黑"/>
          <w:color w:val="auto"/>
        </w:rPr>
        <w:tab/>
      </w: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PAGEREF _Toc13455 \h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- 2 -</w:t>
      </w:r>
      <w:r>
        <w:rPr>
          <w:rFonts w:hint="eastAsia" w:ascii="微软雅黑" w:hAnsi="微软雅黑" w:eastAsia="微软雅黑" w:cs="微软雅黑"/>
          <w:color w:val="auto"/>
        </w:rPr>
        <w:fldChar w:fldCharType="end"/>
      </w:r>
      <w:r>
        <w:rPr>
          <w:rFonts w:hint="eastAsia" w:ascii="微软雅黑" w:hAnsi="微软雅黑" w:eastAsia="微软雅黑" w:cs="微软雅黑"/>
          <w:color w:val="auto"/>
        </w:rPr>
        <w:fldChar w:fldCharType="end"/>
      </w:r>
    </w:p>
    <w:p>
      <w:pPr>
        <w:pStyle w:val="46"/>
        <w:bidi w:val="0"/>
        <w:spacing w:line="240" w:lineRule="auto"/>
        <w:rPr>
          <w:rFonts w:hint="eastAsia" w:ascii="微软雅黑" w:hAnsi="微软雅黑" w:eastAsia="微软雅黑" w:cs="微软雅黑"/>
          <w:color w:val="auto"/>
        </w:rPr>
      </w:pP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HYPERLINK \l "_Toc29069"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三、比选有关说明</w:t>
      </w:r>
      <w:r>
        <w:rPr>
          <w:rFonts w:hint="eastAsia" w:ascii="微软雅黑" w:hAnsi="微软雅黑" w:eastAsia="微软雅黑" w:cs="微软雅黑"/>
          <w:color w:val="auto"/>
        </w:rPr>
        <w:tab/>
      </w: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PAGEREF _Toc29069 \h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- 2 -</w:t>
      </w:r>
      <w:r>
        <w:rPr>
          <w:rFonts w:hint="eastAsia" w:ascii="微软雅黑" w:hAnsi="微软雅黑" w:eastAsia="微软雅黑" w:cs="微软雅黑"/>
          <w:color w:val="auto"/>
        </w:rPr>
        <w:fldChar w:fldCharType="end"/>
      </w:r>
      <w:r>
        <w:rPr>
          <w:rFonts w:hint="eastAsia" w:ascii="微软雅黑" w:hAnsi="微软雅黑" w:eastAsia="微软雅黑" w:cs="微软雅黑"/>
          <w:color w:val="auto"/>
        </w:rPr>
        <w:fldChar w:fldCharType="end"/>
      </w:r>
    </w:p>
    <w:p>
      <w:pPr>
        <w:pStyle w:val="46"/>
        <w:bidi w:val="0"/>
        <w:spacing w:line="240" w:lineRule="auto"/>
        <w:rPr>
          <w:rFonts w:hint="eastAsia" w:ascii="微软雅黑" w:hAnsi="微软雅黑" w:eastAsia="微软雅黑" w:cs="微软雅黑"/>
          <w:color w:val="auto"/>
        </w:rPr>
      </w:pP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HYPERLINK \l "_Toc27275"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四、保证金</w:t>
      </w:r>
      <w:r>
        <w:rPr>
          <w:rFonts w:hint="eastAsia" w:ascii="微软雅黑" w:hAnsi="微软雅黑" w:eastAsia="微软雅黑" w:cs="微软雅黑"/>
          <w:color w:val="auto"/>
        </w:rPr>
        <w:tab/>
      </w: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PAGEREF _Toc27275 \h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- 2 -</w:t>
      </w:r>
      <w:r>
        <w:rPr>
          <w:rFonts w:hint="eastAsia" w:ascii="微软雅黑" w:hAnsi="微软雅黑" w:eastAsia="微软雅黑" w:cs="微软雅黑"/>
          <w:color w:val="auto"/>
        </w:rPr>
        <w:fldChar w:fldCharType="end"/>
      </w:r>
      <w:r>
        <w:rPr>
          <w:rFonts w:hint="eastAsia" w:ascii="微软雅黑" w:hAnsi="微软雅黑" w:eastAsia="微软雅黑" w:cs="微软雅黑"/>
          <w:color w:val="auto"/>
        </w:rPr>
        <w:fldChar w:fldCharType="end"/>
      </w:r>
    </w:p>
    <w:p>
      <w:pPr>
        <w:pStyle w:val="46"/>
        <w:bidi w:val="0"/>
        <w:spacing w:line="240" w:lineRule="auto"/>
        <w:rPr>
          <w:rFonts w:hint="eastAsia" w:ascii="微软雅黑" w:hAnsi="微软雅黑" w:eastAsia="微软雅黑" w:cs="微软雅黑"/>
          <w:color w:val="auto"/>
        </w:rPr>
      </w:pP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HYPERLINK \l "_Toc2344"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五、其它</w:t>
      </w:r>
      <w:r>
        <w:rPr>
          <w:rFonts w:hint="eastAsia" w:ascii="微软雅黑" w:hAnsi="微软雅黑" w:eastAsia="微软雅黑" w:cs="微软雅黑"/>
          <w:color w:val="auto"/>
        </w:rPr>
        <w:tab/>
      </w: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PAGEREF _Toc2344 \h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- 3 -</w:t>
      </w:r>
      <w:r>
        <w:rPr>
          <w:rFonts w:hint="eastAsia" w:ascii="微软雅黑" w:hAnsi="微软雅黑" w:eastAsia="微软雅黑" w:cs="微软雅黑"/>
          <w:color w:val="auto"/>
        </w:rPr>
        <w:fldChar w:fldCharType="end"/>
      </w:r>
      <w:r>
        <w:rPr>
          <w:rFonts w:hint="eastAsia" w:ascii="微软雅黑" w:hAnsi="微软雅黑" w:eastAsia="微软雅黑" w:cs="微软雅黑"/>
          <w:color w:val="auto"/>
        </w:rPr>
        <w:fldChar w:fldCharType="end"/>
      </w:r>
    </w:p>
    <w:p>
      <w:pPr>
        <w:pStyle w:val="46"/>
        <w:bidi w:val="0"/>
        <w:spacing w:line="240" w:lineRule="auto"/>
        <w:rPr>
          <w:rFonts w:hint="eastAsia" w:ascii="微软雅黑" w:hAnsi="微软雅黑" w:eastAsia="微软雅黑" w:cs="微软雅黑"/>
          <w:color w:val="auto"/>
        </w:rPr>
      </w:pP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HYPERLINK \l "_Toc29391"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六、联系方式</w:t>
      </w:r>
      <w:r>
        <w:rPr>
          <w:rFonts w:hint="eastAsia" w:ascii="微软雅黑" w:hAnsi="微软雅黑" w:eastAsia="微软雅黑" w:cs="微软雅黑"/>
          <w:color w:val="auto"/>
        </w:rPr>
        <w:tab/>
      </w: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PAGEREF _Toc29391 \h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- 3 -</w:t>
      </w:r>
      <w:r>
        <w:rPr>
          <w:rFonts w:hint="eastAsia" w:ascii="微软雅黑" w:hAnsi="微软雅黑" w:eastAsia="微软雅黑" w:cs="微软雅黑"/>
          <w:color w:val="auto"/>
        </w:rPr>
        <w:fldChar w:fldCharType="end"/>
      </w:r>
      <w:r>
        <w:rPr>
          <w:rFonts w:hint="eastAsia" w:ascii="微软雅黑" w:hAnsi="微软雅黑" w:eastAsia="微软雅黑" w:cs="微软雅黑"/>
          <w:color w:val="auto"/>
        </w:rPr>
        <w:fldChar w:fldCharType="end"/>
      </w:r>
    </w:p>
    <w:p>
      <w:pPr>
        <w:pStyle w:val="46"/>
        <w:bidi w:val="0"/>
        <w:spacing w:line="240" w:lineRule="auto"/>
        <w:rPr>
          <w:rFonts w:hint="eastAsia" w:ascii="微软雅黑" w:hAnsi="微软雅黑" w:eastAsia="微软雅黑" w:cs="微软雅黑"/>
          <w:color w:val="auto"/>
        </w:rPr>
      </w:pP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HYPERLINK \l "_Toc10517"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第二篇 项目技术（质量）及商务需求</w:t>
      </w:r>
      <w:r>
        <w:rPr>
          <w:rFonts w:hint="eastAsia" w:ascii="微软雅黑" w:hAnsi="微软雅黑" w:eastAsia="微软雅黑" w:cs="微软雅黑"/>
          <w:color w:val="auto"/>
        </w:rPr>
        <w:tab/>
      </w: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PAGEREF _Toc10517 \h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- 4 -</w:t>
      </w:r>
      <w:r>
        <w:rPr>
          <w:rFonts w:hint="eastAsia" w:ascii="微软雅黑" w:hAnsi="微软雅黑" w:eastAsia="微软雅黑" w:cs="微软雅黑"/>
          <w:color w:val="auto"/>
        </w:rPr>
        <w:fldChar w:fldCharType="end"/>
      </w:r>
      <w:r>
        <w:rPr>
          <w:rFonts w:hint="eastAsia" w:ascii="微软雅黑" w:hAnsi="微软雅黑" w:eastAsia="微软雅黑" w:cs="微软雅黑"/>
          <w:color w:val="auto"/>
        </w:rPr>
        <w:fldChar w:fldCharType="end"/>
      </w:r>
    </w:p>
    <w:p>
      <w:pPr>
        <w:pStyle w:val="46"/>
        <w:bidi w:val="0"/>
        <w:spacing w:line="240" w:lineRule="auto"/>
        <w:rPr>
          <w:rFonts w:hint="eastAsia" w:ascii="微软雅黑" w:hAnsi="微软雅黑" w:eastAsia="微软雅黑" w:cs="微软雅黑"/>
          <w:color w:val="auto"/>
        </w:rPr>
      </w:pP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HYPERLINK \l "_Toc8585"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第三篇  公开比选采购程序及方法、评审标准、无效响应和采购终止</w:t>
      </w:r>
      <w:r>
        <w:rPr>
          <w:rFonts w:hint="eastAsia" w:ascii="微软雅黑" w:hAnsi="微软雅黑" w:eastAsia="微软雅黑" w:cs="微软雅黑"/>
          <w:color w:val="auto"/>
        </w:rPr>
        <w:tab/>
      </w: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PAGEREF _Toc8585 \h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- 5 -</w:t>
      </w:r>
      <w:r>
        <w:rPr>
          <w:rFonts w:hint="eastAsia" w:ascii="微软雅黑" w:hAnsi="微软雅黑" w:eastAsia="微软雅黑" w:cs="微软雅黑"/>
          <w:color w:val="auto"/>
        </w:rPr>
        <w:fldChar w:fldCharType="end"/>
      </w:r>
      <w:r>
        <w:rPr>
          <w:rFonts w:hint="eastAsia" w:ascii="微软雅黑" w:hAnsi="微软雅黑" w:eastAsia="微软雅黑" w:cs="微软雅黑"/>
          <w:color w:val="auto"/>
        </w:rPr>
        <w:fldChar w:fldCharType="end"/>
      </w:r>
    </w:p>
    <w:p>
      <w:pPr>
        <w:pStyle w:val="46"/>
        <w:bidi w:val="0"/>
        <w:spacing w:line="240" w:lineRule="auto"/>
        <w:rPr>
          <w:rFonts w:hint="eastAsia" w:ascii="微软雅黑" w:hAnsi="微软雅黑" w:eastAsia="微软雅黑" w:cs="微软雅黑"/>
          <w:color w:val="auto"/>
        </w:rPr>
      </w:pP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HYPERLINK \l "_Toc18313"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一、公开比选采购程序</w:t>
      </w:r>
      <w:r>
        <w:rPr>
          <w:rFonts w:hint="eastAsia" w:ascii="微软雅黑" w:hAnsi="微软雅黑" w:eastAsia="微软雅黑" w:cs="微软雅黑"/>
          <w:color w:val="auto"/>
        </w:rPr>
        <w:tab/>
      </w: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PAGEREF _Toc18313 \h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- 5 -</w:t>
      </w:r>
      <w:r>
        <w:rPr>
          <w:rFonts w:hint="eastAsia" w:ascii="微软雅黑" w:hAnsi="微软雅黑" w:eastAsia="微软雅黑" w:cs="微软雅黑"/>
          <w:color w:val="auto"/>
        </w:rPr>
        <w:fldChar w:fldCharType="end"/>
      </w:r>
      <w:r>
        <w:rPr>
          <w:rFonts w:hint="eastAsia" w:ascii="微软雅黑" w:hAnsi="微软雅黑" w:eastAsia="微软雅黑" w:cs="微软雅黑"/>
          <w:color w:val="auto"/>
        </w:rPr>
        <w:fldChar w:fldCharType="end"/>
      </w:r>
    </w:p>
    <w:p>
      <w:pPr>
        <w:pStyle w:val="46"/>
        <w:bidi w:val="0"/>
        <w:spacing w:line="240" w:lineRule="auto"/>
        <w:rPr>
          <w:rFonts w:hint="eastAsia" w:ascii="微软雅黑" w:hAnsi="微软雅黑" w:eastAsia="微软雅黑" w:cs="微软雅黑"/>
          <w:color w:val="auto"/>
        </w:rPr>
      </w:pP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HYPERLINK \l "_Toc17379"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二、评标方法</w:t>
      </w:r>
      <w:r>
        <w:rPr>
          <w:rFonts w:hint="eastAsia" w:ascii="微软雅黑" w:hAnsi="微软雅黑" w:eastAsia="微软雅黑" w:cs="微软雅黑"/>
          <w:color w:val="auto"/>
        </w:rPr>
        <w:tab/>
      </w: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PAGEREF _Toc17379 \h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- 6 -</w:t>
      </w:r>
      <w:r>
        <w:rPr>
          <w:rFonts w:hint="eastAsia" w:ascii="微软雅黑" w:hAnsi="微软雅黑" w:eastAsia="微软雅黑" w:cs="微软雅黑"/>
          <w:color w:val="auto"/>
        </w:rPr>
        <w:fldChar w:fldCharType="end"/>
      </w:r>
      <w:r>
        <w:rPr>
          <w:rFonts w:hint="eastAsia" w:ascii="微软雅黑" w:hAnsi="微软雅黑" w:eastAsia="微软雅黑" w:cs="微软雅黑"/>
          <w:color w:val="auto"/>
        </w:rPr>
        <w:fldChar w:fldCharType="end"/>
      </w:r>
    </w:p>
    <w:p>
      <w:pPr>
        <w:pStyle w:val="46"/>
        <w:bidi w:val="0"/>
        <w:spacing w:line="240" w:lineRule="auto"/>
        <w:rPr>
          <w:rFonts w:hint="eastAsia" w:ascii="微软雅黑" w:hAnsi="微软雅黑" w:eastAsia="微软雅黑" w:cs="微软雅黑"/>
          <w:color w:val="auto"/>
        </w:rPr>
      </w:pP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HYPERLINK \l "_Toc28275"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三、报价方式</w:t>
      </w:r>
      <w:r>
        <w:rPr>
          <w:rFonts w:hint="eastAsia" w:ascii="微软雅黑" w:hAnsi="微软雅黑" w:eastAsia="微软雅黑" w:cs="微软雅黑"/>
          <w:color w:val="auto"/>
        </w:rPr>
        <w:tab/>
      </w: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PAGEREF _Toc28275 \h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- 6 -</w:t>
      </w:r>
      <w:r>
        <w:rPr>
          <w:rFonts w:hint="eastAsia" w:ascii="微软雅黑" w:hAnsi="微软雅黑" w:eastAsia="微软雅黑" w:cs="微软雅黑"/>
          <w:color w:val="auto"/>
        </w:rPr>
        <w:fldChar w:fldCharType="end"/>
      </w:r>
      <w:r>
        <w:rPr>
          <w:rFonts w:hint="eastAsia" w:ascii="微软雅黑" w:hAnsi="微软雅黑" w:eastAsia="微软雅黑" w:cs="微软雅黑"/>
          <w:color w:val="auto"/>
        </w:rPr>
        <w:fldChar w:fldCharType="end"/>
      </w:r>
    </w:p>
    <w:p>
      <w:pPr>
        <w:pStyle w:val="46"/>
        <w:bidi w:val="0"/>
        <w:spacing w:line="240" w:lineRule="auto"/>
        <w:rPr>
          <w:rFonts w:hint="eastAsia" w:ascii="微软雅黑" w:hAnsi="微软雅黑" w:eastAsia="微软雅黑" w:cs="微软雅黑"/>
          <w:color w:val="auto"/>
        </w:rPr>
      </w:pP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HYPERLINK \l "_Toc4054"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四、评审标准</w:t>
      </w:r>
      <w:r>
        <w:rPr>
          <w:rFonts w:hint="eastAsia" w:ascii="微软雅黑" w:hAnsi="微软雅黑" w:eastAsia="微软雅黑" w:cs="微软雅黑"/>
          <w:color w:val="auto"/>
        </w:rPr>
        <w:tab/>
      </w: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PAGEREF _Toc4054 \h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- 6 -</w:t>
      </w:r>
      <w:r>
        <w:rPr>
          <w:rFonts w:hint="eastAsia" w:ascii="微软雅黑" w:hAnsi="微软雅黑" w:eastAsia="微软雅黑" w:cs="微软雅黑"/>
          <w:color w:val="auto"/>
        </w:rPr>
        <w:fldChar w:fldCharType="end"/>
      </w:r>
      <w:r>
        <w:rPr>
          <w:rFonts w:hint="eastAsia" w:ascii="微软雅黑" w:hAnsi="微软雅黑" w:eastAsia="微软雅黑" w:cs="微软雅黑"/>
          <w:color w:val="auto"/>
        </w:rPr>
        <w:fldChar w:fldCharType="end"/>
      </w:r>
    </w:p>
    <w:p>
      <w:pPr>
        <w:pStyle w:val="46"/>
        <w:bidi w:val="0"/>
        <w:spacing w:line="240" w:lineRule="auto"/>
        <w:rPr>
          <w:rFonts w:hint="eastAsia" w:ascii="微软雅黑" w:hAnsi="微软雅黑" w:eastAsia="微软雅黑" w:cs="微软雅黑"/>
          <w:color w:val="auto"/>
        </w:rPr>
      </w:pP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HYPERLINK \l "_Toc2214"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四、无效响应</w:t>
      </w:r>
      <w:r>
        <w:rPr>
          <w:rFonts w:hint="eastAsia" w:ascii="微软雅黑" w:hAnsi="微软雅黑" w:eastAsia="微软雅黑" w:cs="微软雅黑"/>
          <w:color w:val="auto"/>
        </w:rPr>
        <w:tab/>
      </w: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PAGEREF _Toc2214 \h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- 6 -</w:t>
      </w:r>
      <w:r>
        <w:rPr>
          <w:rFonts w:hint="eastAsia" w:ascii="微软雅黑" w:hAnsi="微软雅黑" w:eastAsia="微软雅黑" w:cs="微软雅黑"/>
          <w:color w:val="auto"/>
        </w:rPr>
        <w:fldChar w:fldCharType="end"/>
      </w:r>
      <w:r>
        <w:rPr>
          <w:rFonts w:hint="eastAsia" w:ascii="微软雅黑" w:hAnsi="微软雅黑" w:eastAsia="微软雅黑" w:cs="微软雅黑"/>
          <w:color w:val="auto"/>
        </w:rPr>
        <w:fldChar w:fldCharType="end"/>
      </w:r>
    </w:p>
    <w:p>
      <w:pPr>
        <w:pStyle w:val="46"/>
        <w:bidi w:val="0"/>
        <w:spacing w:line="240" w:lineRule="auto"/>
        <w:rPr>
          <w:rFonts w:hint="eastAsia" w:ascii="微软雅黑" w:hAnsi="微软雅黑" w:eastAsia="微软雅黑" w:cs="微软雅黑"/>
          <w:color w:val="auto"/>
        </w:rPr>
      </w:pP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HYPERLINK \l "_Toc1725"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五、废标条款</w:t>
      </w:r>
      <w:r>
        <w:rPr>
          <w:rFonts w:hint="eastAsia" w:ascii="微软雅黑" w:hAnsi="微软雅黑" w:eastAsia="微软雅黑" w:cs="微软雅黑"/>
          <w:color w:val="auto"/>
        </w:rPr>
        <w:tab/>
      </w: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PAGEREF _Toc1725 \h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- 7 -</w:t>
      </w:r>
      <w:r>
        <w:rPr>
          <w:rFonts w:hint="eastAsia" w:ascii="微软雅黑" w:hAnsi="微软雅黑" w:eastAsia="微软雅黑" w:cs="微软雅黑"/>
          <w:color w:val="auto"/>
        </w:rPr>
        <w:fldChar w:fldCharType="end"/>
      </w:r>
      <w:r>
        <w:rPr>
          <w:rFonts w:hint="eastAsia" w:ascii="微软雅黑" w:hAnsi="微软雅黑" w:eastAsia="微软雅黑" w:cs="微软雅黑"/>
          <w:color w:val="auto"/>
        </w:rPr>
        <w:fldChar w:fldCharType="end"/>
      </w:r>
    </w:p>
    <w:p>
      <w:pPr>
        <w:pStyle w:val="46"/>
        <w:bidi w:val="0"/>
        <w:spacing w:line="240" w:lineRule="auto"/>
        <w:rPr>
          <w:rFonts w:hint="eastAsia" w:ascii="微软雅黑" w:hAnsi="微软雅黑" w:eastAsia="微软雅黑" w:cs="微软雅黑"/>
          <w:color w:val="auto"/>
        </w:rPr>
      </w:pP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HYPERLINK \l "_Toc5273"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第四篇  投标人须知</w:t>
      </w:r>
      <w:r>
        <w:rPr>
          <w:rFonts w:hint="eastAsia" w:ascii="微软雅黑" w:hAnsi="微软雅黑" w:eastAsia="微软雅黑" w:cs="微软雅黑"/>
          <w:color w:val="auto"/>
        </w:rPr>
        <w:tab/>
      </w: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PAGEREF _Toc5273 \h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- 8 -</w:t>
      </w:r>
      <w:r>
        <w:rPr>
          <w:rFonts w:hint="eastAsia" w:ascii="微软雅黑" w:hAnsi="微软雅黑" w:eastAsia="微软雅黑" w:cs="微软雅黑"/>
          <w:color w:val="auto"/>
        </w:rPr>
        <w:fldChar w:fldCharType="end"/>
      </w:r>
      <w:r>
        <w:rPr>
          <w:rFonts w:hint="eastAsia" w:ascii="微软雅黑" w:hAnsi="微软雅黑" w:eastAsia="微软雅黑" w:cs="微软雅黑"/>
          <w:color w:val="auto"/>
        </w:rPr>
        <w:fldChar w:fldCharType="end"/>
      </w:r>
    </w:p>
    <w:p>
      <w:pPr>
        <w:pStyle w:val="46"/>
        <w:bidi w:val="0"/>
        <w:spacing w:line="240" w:lineRule="auto"/>
        <w:rPr>
          <w:rFonts w:hint="eastAsia" w:ascii="微软雅黑" w:hAnsi="微软雅黑" w:eastAsia="微软雅黑" w:cs="微软雅黑"/>
          <w:color w:val="auto"/>
        </w:rPr>
      </w:pP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HYPERLINK \l "_Toc19855"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一、公开比选费用</w:t>
      </w:r>
      <w:r>
        <w:rPr>
          <w:rFonts w:hint="eastAsia" w:ascii="微软雅黑" w:hAnsi="微软雅黑" w:eastAsia="微软雅黑" w:cs="微软雅黑"/>
          <w:color w:val="auto"/>
        </w:rPr>
        <w:tab/>
      </w: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PAGEREF _Toc19855 \h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- 8 -</w:t>
      </w:r>
      <w:r>
        <w:rPr>
          <w:rFonts w:hint="eastAsia" w:ascii="微软雅黑" w:hAnsi="微软雅黑" w:eastAsia="微软雅黑" w:cs="微软雅黑"/>
          <w:color w:val="auto"/>
        </w:rPr>
        <w:fldChar w:fldCharType="end"/>
      </w:r>
      <w:r>
        <w:rPr>
          <w:rFonts w:hint="eastAsia" w:ascii="微软雅黑" w:hAnsi="微软雅黑" w:eastAsia="微软雅黑" w:cs="微软雅黑"/>
          <w:color w:val="auto"/>
        </w:rPr>
        <w:fldChar w:fldCharType="end"/>
      </w:r>
    </w:p>
    <w:p>
      <w:pPr>
        <w:pStyle w:val="46"/>
        <w:bidi w:val="0"/>
        <w:spacing w:line="240" w:lineRule="auto"/>
        <w:rPr>
          <w:rFonts w:hint="eastAsia" w:ascii="微软雅黑" w:hAnsi="微软雅黑" w:eastAsia="微软雅黑" w:cs="微软雅黑"/>
          <w:color w:val="auto"/>
        </w:rPr>
      </w:pP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HYPERLINK \l "_Toc19008"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二、公开比选采购文件</w:t>
      </w:r>
      <w:r>
        <w:rPr>
          <w:rFonts w:hint="eastAsia" w:ascii="微软雅黑" w:hAnsi="微软雅黑" w:eastAsia="微软雅黑" w:cs="微软雅黑"/>
          <w:color w:val="auto"/>
        </w:rPr>
        <w:tab/>
      </w: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PAGEREF _Toc19008 \h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- 8 -</w:t>
      </w:r>
      <w:r>
        <w:rPr>
          <w:rFonts w:hint="eastAsia" w:ascii="微软雅黑" w:hAnsi="微软雅黑" w:eastAsia="微软雅黑" w:cs="微软雅黑"/>
          <w:color w:val="auto"/>
        </w:rPr>
        <w:fldChar w:fldCharType="end"/>
      </w:r>
      <w:r>
        <w:rPr>
          <w:rFonts w:hint="eastAsia" w:ascii="微软雅黑" w:hAnsi="微软雅黑" w:eastAsia="微软雅黑" w:cs="微软雅黑"/>
          <w:color w:val="auto"/>
        </w:rPr>
        <w:fldChar w:fldCharType="end"/>
      </w:r>
    </w:p>
    <w:p>
      <w:pPr>
        <w:pStyle w:val="46"/>
        <w:bidi w:val="0"/>
        <w:spacing w:line="240" w:lineRule="auto"/>
        <w:rPr>
          <w:rFonts w:hint="eastAsia" w:ascii="微软雅黑" w:hAnsi="微软雅黑" w:eastAsia="微软雅黑" w:cs="微软雅黑"/>
          <w:color w:val="auto"/>
        </w:rPr>
      </w:pP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HYPERLINK \l "_Toc12263"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三、比选要求</w:t>
      </w:r>
      <w:r>
        <w:rPr>
          <w:rFonts w:hint="eastAsia" w:ascii="微软雅黑" w:hAnsi="微软雅黑" w:eastAsia="微软雅黑" w:cs="微软雅黑"/>
          <w:color w:val="auto"/>
        </w:rPr>
        <w:tab/>
      </w: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PAGEREF _Toc12263 \h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- 8 -</w:t>
      </w:r>
      <w:r>
        <w:rPr>
          <w:rFonts w:hint="eastAsia" w:ascii="微软雅黑" w:hAnsi="微软雅黑" w:eastAsia="微软雅黑" w:cs="微软雅黑"/>
          <w:color w:val="auto"/>
        </w:rPr>
        <w:fldChar w:fldCharType="end"/>
      </w:r>
      <w:r>
        <w:rPr>
          <w:rFonts w:hint="eastAsia" w:ascii="微软雅黑" w:hAnsi="微软雅黑" w:eastAsia="微软雅黑" w:cs="微软雅黑"/>
          <w:color w:val="auto"/>
        </w:rPr>
        <w:fldChar w:fldCharType="end"/>
      </w:r>
    </w:p>
    <w:p>
      <w:pPr>
        <w:pStyle w:val="46"/>
        <w:bidi w:val="0"/>
        <w:spacing w:line="240" w:lineRule="auto"/>
        <w:rPr>
          <w:rFonts w:hint="eastAsia" w:ascii="微软雅黑" w:hAnsi="微软雅黑" w:eastAsia="微软雅黑" w:cs="微软雅黑"/>
          <w:color w:val="auto"/>
        </w:rPr>
      </w:pP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HYPERLINK \l "_Toc13425"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四、中标人的确认和变更</w:t>
      </w:r>
      <w:r>
        <w:rPr>
          <w:rFonts w:hint="eastAsia" w:ascii="微软雅黑" w:hAnsi="微软雅黑" w:eastAsia="微软雅黑" w:cs="微软雅黑"/>
          <w:color w:val="auto"/>
        </w:rPr>
        <w:tab/>
      </w: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PAGEREF _Toc13425 \h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- 9 -</w:t>
      </w:r>
      <w:r>
        <w:rPr>
          <w:rFonts w:hint="eastAsia" w:ascii="微软雅黑" w:hAnsi="微软雅黑" w:eastAsia="微软雅黑" w:cs="微软雅黑"/>
          <w:color w:val="auto"/>
        </w:rPr>
        <w:fldChar w:fldCharType="end"/>
      </w:r>
      <w:r>
        <w:rPr>
          <w:rFonts w:hint="eastAsia" w:ascii="微软雅黑" w:hAnsi="微软雅黑" w:eastAsia="微软雅黑" w:cs="微软雅黑"/>
          <w:color w:val="auto"/>
        </w:rPr>
        <w:fldChar w:fldCharType="end"/>
      </w:r>
    </w:p>
    <w:p>
      <w:pPr>
        <w:pStyle w:val="46"/>
        <w:bidi w:val="0"/>
        <w:spacing w:line="240" w:lineRule="auto"/>
        <w:rPr>
          <w:rFonts w:hint="eastAsia" w:ascii="微软雅黑" w:hAnsi="微软雅黑" w:eastAsia="微软雅黑" w:cs="微软雅黑"/>
          <w:color w:val="auto"/>
        </w:rPr>
      </w:pP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HYPERLINK \l "_Toc27713"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五、成交通知</w:t>
      </w:r>
      <w:r>
        <w:rPr>
          <w:rFonts w:hint="eastAsia" w:ascii="微软雅黑" w:hAnsi="微软雅黑" w:eastAsia="微软雅黑" w:cs="微软雅黑"/>
          <w:color w:val="auto"/>
        </w:rPr>
        <w:tab/>
      </w: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PAGEREF _Toc27713 \h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- 9 -</w:t>
      </w:r>
      <w:r>
        <w:rPr>
          <w:rFonts w:hint="eastAsia" w:ascii="微软雅黑" w:hAnsi="微软雅黑" w:eastAsia="微软雅黑" w:cs="微软雅黑"/>
          <w:color w:val="auto"/>
        </w:rPr>
        <w:fldChar w:fldCharType="end"/>
      </w:r>
      <w:r>
        <w:rPr>
          <w:rFonts w:hint="eastAsia" w:ascii="微软雅黑" w:hAnsi="微软雅黑" w:eastAsia="微软雅黑" w:cs="微软雅黑"/>
          <w:color w:val="auto"/>
        </w:rPr>
        <w:fldChar w:fldCharType="end"/>
      </w:r>
    </w:p>
    <w:p>
      <w:pPr>
        <w:pStyle w:val="46"/>
        <w:bidi w:val="0"/>
        <w:spacing w:line="240" w:lineRule="auto"/>
        <w:rPr>
          <w:rFonts w:hint="eastAsia" w:ascii="微软雅黑" w:hAnsi="微软雅黑" w:eastAsia="微软雅黑" w:cs="微软雅黑"/>
          <w:color w:val="auto"/>
        </w:rPr>
      </w:pP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HYPERLINK \l "_Toc696"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六、质疑处理</w:t>
      </w:r>
      <w:r>
        <w:rPr>
          <w:rFonts w:hint="eastAsia" w:ascii="微软雅黑" w:hAnsi="微软雅黑" w:eastAsia="微软雅黑" w:cs="微软雅黑"/>
          <w:color w:val="auto"/>
        </w:rPr>
        <w:tab/>
      </w: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PAGEREF _Toc696 \h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- 9 -</w:t>
      </w:r>
      <w:r>
        <w:rPr>
          <w:rFonts w:hint="eastAsia" w:ascii="微软雅黑" w:hAnsi="微软雅黑" w:eastAsia="微软雅黑" w:cs="微软雅黑"/>
          <w:color w:val="auto"/>
        </w:rPr>
        <w:fldChar w:fldCharType="end"/>
      </w:r>
      <w:r>
        <w:rPr>
          <w:rFonts w:hint="eastAsia" w:ascii="微软雅黑" w:hAnsi="微软雅黑" w:eastAsia="微软雅黑" w:cs="微软雅黑"/>
          <w:color w:val="auto"/>
        </w:rPr>
        <w:fldChar w:fldCharType="end"/>
      </w:r>
    </w:p>
    <w:p>
      <w:pPr>
        <w:pStyle w:val="46"/>
        <w:bidi w:val="0"/>
        <w:spacing w:line="240" w:lineRule="auto"/>
        <w:rPr>
          <w:rFonts w:hint="eastAsia" w:ascii="微软雅黑" w:hAnsi="微软雅黑" w:eastAsia="微软雅黑" w:cs="微软雅黑"/>
          <w:color w:val="auto"/>
        </w:rPr>
      </w:pP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HYPERLINK \l "_Toc6926"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七、签订合同</w:t>
      </w:r>
      <w:r>
        <w:rPr>
          <w:rFonts w:hint="eastAsia" w:ascii="微软雅黑" w:hAnsi="微软雅黑" w:eastAsia="微软雅黑" w:cs="微软雅黑"/>
          <w:color w:val="auto"/>
        </w:rPr>
        <w:tab/>
      </w: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PAGEREF _Toc6926 \h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- 10 -</w:t>
      </w:r>
      <w:r>
        <w:rPr>
          <w:rFonts w:hint="eastAsia" w:ascii="微软雅黑" w:hAnsi="微软雅黑" w:eastAsia="微软雅黑" w:cs="微软雅黑"/>
          <w:color w:val="auto"/>
        </w:rPr>
        <w:fldChar w:fldCharType="end"/>
      </w:r>
      <w:r>
        <w:rPr>
          <w:rFonts w:hint="eastAsia" w:ascii="微软雅黑" w:hAnsi="微软雅黑" w:eastAsia="微软雅黑" w:cs="微软雅黑"/>
          <w:color w:val="auto"/>
        </w:rPr>
        <w:fldChar w:fldCharType="end"/>
      </w:r>
    </w:p>
    <w:p>
      <w:pPr>
        <w:pStyle w:val="46"/>
        <w:bidi w:val="0"/>
        <w:spacing w:line="240" w:lineRule="auto"/>
        <w:rPr>
          <w:rFonts w:hint="eastAsia" w:ascii="微软雅黑" w:hAnsi="微软雅黑" w:eastAsia="微软雅黑" w:cs="微软雅黑"/>
          <w:color w:val="auto"/>
        </w:rPr>
      </w:pP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HYPERLINK \l "_Toc16009"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第五篇  响应文件编制要求</w:t>
      </w:r>
      <w:r>
        <w:rPr>
          <w:rFonts w:hint="eastAsia" w:ascii="微软雅黑" w:hAnsi="微软雅黑" w:eastAsia="微软雅黑" w:cs="微软雅黑"/>
          <w:color w:val="auto"/>
        </w:rPr>
        <w:tab/>
      </w: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PAGEREF _Toc16009 \h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- 11 -</w:t>
      </w:r>
      <w:r>
        <w:rPr>
          <w:rFonts w:hint="eastAsia" w:ascii="微软雅黑" w:hAnsi="微软雅黑" w:eastAsia="微软雅黑" w:cs="微软雅黑"/>
          <w:color w:val="auto"/>
        </w:rPr>
        <w:fldChar w:fldCharType="end"/>
      </w:r>
      <w:r>
        <w:rPr>
          <w:rFonts w:hint="eastAsia" w:ascii="微软雅黑" w:hAnsi="微软雅黑" w:eastAsia="微软雅黑" w:cs="微软雅黑"/>
          <w:color w:val="auto"/>
        </w:rPr>
        <w:fldChar w:fldCharType="end"/>
      </w:r>
    </w:p>
    <w:p>
      <w:pPr>
        <w:pStyle w:val="46"/>
        <w:bidi w:val="0"/>
        <w:spacing w:line="240" w:lineRule="auto"/>
        <w:rPr>
          <w:rFonts w:hint="eastAsia" w:ascii="微软雅黑" w:hAnsi="微软雅黑" w:eastAsia="微软雅黑" w:cs="微软雅黑"/>
          <w:color w:val="auto"/>
        </w:rPr>
      </w:pP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HYPERLINK \l "_Toc20374"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一、经济部分</w:t>
      </w:r>
      <w:r>
        <w:rPr>
          <w:rFonts w:hint="eastAsia" w:ascii="微软雅黑" w:hAnsi="微软雅黑" w:eastAsia="微软雅黑" w:cs="微软雅黑"/>
          <w:color w:val="auto"/>
        </w:rPr>
        <w:tab/>
      </w: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PAGEREF _Toc20374 \h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- 13 -</w:t>
      </w:r>
      <w:r>
        <w:rPr>
          <w:rFonts w:hint="eastAsia" w:ascii="微软雅黑" w:hAnsi="微软雅黑" w:eastAsia="微软雅黑" w:cs="微软雅黑"/>
          <w:color w:val="auto"/>
        </w:rPr>
        <w:fldChar w:fldCharType="end"/>
      </w:r>
      <w:r>
        <w:rPr>
          <w:rFonts w:hint="eastAsia" w:ascii="微软雅黑" w:hAnsi="微软雅黑" w:eastAsia="微软雅黑" w:cs="微软雅黑"/>
          <w:color w:val="auto"/>
        </w:rPr>
        <w:fldChar w:fldCharType="end"/>
      </w:r>
    </w:p>
    <w:p>
      <w:pPr>
        <w:pStyle w:val="46"/>
        <w:bidi w:val="0"/>
        <w:spacing w:line="240" w:lineRule="auto"/>
        <w:rPr>
          <w:rFonts w:hint="eastAsia" w:ascii="微软雅黑" w:hAnsi="微软雅黑" w:eastAsia="微软雅黑" w:cs="微软雅黑"/>
          <w:color w:val="auto"/>
        </w:rPr>
      </w:pP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HYPERLINK \l "_Toc10022"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二、技术部分</w:t>
      </w:r>
      <w:r>
        <w:rPr>
          <w:rFonts w:hint="eastAsia" w:ascii="微软雅黑" w:hAnsi="微软雅黑" w:eastAsia="微软雅黑" w:cs="微软雅黑"/>
          <w:color w:val="auto"/>
        </w:rPr>
        <w:tab/>
      </w: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PAGEREF _Toc10022 \h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- 15 -</w:t>
      </w:r>
      <w:r>
        <w:rPr>
          <w:rFonts w:hint="eastAsia" w:ascii="微软雅黑" w:hAnsi="微软雅黑" w:eastAsia="微软雅黑" w:cs="微软雅黑"/>
          <w:color w:val="auto"/>
        </w:rPr>
        <w:fldChar w:fldCharType="end"/>
      </w:r>
      <w:r>
        <w:rPr>
          <w:rFonts w:hint="eastAsia" w:ascii="微软雅黑" w:hAnsi="微软雅黑" w:eastAsia="微软雅黑" w:cs="微软雅黑"/>
          <w:color w:val="auto"/>
        </w:rPr>
        <w:fldChar w:fldCharType="end"/>
      </w:r>
    </w:p>
    <w:p>
      <w:pPr>
        <w:pStyle w:val="46"/>
        <w:bidi w:val="0"/>
        <w:spacing w:line="240" w:lineRule="auto"/>
        <w:rPr>
          <w:rFonts w:hint="eastAsia" w:ascii="微软雅黑" w:hAnsi="微软雅黑" w:eastAsia="微软雅黑" w:cs="微软雅黑"/>
          <w:color w:val="auto"/>
        </w:rPr>
      </w:pP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HYPERLINK \l "_Toc18624"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三、商务部分</w:t>
      </w:r>
      <w:r>
        <w:rPr>
          <w:rFonts w:hint="eastAsia" w:ascii="微软雅黑" w:hAnsi="微软雅黑" w:eastAsia="微软雅黑" w:cs="微软雅黑"/>
          <w:color w:val="auto"/>
        </w:rPr>
        <w:tab/>
      </w: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PAGEREF _Toc18624 \h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- 17 -</w:t>
      </w:r>
      <w:r>
        <w:rPr>
          <w:rFonts w:hint="eastAsia" w:ascii="微软雅黑" w:hAnsi="微软雅黑" w:eastAsia="微软雅黑" w:cs="微软雅黑"/>
          <w:color w:val="auto"/>
        </w:rPr>
        <w:fldChar w:fldCharType="end"/>
      </w:r>
      <w:r>
        <w:rPr>
          <w:rFonts w:hint="eastAsia" w:ascii="微软雅黑" w:hAnsi="微软雅黑" w:eastAsia="微软雅黑" w:cs="微软雅黑"/>
          <w:color w:val="auto"/>
        </w:rPr>
        <w:fldChar w:fldCharType="end"/>
      </w:r>
    </w:p>
    <w:p>
      <w:pPr>
        <w:pStyle w:val="46"/>
        <w:bidi w:val="0"/>
        <w:spacing w:line="240" w:lineRule="auto"/>
        <w:rPr>
          <w:color w:val="auto"/>
          <w:szCs w:val="24"/>
        </w:rPr>
      </w:pP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HYPERLINK \l "_Toc20931"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四、资格条件</w:t>
      </w:r>
      <w:r>
        <w:rPr>
          <w:rFonts w:hint="eastAsia" w:ascii="微软雅黑" w:hAnsi="微软雅黑" w:eastAsia="微软雅黑" w:cs="微软雅黑"/>
          <w:color w:val="auto"/>
        </w:rPr>
        <w:tab/>
      </w:r>
      <w:r>
        <w:rPr>
          <w:rFonts w:hint="eastAsia" w:ascii="微软雅黑" w:hAnsi="微软雅黑" w:eastAsia="微软雅黑" w:cs="微软雅黑"/>
          <w:color w:val="auto"/>
        </w:rPr>
        <w:fldChar w:fldCharType="begin"/>
      </w:r>
      <w:r>
        <w:rPr>
          <w:rFonts w:hint="eastAsia" w:ascii="微软雅黑" w:hAnsi="微软雅黑" w:eastAsia="微软雅黑" w:cs="微软雅黑"/>
          <w:color w:val="auto"/>
        </w:rPr>
        <w:instrText xml:space="preserve"> PAGEREF _Toc20931 \h </w:instrText>
      </w:r>
      <w:r>
        <w:rPr>
          <w:rFonts w:hint="eastAsia" w:ascii="微软雅黑" w:hAnsi="微软雅黑" w:eastAsia="微软雅黑" w:cs="微软雅黑"/>
          <w:color w:val="auto"/>
        </w:rPr>
        <w:fldChar w:fldCharType="separate"/>
      </w:r>
      <w:r>
        <w:rPr>
          <w:rFonts w:hint="eastAsia" w:ascii="微软雅黑" w:hAnsi="微软雅黑" w:eastAsia="微软雅黑" w:cs="微软雅黑"/>
          <w:color w:val="auto"/>
        </w:rPr>
        <w:t>- 19 -</w:t>
      </w:r>
      <w:r>
        <w:rPr>
          <w:rFonts w:hint="eastAsia" w:ascii="微软雅黑" w:hAnsi="微软雅黑" w:eastAsia="微软雅黑" w:cs="微软雅黑"/>
          <w:color w:val="auto"/>
        </w:rPr>
        <w:fldChar w:fldCharType="end"/>
      </w:r>
      <w:r>
        <w:rPr>
          <w:rFonts w:hint="eastAsia" w:ascii="微软雅黑" w:hAnsi="微软雅黑" w:eastAsia="微软雅黑" w:cs="微软雅黑"/>
          <w:color w:val="auto"/>
        </w:rPr>
        <w:fldChar w:fldCharType="end"/>
      </w:r>
    </w:p>
    <w:p>
      <w:pPr>
        <w:pStyle w:val="47"/>
        <w:tabs>
          <w:tab w:val="right" w:leader="dot" w:pos="9402"/>
        </w:tabs>
        <w:spacing w:line="480" w:lineRule="exact"/>
        <w:ind w:left="560"/>
        <w:jc w:val="center"/>
        <w:rPr>
          <w:rFonts w:hint="eastAsia" w:ascii="微软雅黑" w:hAnsi="微软雅黑" w:eastAsia="微软雅黑" w:cs="微软雅黑"/>
          <w:color w:val="auto"/>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color w:val="auto"/>
          <w:sz w:val="24"/>
          <w:szCs w:val="24"/>
        </w:rPr>
        <w:fldChar w:fldCharType="end"/>
      </w:r>
    </w:p>
    <w:p>
      <w:pPr>
        <w:pStyle w:val="5"/>
        <w:spacing w:before="200" w:after="200" w:line="240" w:lineRule="auto"/>
        <w:jc w:val="center"/>
        <w:rPr>
          <w:rFonts w:hint="eastAsia" w:ascii="微软雅黑" w:hAnsi="微软雅黑" w:eastAsia="微软雅黑" w:cs="微软雅黑"/>
          <w:color w:val="auto"/>
          <w:sz w:val="44"/>
        </w:rPr>
      </w:pPr>
      <w:bookmarkStart w:id="0" w:name="_Toc76462316"/>
      <w:bookmarkStart w:id="1" w:name="_Toc12789052"/>
      <w:bookmarkStart w:id="2" w:name="_Toc5302"/>
      <w:bookmarkStart w:id="3" w:name="_Toc106030870"/>
      <w:bookmarkStart w:id="4" w:name="_Toc11641050"/>
      <w:bookmarkStart w:id="5" w:name="_Toc24037"/>
      <w:r>
        <w:rPr>
          <w:rFonts w:hint="eastAsia" w:ascii="微软雅黑" w:hAnsi="微软雅黑" w:eastAsia="微软雅黑" w:cs="微软雅黑"/>
          <w:color w:val="auto"/>
          <w:sz w:val="44"/>
        </w:rPr>
        <w:t>第一篇  采购邀请书</w:t>
      </w:r>
      <w:bookmarkEnd w:id="0"/>
      <w:bookmarkEnd w:id="1"/>
      <w:bookmarkEnd w:id="2"/>
      <w:bookmarkEnd w:id="3"/>
      <w:bookmarkEnd w:id="4"/>
      <w:bookmarkEnd w:id="5"/>
    </w:p>
    <w:p>
      <w:pPr>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 xml:space="preserve">    重庆医科大学附属儿童医院对</w:t>
      </w:r>
      <w:r>
        <w:rPr>
          <w:rFonts w:hint="eastAsia" w:ascii="微软雅黑" w:hAnsi="微软雅黑" w:eastAsia="微软雅黑" w:cs="微软雅黑"/>
          <w:color w:val="auto"/>
          <w:sz w:val="24"/>
          <w:szCs w:val="24"/>
          <w:u w:val="single"/>
        </w:rPr>
        <w:t>重庆医科大学附属儿童医院高层建筑消防物联感知设备联网项目</w:t>
      </w:r>
      <w:r>
        <w:rPr>
          <w:rFonts w:hint="eastAsia" w:ascii="微软雅黑" w:hAnsi="微软雅黑" w:eastAsia="微软雅黑" w:cs="微软雅黑"/>
          <w:color w:val="auto"/>
          <w:sz w:val="24"/>
          <w:szCs w:val="24"/>
        </w:rPr>
        <w:t>项目进行公开比选采购。欢迎有资格的投标人前来参与。</w:t>
      </w:r>
    </w:p>
    <w:p>
      <w:pPr>
        <w:pStyle w:val="5"/>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6" w:name="_Toc313893526"/>
      <w:bookmarkStart w:id="7" w:name="_Toc3856"/>
      <w:bookmarkStart w:id="8" w:name="_Toc76462317"/>
      <w:bookmarkStart w:id="9" w:name="_Toc8917"/>
      <w:bookmarkStart w:id="10" w:name="_Toc317775175"/>
      <w:bookmarkStart w:id="11" w:name="_Toc106030871"/>
      <w:r>
        <w:rPr>
          <w:rFonts w:hint="eastAsia" w:ascii="微软雅黑" w:hAnsi="微软雅黑" w:eastAsia="微软雅黑" w:cs="微软雅黑"/>
          <w:color w:val="auto"/>
          <w:sz w:val="24"/>
        </w:rPr>
        <w:t>一、公开比选采购内容</w:t>
      </w:r>
      <w:bookmarkEnd w:id="6"/>
      <w:bookmarkEnd w:id="7"/>
      <w:bookmarkEnd w:id="8"/>
      <w:bookmarkEnd w:id="9"/>
      <w:bookmarkEnd w:id="10"/>
      <w:bookmarkEnd w:id="11"/>
    </w:p>
    <w:tbl>
      <w:tblPr>
        <w:tblStyle w:val="59"/>
        <w:tblW w:w="43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8"/>
        <w:gridCol w:w="2787"/>
        <w:gridCol w:w="1270"/>
        <w:gridCol w:w="1316"/>
        <w:gridCol w:w="14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66"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bookmarkStart w:id="12" w:name="_Toc76462318"/>
            <w:bookmarkStart w:id="13" w:name="_Toc106030872"/>
            <w:bookmarkStart w:id="14" w:name="_Toc373860293"/>
            <w:bookmarkStart w:id="15" w:name="_Toc317775178"/>
            <w:r>
              <w:rPr>
                <w:rFonts w:hint="eastAsia" w:ascii="微软雅黑" w:hAnsi="微软雅黑" w:eastAsia="微软雅黑" w:cs="微软雅黑"/>
                <w:b/>
                <w:bCs/>
                <w:color w:val="auto"/>
                <w:kern w:val="0"/>
                <w:sz w:val="21"/>
                <w:szCs w:val="24"/>
              </w:rPr>
              <w:t>项目编号</w:t>
            </w:r>
          </w:p>
        </w:tc>
        <w:tc>
          <w:tcPr>
            <w:tcW w:w="1690"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项目名称</w:t>
            </w:r>
          </w:p>
        </w:tc>
        <w:tc>
          <w:tcPr>
            <w:tcW w:w="770"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lang w:val="en-US" w:eastAsia="zh-CN"/>
              </w:rPr>
            </w:pPr>
            <w:r>
              <w:rPr>
                <w:rFonts w:hint="eastAsia" w:ascii="微软雅黑" w:hAnsi="微软雅黑" w:eastAsia="微软雅黑" w:cs="微软雅黑"/>
                <w:b/>
                <w:bCs/>
                <w:color w:val="auto"/>
                <w:kern w:val="0"/>
                <w:sz w:val="21"/>
                <w:szCs w:val="24"/>
                <w:lang w:val="en-US" w:eastAsia="zh-CN"/>
              </w:rPr>
              <w:t>投标保证金</w:t>
            </w:r>
          </w:p>
        </w:tc>
        <w:tc>
          <w:tcPr>
            <w:tcW w:w="798"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最高限价</w:t>
            </w:r>
          </w:p>
        </w:tc>
        <w:tc>
          <w:tcPr>
            <w:tcW w:w="874"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color w:val="auto"/>
                <w:kern w:val="0"/>
                <w:sz w:val="21"/>
                <w:szCs w:val="24"/>
                <w:lang w:val="en-US" w:eastAsia="zh-CN"/>
              </w:rPr>
            </w:pPr>
            <w:r>
              <w:rPr>
                <w:rFonts w:hint="eastAsia" w:ascii="微软雅黑" w:hAnsi="微软雅黑" w:eastAsia="微软雅黑" w:cs="微软雅黑"/>
                <w:b/>
                <w:bCs/>
                <w:color w:val="auto"/>
                <w:kern w:val="0"/>
                <w:sz w:val="21"/>
                <w:szCs w:val="24"/>
                <w:lang w:val="en-US" w:eastAsia="zh-CN"/>
              </w:rPr>
              <w:t>中标人数量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66"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auto"/>
                <w:kern w:val="0"/>
                <w:sz w:val="21"/>
                <w:szCs w:val="24"/>
                <w:lang w:val="en-US" w:eastAsia="zh-CN"/>
              </w:rPr>
            </w:pPr>
            <w:r>
              <w:rPr>
                <w:rFonts w:hint="eastAsia" w:ascii="微软雅黑" w:hAnsi="微软雅黑" w:eastAsia="微软雅黑" w:cs="微软雅黑"/>
                <w:color w:val="auto"/>
                <w:kern w:val="0"/>
                <w:sz w:val="21"/>
                <w:szCs w:val="24"/>
                <w:lang w:val="en-US" w:eastAsia="zh-CN"/>
              </w:rPr>
              <w:t>YBW260058</w:t>
            </w:r>
          </w:p>
        </w:tc>
        <w:tc>
          <w:tcPr>
            <w:tcW w:w="1690"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重庆医科大学附属儿童医院高层建筑消防物联感知设备联网项目</w:t>
            </w:r>
          </w:p>
        </w:tc>
        <w:tc>
          <w:tcPr>
            <w:tcW w:w="770"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2000元</w:t>
            </w:r>
          </w:p>
        </w:tc>
        <w:tc>
          <w:tcPr>
            <w:tcW w:w="798"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8.7万元</w:t>
            </w:r>
          </w:p>
        </w:tc>
        <w:tc>
          <w:tcPr>
            <w:tcW w:w="87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bl>
    <w:p>
      <w:pPr>
        <w:pStyle w:val="5"/>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 w:name="_Toc9755"/>
      <w:bookmarkStart w:id="17" w:name="_Toc13455"/>
      <w:r>
        <w:rPr>
          <w:rFonts w:hint="eastAsia" w:ascii="微软雅黑" w:hAnsi="微软雅黑" w:eastAsia="微软雅黑" w:cs="微软雅黑"/>
          <w:color w:val="auto"/>
          <w:sz w:val="24"/>
        </w:rPr>
        <w:t>二、</w:t>
      </w:r>
      <w:bookmarkEnd w:id="12"/>
      <w:bookmarkEnd w:id="13"/>
      <w:bookmarkEnd w:id="16"/>
      <w:bookmarkStart w:id="18" w:name="_Toc4480"/>
      <w:bookmarkStart w:id="19" w:name="_Toc76462319"/>
      <w:bookmarkStart w:id="20" w:name="_Toc106030873"/>
      <w:r>
        <w:rPr>
          <w:rFonts w:hint="eastAsia" w:ascii="微软雅黑" w:hAnsi="微软雅黑" w:eastAsia="微软雅黑" w:cs="微软雅黑"/>
          <w:color w:val="auto"/>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（一）满足《中华人民共和国政府采购法》第二十二条规定；</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（二）本项目的特定资格要求：</w:t>
      </w:r>
      <w:bookmarkStart w:id="21" w:name="_Toc106030874"/>
      <w:bookmarkStart w:id="22" w:name="_Toc27954"/>
      <w:bookmarkStart w:id="23" w:name="_Toc76462320"/>
      <w:r>
        <w:rPr>
          <w:rFonts w:hint="eastAsia" w:ascii="微软雅黑" w:hAnsi="微软雅黑" w:eastAsia="微软雅黑" w:cs="微软雅黑"/>
          <w:color w:val="auto"/>
          <w:sz w:val="24"/>
          <w:szCs w:val="24"/>
          <w:lang w:val="en-US" w:eastAsia="zh-CN"/>
        </w:rPr>
        <w:t>投标人须具有</w:t>
      </w:r>
      <w:r>
        <w:rPr>
          <w:rFonts w:hint="default" w:ascii="微软雅黑" w:hAnsi="微软雅黑" w:eastAsia="微软雅黑" w:cs="微软雅黑"/>
          <w:color w:val="auto"/>
          <w:sz w:val="24"/>
          <w:szCs w:val="24"/>
        </w:rPr>
        <w:t>电子与智能化工程专业承包资质标准二级及以上</w:t>
      </w:r>
      <w:r>
        <w:rPr>
          <w:rFonts w:hint="eastAsia" w:ascii="微软雅黑" w:hAnsi="微软雅黑" w:eastAsia="微软雅黑" w:cs="微软雅黑"/>
          <w:color w:val="auto"/>
          <w:sz w:val="24"/>
          <w:szCs w:val="24"/>
          <w:lang w:val="en-US" w:eastAsia="zh-CN"/>
        </w:rPr>
        <w:t>资质</w:t>
      </w:r>
      <w:r>
        <w:rPr>
          <w:rFonts w:hint="eastAsia" w:ascii="微软雅黑" w:hAnsi="微软雅黑" w:eastAsia="微软雅黑" w:cs="微软雅黑"/>
          <w:color w:val="auto"/>
          <w:sz w:val="24"/>
          <w:szCs w:val="24"/>
        </w:rPr>
        <w:t>。</w:t>
      </w:r>
    </w:p>
    <w:p>
      <w:pPr>
        <w:pStyle w:val="5"/>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4" w:name="_Toc29069"/>
      <w:r>
        <w:rPr>
          <w:rFonts w:hint="eastAsia" w:ascii="微软雅黑" w:hAnsi="微软雅黑" w:eastAsia="微软雅黑" w:cs="微软雅黑"/>
          <w:color w:val="auto"/>
          <w:sz w:val="24"/>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（一）投标人应通过重庆医科大学附属儿童医院电子招投标平台（zbb.chcmu-com.cn）进行注册和报名。</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（二）凡有意参加公开比选采购的投标人，请在重庆医科大学附属儿童医院电子招投标平台下载本项目公开比选采购文件以及</w:t>
      </w:r>
      <w:r>
        <w:rPr>
          <w:rFonts w:hint="eastAsia" w:ascii="微软雅黑" w:hAnsi="微软雅黑" w:eastAsia="微软雅黑" w:cs="微软雅黑"/>
          <w:color w:val="auto"/>
          <w:sz w:val="24"/>
          <w:szCs w:val="24"/>
          <w:lang w:eastAsia="zh-CN"/>
        </w:rPr>
        <w:t>其它</w:t>
      </w:r>
      <w:r>
        <w:rPr>
          <w:rFonts w:hint="eastAsia" w:ascii="微软雅黑" w:hAnsi="微软雅黑" w:eastAsia="微软雅黑" w:cs="微软雅黑"/>
          <w:color w:val="auto"/>
          <w:sz w:val="24"/>
          <w:szCs w:val="24"/>
        </w:rPr>
        <w:t>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（三）投标人须在重庆医科大学附属儿童医院电子招投标平台按要求上传电子版响应文件后才视为完成项目报名。</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（七）以上内容若在挂网公示后有所变更，投标人注册手机号码将会收到相关短信通知，请及时查收。</w:t>
      </w:r>
    </w:p>
    <w:p>
      <w:pPr>
        <w:pStyle w:val="5"/>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5" w:name="_Toc521053053"/>
      <w:bookmarkStart w:id="26" w:name="_Toc525047161"/>
      <w:bookmarkStart w:id="27" w:name="_Toc6178"/>
      <w:bookmarkStart w:id="28" w:name="_Toc65660334"/>
      <w:bookmarkStart w:id="29" w:name="_Toc1570"/>
      <w:bookmarkStart w:id="30" w:name="_Toc12841"/>
      <w:bookmarkStart w:id="31" w:name="_Toc11956"/>
      <w:bookmarkStart w:id="32" w:name="_Toc106034625"/>
      <w:bookmarkStart w:id="33" w:name="_Toc525047162"/>
      <w:bookmarkStart w:id="34" w:name="_Toc4355"/>
      <w:bookmarkStart w:id="35" w:name="_Toc2945"/>
      <w:bookmarkStart w:id="36" w:name="_Toc65660335"/>
      <w:bookmarkStart w:id="37" w:name="_Toc521053054"/>
      <w:bookmarkStart w:id="38" w:name="_Toc106034626"/>
      <w:bookmarkStart w:id="39" w:name="_Toc2344"/>
      <w:bookmarkStart w:id="40" w:name="_Toc1546"/>
      <w:r>
        <w:rPr>
          <w:rFonts w:hint="eastAsia" w:ascii="微软雅黑" w:hAnsi="微软雅黑" w:eastAsia="微软雅黑" w:cs="微软雅黑"/>
          <w:color w:val="auto"/>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（一）保证金递交</w:t>
      </w:r>
    </w:p>
    <w:p>
      <w:pPr>
        <w:pStyle w:val="35"/>
        <w:spacing w:line="400" w:lineRule="exact"/>
        <w:ind w:left="0" w:firstLine="54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szCs w:val="24"/>
          <w:lang w:val="en-US" w:eastAsia="zh-CN"/>
        </w:rPr>
        <w:t>投标人</w:t>
      </w:r>
      <w:r>
        <w:rPr>
          <w:rFonts w:hint="eastAsia" w:ascii="微软雅黑" w:hAnsi="微软雅黑" w:eastAsia="微软雅黑" w:cs="微软雅黑"/>
          <w:color w:val="auto"/>
          <w:sz w:val="24"/>
          <w:szCs w:val="24"/>
        </w:rPr>
        <w:t>应足额交纳保证金（保证金金额详见本篇，一、</w:t>
      </w:r>
      <w:r>
        <w:rPr>
          <w:rFonts w:hint="eastAsia" w:ascii="微软雅黑" w:hAnsi="微软雅黑" w:eastAsia="微软雅黑" w:cs="微软雅黑"/>
          <w:color w:val="auto"/>
          <w:sz w:val="24"/>
          <w:szCs w:val="24"/>
          <w:lang w:val="en-US" w:eastAsia="zh-CN"/>
        </w:rPr>
        <w:t>公开比选采购</w:t>
      </w:r>
      <w:r>
        <w:rPr>
          <w:rFonts w:hint="eastAsia" w:ascii="微软雅黑" w:hAnsi="微软雅黑" w:eastAsia="微软雅黑" w:cs="微软雅黑"/>
          <w:color w:val="auto"/>
          <w:sz w:val="24"/>
          <w:szCs w:val="24"/>
        </w:rPr>
        <w:t>内容），并通过银行转账的方式直接转入重庆医科大学附属儿童医院对公账户</w:t>
      </w:r>
      <w:r>
        <w:rPr>
          <w:rFonts w:hint="eastAsia" w:ascii="微软雅黑" w:hAnsi="微软雅黑" w:eastAsia="微软雅黑" w:cs="微软雅黑"/>
          <w:color w:val="auto"/>
          <w:sz w:val="24"/>
          <w:szCs w:val="24"/>
          <w:highlight w:val="none"/>
        </w:rPr>
        <w:t>（</w:t>
      </w:r>
      <w:r>
        <w:rPr>
          <w:rFonts w:hint="eastAsia" w:ascii="微软雅黑" w:hAnsi="微软雅黑" w:eastAsia="微软雅黑" w:cs="微软雅黑"/>
          <w:color w:val="auto"/>
          <w:sz w:val="24"/>
          <w:szCs w:val="24"/>
          <w:lang w:val="en-US" w:eastAsia="zh-CN"/>
        </w:rPr>
        <w:t>单位：重庆医科大学附属儿童医院，开户行：中国建设银行股份有限公司重庆渝中区观音岩支行，账号：50050101380000000168</w:t>
      </w:r>
      <w:r>
        <w:rPr>
          <w:rFonts w:hint="eastAsia" w:ascii="微软雅黑" w:hAnsi="微软雅黑" w:eastAsia="微软雅黑" w:cs="微软雅黑"/>
          <w:color w:val="auto"/>
          <w:sz w:val="24"/>
          <w:szCs w:val="24"/>
          <w:highlight w:val="none"/>
        </w:rPr>
        <w:t>），</w:t>
      </w:r>
      <w:r>
        <w:rPr>
          <w:rFonts w:hint="eastAsia" w:ascii="微软雅黑" w:hAnsi="微软雅黑" w:eastAsia="微软雅黑" w:cs="微软雅黑"/>
          <w:color w:val="auto"/>
          <w:sz w:val="24"/>
          <w:szCs w:val="24"/>
        </w:rPr>
        <w:t>并备注项目编号、项目名称（例：YXX220001服务器项目投标保证金），交纳凭据须在重庆医科大学附属儿童医院电子招投标平台报名过程中上传。</w:t>
      </w:r>
    </w:p>
    <w:p>
      <w:pPr>
        <w:pStyle w:val="35"/>
        <w:spacing w:line="400" w:lineRule="exact"/>
        <w:ind w:left="0" w:firstLine="54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2.各</w:t>
      </w:r>
      <w:r>
        <w:rPr>
          <w:rFonts w:hint="eastAsia" w:ascii="微软雅黑" w:hAnsi="微软雅黑" w:eastAsia="微软雅黑" w:cs="微软雅黑"/>
          <w:color w:val="auto"/>
          <w:sz w:val="24"/>
          <w:szCs w:val="24"/>
          <w:lang w:val="en-US" w:eastAsia="zh-CN"/>
        </w:rPr>
        <w:t>投标人</w:t>
      </w:r>
      <w:r>
        <w:rPr>
          <w:rFonts w:hint="eastAsia" w:ascii="微软雅黑" w:hAnsi="微软雅黑" w:eastAsia="微软雅黑" w:cs="微软雅黑"/>
          <w:color w:val="auto"/>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1.未</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的保证金，在</w:t>
      </w:r>
      <w:r>
        <w:rPr>
          <w:rFonts w:hint="eastAsia" w:ascii="微软雅黑" w:hAnsi="微软雅黑" w:eastAsia="微软雅黑" w:cs="微软雅黑"/>
          <w:color w:val="auto"/>
          <w:sz w:val="24"/>
          <w:szCs w:val="24"/>
          <w:lang w:eastAsia="zh-CN"/>
        </w:rPr>
        <w:t>中标通知书</w:t>
      </w:r>
      <w:r>
        <w:rPr>
          <w:rFonts w:hint="eastAsia" w:ascii="微软雅黑" w:hAnsi="微软雅黑" w:eastAsia="微软雅黑" w:cs="微软雅黑"/>
          <w:color w:val="auto"/>
          <w:sz w:val="24"/>
          <w:szCs w:val="24"/>
        </w:rPr>
        <w:t>发放后</w:t>
      </w:r>
      <w:r>
        <w:rPr>
          <w:rFonts w:hint="eastAsia" w:ascii="微软雅黑" w:hAnsi="微软雅黑" w:eastAsia="微软雅黑" w:cs="微软雅黑"/>
          <w:color w:val="auto"/>
          <w:sz w:val="24"/>
          <w:szCs w:val="24"/>
          <w:lang w:val="en-US" w:eastAsia="zh-CN"/>
        </w:rPr>
        <w:t>60</w:t>
      </w:r>
      <w:r>
        <w:rPr>
          <w:rFonts w:hint="eastAsia" w:ascii="微软雅黑" w:hAnsi="微软雅黑" w:eastAsia="微软雅黑" w:cs="微软雅黑"/>
          <w:color w:val="auto"/>
          <w:sz w:val="24"/>
          <w:szCs w:val="24"/>
        </w:rPr>
        <w:t>个</w:t>
      </w:r>
      <w:r>
        <w:rPr>
          <w:rFonts w:hint="eastAsia" w:ascii="微软雅黑" w:hAnsi="微软雅黑" w:eastAsia="微软雅黑" w:cs="微软雅黑"/>
          <w:color w:val="auto"/>
          <w:sz w:val="24"/>
          <w:szCs w:val="24"/>
          <w:lang w:val="en-US" w:eastAsia="zh-CN"/>
        </w:rPr>
        <w:t>工作</w:t>
      </w:r>
      <w:r>
        <w:rPr>
          <w:rFonts w:hint="eastAsia" w:ascii="微软雅黑" w:hAnsi="微软雅黑" w:eastAsia="微软雅黑" w:cs="微软雅黑"/>
          <w:color w:val="auto"/>
          <w:sz w:val="24"/>
          <w:szCs w:val="24"/>
        </w:rPr>
        <w:t>日内退还至项目报名时所填写</w:t>
      </w:r>
      <w:r>
        <w:rPr>
          <w:rFonts w:hint="eastAsia" w:ascii="微软雅黑" w:hAnsi="微软雅黑" w:eastAsia="微软雅黑" w:cs="微软雅黑"/>
          <w:color w:val="auto"/>
          <w:sz w:val="24"/>
          <w:szCs w:val="24"/>
          <w:lang w:val="en-US" w:eastAsia="zh-CN"/>
        </w:rPr>
        <w:t>指定的</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对公账户。</w:t>
      </w:r>
    </w:p>
    <w:p>
      <w:pPr>
        <w:pStyle w:val="5"/>
        <w:adjustRightInd w:val="0"/>
        <w:snapToGrid w:val="0"/>
        <w:spacing w:before="0" w:after="0" w:line="400" w:lineRule="exact"/>
        <w:ind w:firstLine="480" w:firstLineChars="200"/>
        <w:rPr>
          <w:rFonts w:hint="eastAsia" w:ascii="微软雅黑" w:hAnsi="微软雅黑" w:eastAsia="微软雅黑" w:cs="微软雅黑"/>
          <w:b w:val="0"/>
          <w:bCs/>
          <w:color w:val="auto"/>
          <w:sz w:val="24"/>
          <w:szCs w:val="24"/>
        </w:rPr>
      </w:pPr>
      <w:r>
        <w:rPr>
          <w:rFonts w:hint="eastAsia" w:ascii="微软雅黑" w:hAnsi="微软雅黑" w:eastAsia="微软雅黑" w:cs="微软雅黑"/>
          <w:b w:val="0"/>
          <w:bCs/>
          <w:color w:val="auto"/>
          <w:sz w:val="24"/>
          <w:szCs w:val="24"/>
        </w:rPr>
        <w:fldChar w:fldCharType="begin"/>
      </w:r>
      <w:r>
        <w:rPr>
          <w:rFonts w:hint="eastAsia" w:ascii="微软雅黑" w:hAnsi="微软雅黑" w:eastAsia="微软雅黑" w:cs="微软雅黑"/>
          <w:b w:val="0"/>
          <w:bCs/>
          <w:color w:val="auto"/>
          <w:sz w:val="24"/>
          <w:szCs w:val="24"/>
        </w:rPr>
        <w:instrText xml:space="preserve"> HYPERLINK "mailto:2.中标人的保证金，将在与我院完成签订本项目合同并提交采购管理处办公室（将合同扫描文件发送至zbb63632469@qq.com）之后60个工作日内，无息退还至项目报名时所填写的投标人对公账户。" </w:instrText>
      </w:r>
      <w:r>
        <w:rPr>
          <w:rFonts w:hint="eastAsia" w:ascii="微软雅黑" w:hAnsi="微软雅黑" w:eastAsia="微软雅黑" w:cs="微软雅黑"/>
          <w:b w:val="0"/>
          <w:bCs/>
          <w:color w:val="auto"/>
          <w:sz w:val="24"/>
          <w:szCs w:val="24"/>
        </w:rPr>
        <w:fldChar w:fldCharType="separate"/>
      </w:r>
      <w:r>
        <w:rPr>
          <w:rStyle w:val="66"/>
          <w:rFonts w:hint="eastAsia" w:ascii="微软雅黑" w:hAnsi="微软雅黑" w:eastAsia="微软雅黑" w:cs="微软雅黑"/>
          <w:b w:val="0"/>
          <w:bCs/>
          <w:color w:val="auto"/>
          <w:sz w:val="24"/>
          <w:szCs w:val="24"/>
        </w:rPr>
        <w:t>2.</w:t>
      </w:r>
      <w:r>
        <w:rPr>
          <w:rStyle w:val="66"/>
          <w:rFonts w:hint="eastAsia" w:ascii="微软雅黑" w:hAnsi="微软雅黑" w:eastAsia="微软雅黑" w:cs="微软雅黑"/>
          <w:b w:val="0"/>
          <w:bCs/>
          <w:color w:val="auto"/>
          <w:sz w:val="24"/>
          <w:szCs w:val="24"/>
          <w:lang w:eastAsia="zh-CN"/>
        </w:rPr>
        <w:t>中标人</w:t>
      </w:r>
      <w:r>
        <w:rPr>
          <w:rStyle w:val="66"/>
          <w:rFonts w:hint="eastAsia" w:ascii="微软雅黑" w:hAnsi="微软雅黑" w:eastAsia="微软雅黑" w:cs="微软雅黑"/>
          <w:b w:val="0"/>
          <w:bCs/>
          <w:color w:val="auto"/>
          <w:sz w:val="24"/>
          <w:szCs w:val="24"/>
        </w:rPr>
        <w:t>的保证金，将在与我院完成签订本项目合同并提交</w:t>
      </w:r>
      <w:r>
        <w:rPr>
          <w:rStyle w:val="66"/>
          <w:rFonts w:hint="eastAsia" w:ascii="微软雅黑" w:hAnsi="微软雅黑" w:eastAsia="微软雅黑" w:cs="微软雅黑"/>
          <w:b w:val="0"/>
          <w:bCs/>
          <w:color w:val="auto"/>
          <w:sz w:val="24"/>
          <w:szCs w:val="24"/>
          <w:lang w:eastAsia="zh-CN"/>
        </w:rPr>
        <w:t>采购管理处办</w:t>
      </w:r>
      <w:r>
        <w:rPr>
          <w:rStyle w:val="66"/>
          <w:rFonts w:hint="eastAsia" w:ascii="微软雅黑" w:hAnsi="微软雅黑" w:eastAsia="微软雅黑" w:cs="微软雅黑"/>
          <w:b w:val="0"/>
          <w:bCs/>
          <w:color w:val="auto"/>
          <w:sz w:val="24"/>
          <w:szCs w:val="24"/>
        </w:rPr>
        <w:t>公室（将合同扫描文件发送至zbb63632469@qq.com）之后</w:t>
      </w:r>
      <w:r>
        <w:rPr>
          <w:rStyle w:val="66"/>
          <w:rFonts w:hint="eastAsia" w:ascii="微软雅黑" w:hAnsi="微软雅黑" w:eastAsia="微软雅黑" w:cs="微软雅黑"/>
          <w:b w:val="0"/>
          <w:bCs/>
          <w:color w:val="auto"/>
          <w:sz w:val="24"/>
          <w:szCs w:val="24"/>
          <w:lang w:val="en-US" w:eastAsia="zh-CN"/>
        </w:rPr>
        <w:t>60</w:t>
      </w:r>
      <w:r>
        <w:rPr>
          <w:rStyle w:val="66"/>
          <w:rFonts w:hint="eastAsia" w:ascii="微软雅黑" w:hAnsi="微软雅黑" w:eastAsia="微软雅黑" w:cs="微软雅黑"/>
          <w:b w:val="0"/>
          <w:bCs/>
          <w:color w:val="auto"/>
          <w:sz w:val="24"/>
          <w:szCs w:val="24"/>
        </w:rPr>
        <w:t>个</w:t>
      </w:r>
      <w:r>
        <w:rPr>
          <w:rStyle w:val="66"/>
          <w:rFonts w:hint="eastAsia" w:ascii="微软雅黑" w:hAnsi="微软雅黑" w:eastAsia="微软雅黑" w:cs="微软雅黑"/>
          <w:b w:val="0"/>
          <w:bCs/>
          <w:color w:val="auto"/>
          <w:sz w:val="24"/>
          <w:szCs w:val="24"/>
          <w:lang w:val="en-US" w:eastAsia="zh-CN"/>
        </w:rPr>
        <w:t>工作</w:t>
      </w:r>
      <w:r>
        <w:rPr>
          <w:rStyle w:val="66"/>
          <w:rFonts w:hint="eastAsia" w:ascii="微软雅黑" w:hAnsi="微软雅黑" w:eastAsia="微软雅黑" w:cs="微软雅黑"/>
          <w:b w:val="0"/>
          <w:bCs/>
          <w:color w:val="auto"/>
          <w:sz w:val="24"/>
          <w:szCs w:val="24"/>
        </w:rPr>
        <w:t>日</w:t>
      </w:r>
      <w:r>
        <w:rPr>
          <w:rStyle w:val="66"/>
          <w:rFonts w:hint="eastAsia" w:ascii="微软雅黑" w:hAnsi="微软雅黑" w:eastAsia="微软雅黑" w:cs="微软雅黑"/>
          <w:b w:val="0"/>
          <w:bCs/>
          <w:color w:val="auto"/>
          <w:sz w:val="24"/>
          <w:szCs w:val="24"/>
          <w:lang w:val="en-US" w:eastAsia="zh-CN"/>
        </w:rPr>
        <w:t>内</w:t>
      </w:r>
      <w:r>
        <w:rPr>
          <w:rStyle w:val="66"/>
          <w:rFonts w:hint="eastAsia" w:ascii="微软雅黑" w:hAnsi="微软雅黑" w:eastAsia="微软雅黑" w:cs="微软雅黑"/>
          <w:b w:val="0"/>
          <w:bCs/>
          <w:color w:val="auto"/>
          <w:sz w:val="24"/>
          <w:szCs w:val="24"/>
        </w:rPr>
        <w:t>，无息退还至项目报名时所填写的</w:t>
      </w:r>
      <w:r>
        <w:rPr>
          <w:rStyle w:val="66"/>
          <w:rFonts w:hint="eastAsia" w:ascii="微软雅黑" w:hAnsi="微软雅黑" w:eastAsia="微软雅黑" w:cs="微软雅黑"/>
          <w:b w:val="0"/>
          <w:bCs/>
          <w:color w:val="auto"/>
          <w:sz w:val="24"/>
          <w:szCs w:val="24"/>
          <w:lang w:eastAsia="zh-CN"/>
        </w:rPr>
        <w:t>投标人</w:t>
      </w:r>
      <w:r>
        <w:rPr>
          <w:rStyle w:val="66"/>
          <w:rFonts w:hint="eastAsia" w:ascii="微软雅黑" w:hAnsi="微软雅黑" w:eastAsia="微软雅黑" w:cs="微软雅黑"/>
          <w:b w:val="0"/>
          <w:bCs/>
          <w:color w:val="auto"/>
          <w:sz w:val="24"/>
          <w:szCs w:val="24"/>
        </w:rPr>
        <w:t>对公账户。</w:t>
      </w:r>
      <w:r>
        <w:rPr>
          <w:rFonts w:hint="eastAsia" w:ascii="微软雅黑" w:hAnsi="微软雅黑" w:eastAsia="微软雅黑" w:cs="微软雅黑"/>
          <w:b w:val="0"/>
          <w:bCs/>
          <w:color w:val="auto"/>
          <w:sz w:val="24"/>
          <w:szCs w:val="24"/>
        </w:rPr>
        <w:fldChar w:fldCharType="end"/>
      </w:r>
    </w:p>
    <w:p>
      <w:pPr>
        <w:pStyle w:val="5"/>
        <w:adjustRightInd w:val="0"/>
        <w:snapToGrid w:val="0"/>
        <w:spacing w:before="0" w:after="0"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lang w:val="en-US" w:eastAsia="zh-CN"/>
        </w:rPr>
        <w:t>五</w:t>
      </w:r>
      <w:r>
        <w:rPr>
          <w:rFonts w:hint="eastAsia" w:ascii="微软雅黑" w:hAnsi="微软雅黑" w:eastAsia="微软雅黑" w:cs="微软雅黑"/>
          <w:color w:val="auto"/>
          <w:sz w:val="24"/>
        </w:rPr>
        <w:t>、</w:t>
      </w:r>
      <w:bookmarkEnd w:id="33"/>
      <w:bookmarkEnd w:id="34"/>
      <w:bookmarkEnd w:id="35"/>
      <w:bookmarkEnd w:id="36"/>
      <w:bookmarkEnd w:id="37"/>
      <w:bookmarkEnd w:id="38"/>
      <w:bookmarkStart w:id="41" w:name="_Toc525047163"/>
      <w:bookmarkStart w:id="42" w:name="_Toc521053055"/>
      <w:bookmarkStart w:id="43" w:name="_Toc106034627"/>
      <w:bookmarkStart w:id="44" w:name="_Toc6563"/>
      <w:bookmarkStart w:id="45" w:name="_Toc65660336"/>
      <w:bookmarkStart w:id="46" w:name="_Toc16269"/>
      <w:r>
        <w:rPr>
          <w:rFonts w:hint="eastAsia" w:ascii="微软雅黑" w:hAnsi="微软雅黑" w:eastAsia="微软雅黑" w:cs="微软雅黑"/>
          <w:color w:val="auto"/>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（一）重庆医科大学附属儿童医院采购管理处所作出的一切书面通知、修改、补充说明、答疑等内容，都是公开比选采购文件不可分割的组成部分。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采购管理处，否则即视为完全放弃对本公开比选采购文件的质疑权利。如采购人认为上述质疑有回复必要，将以书面形式将回复内容通知所有投标</w:t>
      </w:r>
      <w:r>
        <w:rPr>
          <w:rFonts w:hint="eastAsia" w:ascii="微软雅黑" w:hAnsi="微软雅黑" w:eastAsia="微软雅黑" w:cs="微软雅黑"/>
          <w:color w:val="auto"/>
          <w:sz w:val="24"/>
          <w:szCs w:val="24"/>
          <w:lang w:eastAsia="zh-CN"/>
        </w:rPr>
        <w:t>人</w:t>
      </w:r>
      <w:r>
        <w:rPr>
          <w:rFonts w:hint="eastAsia" w:ascii="微软雅黑" w:hAnsi="微软雅黑" w:eastAsia="微软雅黑" w:cs="微软雅黑"/>
          <w:color w:val="auto"/>
          <w:sz w:val="24"/>
          <w:szCs w:val="24"/>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（三）投标人应仔细阅读和检查公开比选采购文件的全部内容。如发现缺页或附件不全，应及时提出，以便补齐。如有疑问，请在投标截止日前向</w:t>
      </w:r>
      <w:r>
        <w:rPr>
          <w:rFonts w:hint="eastAsia" w:ascii="微软雅黑" w:hAnsi="微软雅黑" w:eastAsia="微软雅黑" w:cs="微软雅黑"/>
          <w:color w:val="auto"/>
          <w:sz w:val="24"/>
          <w:szCs w:val="24"/>
          <w:lang w:eastAsia="zh-CN"/>
        </w:rPr>
        <w:t>采购人</w:t>
      </w:r>
      <w:r>
        <w:rPr>
          <w:rFonts w:hint="eastAsia" w:ascii="微软雅黑" w:hAnsi="微软雅黑" w:eastAsia="微软雅黑" w:cs="微软雅黑"/>
          <w:color w:val="auto"/>
          <w:sz w:val="24"/>
          <w:szCs w:val="24"/>
        </w:rPr>
        <w:t>提出，超过此时限规定，</w:t>
      </w:r>
      <w:r>
        <w:rPr>
          <w:rFonts w:hint="eastAsia" w:ascii="微软雅黑" w:hAnsi="微软雅黑" w:eastAsia="微软雅黑" w:cs="微软雅黑"/>
          <w:color w:val="auto"/>
          <w:sz w:val="24"/>
          <w:szCs w:val="24"/>
          <w:lang w:eastAsia="zh-CN"/>
        </w:rPr>
        <w:t>采购人</w:t>
      </w:r>
      <w:r>
        <w:rPr>
          <w:rFonts w:hint="eastAsia" w:ascii="微软雅黑" w:hAnsi="微软雅黑" w:eastAsia="微软雅黑" w:cs="微软雅黑"/>
          <w:color w:val="auto"/>
          <w:sz w:val="24"/>
          <w:szCs w:val="24"/>
        </w:rPr>
        <w:t>不再受理对于公开比选采购文件的疑问。</w:t>
      </w:r>
    </w:p>
    <w:p>
      <w:pPr>
        <w:pStyle w:val="5"/>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47" w:name="_Toc10415"/>
      <w:bookmarkStart w:id="48" w:name="_Toc24901"/>
      <w:bookmarkStart w:id="49" w:name="_Toc521053056"/>
      <w:bookmarkStart w:id="50" w:name="_Toc65660337"/>
      <w:bookmarkStart w:id="51" w:name="_Toc106034628"/>
      <w:bookmarkStart w:id="52" w:name="_Toc29391"/>
      <w:bookmarkStart w:id="53" w:name="_Toc1733"/>
      <w:bookmarkStart w:id="54" w:name="_Toc525047164"/>
      <w:r>
        <w:rPr>
          <w:rFonts w:hint="eastAsia" w:ascii="微软雅黑" w:hAnsi="微软雅黑" w:eastAsia="微软雅黑" w:cs="微软雅黑"/>
          <w:color w:val="auto"/>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联系部门：采购管理处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电    话：023-63632469</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邮    箱：zbb63632469@qq.com</w:t>
      </w:r>
    </w:p>
    <w:bookmarkEnd w:id="15"/>
    <w:p>
      <w:pPr>
        <w:snapToGrid w:val="0"/>
        <w:spacing w:line="400" w:lineRule="exact"/>
        <w:ind w:firstLine="480" w:firstLineChars="200"/>
        <w:rPr>
          <w:rFonts w:hint="eastAsia" w:ascii="微软雅黑" w:hAnsi="微软雅黑" w:eastAsia="微软雅黑" w:cs="微软雅黑"/>
          <w:b/>
          <w:color w:val="auto"/>
          <w:sz w:val="24"/>
          <w:szCs w:val="24"/>
        </w:rPr>
        <w:sectPr>
          <w:pgSz w:w="11907" w:h="16840"/>
          <w:pgMar w:top="1134" w:right="1304" w:bottom="1134" w:left="1304" w:header="964" w:footer="992" w:gutter="0"/>
          <w:pgNumType w:fmt="numberInDash"/>
          <w:cols w:space="720" w:num="1"/>
          <w:docGrid w:linePitch="312" w:charSpace="0"/>
        </w:sectPr>
      </w:pPr>
    </w:p>
    <w:p>
      <w:pPr>
        <w:pStyle w:val="4"/>
        <w:tabs>
          <w:tab w:val="left" w:pos="3360"/>
        </w:tabs>
        <w:spacing w:before="0" w:beforeLines="0" w:after="0" w:afterLines="0" w:line="360" w:lineRule="auto"/>
        <w:jc w:val="center"/>
        <w:rPr>
          <w:rFonts w:hint="eastAsia" w:ascii="微软雅黑" w:hAnsi="微软雅黑" w:eastAsia="微软雅黑" w:cs="微软雅黑"/>
          <w:b/>
          <w:color w:val="auto"/>
          <w:kern w:val="2"/>
          <w:sz w:val="44"/>
          <w:szCs w:val="20"/>
          <w:lang w:val="en-US" w:eastAsia="zh-CN" w:bidi="ar-SA"/>
        </w:rPr>
      </w:pPr>
      <w:bookmarkStart w:id="55" w:name="_Toc2422"/>
      <w:bookmarkStart w:id="56" w:name="_Toc5461"/>
      <w:bookmarkStart w:id="57" w:name="_Toc2070"/>
      <w:bookmarkStart w:id="58" w:name="_Toc25639"/>
      <w:bookmarkStart w:id="59" w:name="_Toc1625"/>
      <w:bookmarkStart w:id="60" w:name="_Toc1492"/>
      <w:bookmarkStart w:id="61" w:name="_Toc12959"/>
      <w:bookmarkStart w:id="62" w:name="_Toc75793504"/>
      <w:bookmarkStart w:id="63" w:name="_Toc19886"/>
      <w:bookmarkStart w:id="64" w:name="_Toc26176"/>
      <w:bookmarkStart w:id="65" w:name="_Toc23143"/>
      <w:bookmarkStart w:id="66" w:name="_Toc32686"/>
      <w:bookmarkStart w:id="67" w:name="_Toc11017"/>
      <w:bookmarkStart w:id="68" w:name="_Toc8649"/>
      <w:bookmarkStart w:id="69" w:name="_Toc725"/>
      <w:bookmarkStart w:id="70" w:name="_Toc9327"/>
      <w:bookmarkStart w:id="71" w:name="_Toc106030380"/>
      <w:bookmarkStart w:id="72" w:name="_Toc12789058"/>
      <w:r>
        <w:rPr>
          <w:rFonts w:hint="eastAsia" w:ascii="微软雅黑" w:hAnsi="微软雅黑" w:eastAsia="微软雅黑" w:cs="微软雅黑"/>
          <w:b/>
          <w:color w:val="auto"/>
          <w:kern w:val="2"/>
          <w:sz w:val="44"/>
          <w:szCs w:val="20"/>
          <w:lang w:val="en-US" w:eastAsia="zh-CN" w:bidi="ar-SA"/>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color w:val="auto"/>
          <w:kern w:val="2"/>
          <w:sz w:val="44"/>
          <w:szCs w:val="20"/>
          <w:lang w:val="en-US" w:eastAsia="zh-CN" w:bidi="ar-SA"/>
        </w:rPr>
        <w:t>项目技术（质量）需求</w:t>
      </w:r>
      <w:bookmarkEnd w:id="70"/>
      <w:bookmarkEnd w:id="71"/>
    </w:p>
    <w:p>
      <w:pPr>
        <w:pStyle w:val="5"/>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73" w:name="_Toc76462325"/>
      <w:bookmarkStart w:id="74" w:name="_Toc3196"/>
      <w:bookmarkStart w:id="75" w:name="_Toc106030879"/>
      <w:bookmarkStart w:id="76" w:name="_Toc1866"/>
      <w:bookmarkStart w:id="77" w:name="_Toc18470"/>
      <w:bookmarkStart w:id="78" w:name="_Toc32516"/>
      <w:bookmarkStart w:id="79" w:name="_Toc76462327"/>
      <w:bookmarkStart w:id="80" w:name="_Toc7791"/>
      <w:bookmarkStart w:id="81" w:name="_Toc106030882"/>
      <w:r>
        <w:rPr>
          <w:rFonts w:hint="eastAsia" w:ascii="微软雅黑" w:hAnsi="微软雅黑" w:eastAsia="微软雅黑" w:cs="微软雅黑"/>
          <w:color w:val="auto"/>
          <w:sz w:val="24"/>
        </w:rPr>
        <w:t>一、项目基本概况介绍</w:t>
      </w:r>
      <w:bookmarkEnd w:id="73"/>
      <w:bookmarkEnd w:id="74"/>
      <w:bookmarkEnd w:id="75"/>
      <w:bookmarkEnd w:id="76"/>
      <w:bookmarkEnd w:id="77"/>
      <w:bookmarkEnd w:id="78"/>
    </w:p>
    <w:tbl>
      <w:tblPr>
        <w:tblStyle w:val="59"/>
        <w:tblW w:w="43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5"/>
        <w:gridCol w:w="2855"/>
        <w:gridCol w:w="14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2487"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color w:val="auto"/>
                <w:kern w:val="0"/>
                <w:sz w:val="21"/>
                <w:szCs w:val="24"/>
                <w:lang w:eastAsia="zh-CN"/>
              </w:rPr>
            </w:pPr>
            <w:bookmarkStart w:id="82" w:name="_Toc106030880"/>
            <w:bookmarkStart w:id="83" w:name="_Toc12384"/>
            <w:bookmarkStart w:id="84" w:name="_Toc25495"/>
            <w:r>
              <w:rPr>
                <w:rFonts w:hint="eastAsia" w:ascii="微软雅黑" w:hAnsi="微软雅黑" w:eastAsia="微软雅黑" w:cs="微软雅黑"/>
                <w:b/>
                <w:bCs/>
                <w:color w:val="auto"/>
                <w:kern w:val="0"/>
                <w:sz w:val="28"/>
                <w:szCs w:val="28"/>
              </w:rPr>
              <w:t>项目</w:t>
            </w:r>
            <w:r>
              <w:rPr>
                <w:rFonts w:hint="eastAsia" w:ascii="微软雅黑" w:hAnsi="微软雅黑" w:eastAsia="微软雅黑" w:cs="微软雅黑"/>
                <w:b/>
                <w:bCs/>
                <w:color w:val="auto"/>
                <w:kern w:val="0"/>
                <w:sz w:val="28"/>
                <w:szCs w:val="28"/>
                <w:lang w:eastAsia="zh-CN"/>
              </w:rPr>
              <w:t>名称</w:t>
            </w:r>
          </w:p>
        </w:tc>
        <w:tc>
          <w:tcPr>
            <w:tcW w:w="1685"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color w:val="auto"/>
                <w:kern w:val="0"/>
                <w:sz w:val="21"/>
                <w:szCs w:val="24"/>
                <w:lang w:eastAsia="zh-CN"/>
              </w:rPr>
            </w:pPr>
            <w:r>
              <w:rPr>
                <w:rFonts w:hint="eastAsia" w:ascii="微软雅黑" w:hAnsi="微软雅黑" w:eastAsia="微软雅黑" w:cs="微软雅黑"/>
                <w:b/>
                <w:bCs/>
                <w:color w:val="auto"/>
                <w:kern w:val="0"/>
                <w:sz w:val="28"/>
                <w:szCs w:val="28"/>
                <w:lang w:val="en-US" w:eastAsia="zh-CN"/>
              </w:rPr>
              <w:t>施工期限</w:t>
            </w:r>
          </w:p>
        </w:tc>
        <w:tc>
          <w:tcPr>
            <w:tcW w:w="826"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color w:val="auto"/>
                <w:kern w:val="0"/>
                <w:sz w:val="21"/>
                <w:szCs w:val="24"/>
                <w:lang w:eastAsia="zh-CN"/>
              </w:rPr>
            </w:pPr>
            <w:r>
              <w:rPr>
                <w:rFonts w:hint="eastAsia" w:ascii="微软雅黑" w:hAnsi="微软雅黑" w:eastAsia="微软雅黑" w:cs="微软雅黑"/>
                <w:b/>
                <w:bCs/>
                <w:color w:val="auto"/>
                <w:kern w:val="0"/>
                <w:sz w:val="28"/>
                <w:szCs w:val="28"/>
                <w:lang w:eastAsia="zh-CN"/>
              </w:rPr>
              <w:t>备</w:t>
            </w:r>
            <w:r>
              <w:rPr>
                <w:rFonts w:hint="eastAsia" w:ascii="微软雅黑" w:hAnsi="微软雅黑" w:eastAsia="微软雅黑" w:cs="微软雅黑"/>
                <w:b/>
                <w:bCs/>
                <w:color w:val="auto"/>
                <w:kern w:val="0"/>
                <w:sz w:val="28"/>
                <w:szCs w:val="28"/>
                <w:lang w:val="en-US" w:eastAsia="zh-CN"/>
              </w:rPr>
              <w:t xml:space="preserve"> </w:t>
            </w:r>
            <w:r>
              <w:rPr>
                <w:rFonts w:hint="eastAsia" w:ascii="微软雅黑" w:hAnsi="微软雅黑" w:eastAsia="微软雅黑" w:cs="微软雅黑"/>
                <w:b/>
                <w:bCs/>
                <w:color w:val="auto"/>
                <w:kern w:val="0"/>
                <w:sz w:val="28"/>
                <w:szCs w:val="28"/>
                <w:lang w:eastAsia="zh-CN"/>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2487"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高层建筑消防物联感知设备联网项目</w:t>
            </w:r>
          </w:p>
        </w:tc>
        <w:tc>
          <w:tcPr>
            <w:tcW w:w="1685"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2026年3月27日前完成</w:t>
            </w:r>
          </w:p>
        </w:tc>
        <w:tc>
          <w:tcPr>
            <w:tcW w:w="826"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r>
      <w:bookmarkEnd w:id="82"/>
      <w:bookmarkEnd w:id="83"/>
      <w:bookmarkEnd w:id="84"/>
    </w:tbl>
    <w:p>
      <w:pPr>
        <w:numPr>
          <w:ilvl w:val="0"/>
          <w:numId w:val="14"/>
        </w:numPr>
        <w:spacing w:line="400" w:lineRule="exact"/>
        <w:ind w:firstLine="480" w:firstLineChars="200"/>
        <w:rPr>
          <w:rFonts w:hint="eastAsia" w:ascii="微软雅黑" w:hAnsi="微软雅黑" w:eastAsia="微软雅黑" w:cs="微软雅黑"/>
          <w:b/>
          <w:bCs/>
          <w:color w:val="auto"/>
          <w:sz w:val="24"/>
          <w:szCs w:val="24"/>
          <w:lang w:val="en-US" w:eastAsia="zh-CN"/>
        </w:rPr>
      </w:pPr>
      <w:r>
        <w:rPr>
          <w:rFonts w:hint="eastAsia" w:ascii="微软雅黑" w:hAnsi="微软雅黑" w:eastAsia="微软雅黑" w:cs="微软雅黑"/>
          <w:b/>
          <w:bCs/>
          <w:color w:val="auto"/>
          <w:sz w:val="24"/>
          <w:szCs w:val="24"/>
          <w:lang w:val="en-US" w:eastAsia="zh-CN"/>
        </w:rPr>
        <w:t>项目内容及要求</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（一）项目内容</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两院区需新建传感设备：室内消火栓系统10套、自动喷水灭火系统30套、火灾自动报警主机3套、监控室离岗视频2套、消防通道视频1套并接入重庆市消防物联网（详见附件1）</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（二）项目技术要求</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建设设备应具备重庆市消防物联网硬件接入功能和传输协议匹配，要按照《重庆市消防物联网信息传输设</w:t>
      </w:r>
      <w:r>
        <w:rPr>
          <w:rFonts w:hint="default" w:ascii="微软雅黑" w:hAnsi="微软雅黑" w:eastAsia="微软雅黑" w:cs="微软雅黑"/>
          <w:color w:val="auto"/>
          <w:sz w:val="24"/>
          <w:szCs w:val="24"/>
          <w:lang w:val="en-US" w:eastAsia="zh-CN"/>
        </w:rPr>
        <w:t>设备接入指导手册 1.0</w:t>
      </w:r>
      <w:r>
        <w:rPr>
          <w:rFonts w:hint="eastAsia" w:ascii="微软雅黑" w:hAnsi="微软雅黑" w:eastAsia="微软雅黑" w:cs="微软雅黑"/>
          <w:color w:val="auto"/>
          <w:sz w:val="24"/>
          <w:szCs w:val="24"/>
          <w:lang w:val="en-US" w:eastAsia="zh-CN"/>
        </w:rPr>
        <w:t>》要求（详见附件2），提交相关材料报备重庆市消防救援局审核通过。</w:t>
      </w:r>
    </w:p>
    <w:p>
      <w:pPr>
        <w:snapToGrid w:val="0"/>
        <w:spacing w:line="400" w:lineRule="exact"/>
        <w:ind w:firstLine="480" w:firstLineChars="200"/>
        <w:rPr>
          <w:rFonts w:hint="eastAsia" w:ascii="微软雅黑" w:hAnsi="微软雅黑" w:eastAsia="微软雅黑" w:cs="微软雅黑"/>
          <w:color w:val="auto"/>
          <w:sz w:val="24"/>
          <w:szCs w:val="24"/>
        </w:rPr>
      </w:pPr>
      <w:bookmarkStart w:id="85" w:name="_Toc19917"/>
      <w:r>
        <w:rPr>
          <w:rFonts w:hint="eastAsia" w:ascii="微软雅黑" w:hAnsi="微软雅黑" w:eastAsia="微软雅黑" w:cs="微软雅黑"/>
          <w:color w:val="auto"/>
          <w:sz w:val="24"/>
          <w:szCs w:val="24"/>
        </w:rPr>
        <w:br w:type="page"/>
      </w:r>
    </w:p>
    <w:p>
      <w:pPr>
        <w:pStyle w:val="5"/>
        <w:spacing w:before="200" w:after="200" w:line="240" w:lineRule="auto"/>
        <w:jc w:val="center"/>
        <w:rPr>
          <w:rFonts w:hint="eastAsia" w:ascii="微软雅黑" w:hAnsi="微软雅黑" w:eastAsia="微软雅黑" w:cs="微软雅黑"/>
          <w:b/>
          <w:color w:val="auto"/>
          <w:sz w:val="44"/>
          <w:szCs w:val="20"/>
        </w:rPr>
      </w:pPr>
      <w:r>
        <w:rPr>
          <w:rFonts w:hint="eastAsia" w:ascii="微软雅黑" w:hAnsi="微软雅黑" w:eastAsia="微软雅黑" w:cs="微软雅黑"/>
          <w:b/>
          <w:color w:val="auto"/>
          <w:sz w:val="44"/>
          <w:szCs w:val="20"/>
        </w:rPr>
        <w:t xml:space="preserve">第三篇  </w:t>
      </w:r>
      <w:bookmarkEnd w:id="72"/>
      <w:r>
        <w:rPr>
          <w:rFonts w:hint="eastAsia" w:ascii="微软雅黑" w:hAnsi="微软雅黑" w:eastAsia="微软雅黑" w:cs="微软雅黑"/>
          <w:b/>
          <w:color w:val="auto"/>
          <w:sz w:val="44"/>
          <w:szCs w:val="20"/>
        </w:rPr>
        <w:t>项目商务需求</w:t>
      </w:r>
      <w:bookmarkEnd w:id="79"/>
      <w:bookmarkEnd w:id="80"/>
      <w:bookmarkEnd w:id="81"/>
      <w:bookmarkEnd w:id="85"/>
    </w:p>
    <w:tbl>
      <w:tblPr>
        <w:tblStyle w:val="59"/>
        <w:tblW w:w="52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4"/>
        <w:gridCol w:w="8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b/>
                <w:bCs/>
                <w:color w:val="auto"/>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color w:val="auto"/>
                <w:kern w:val="2"/>
                <w:sz w:val="24"/>
                <w:szCs w:val="24"/>
                <w:lang w:val="en-US" w:eastAsia="zh-CN"/>
              </w:rPr>
            </w:pPr>
            <w:r>
              <w:rPr>
                <w:rFonts w:hint="eastAsia" w:ascii="微软雅黑" w:hAnsi="微软雅黑" w:eastAsia="微软雅黑" w:cs="微软雅黑"/>
                <w:b/>
                <w:bCs/>
                <w:color w:val="auto"/>
                <w:kern w:val="2"/>
                <w:sz w:val="24"/>
                <w:szCs w:val="24"/>
                <w:lang w:val="en-US" w:eastAsia="zh-CN"/>
              </w:rPr>
              <w:t>施工期限、施工地点及验收方式</w:t>
            </w:r>
          </w:p>
        </w:tc>
        <w:tc>
          <w:tcPr>
            <w:tcW w:w="4271"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color w:val="auto"/>
                <w:kern w:val="2"/>
                <w:sz w:val="24"/>
                <w:szCs w:val="24"/>
                <w:lang w:eastAsia="zh-CN"/>
              </w:rPr>
            </w:pPr>
            <w:r>
              <w:rPr>
                <w:rFonts w:hint="eastAsia" w:ascii="微软雅黑" w:hAnsi="微软雅黑" w:eastAsia="微软雅黑" w:cs="微软雅黑"/>
                <w:color w:val="auto"/>
                <w:kern w:val="2"/>
                <w:sz w:val="24"/>
                <w:szCs w:val="24"/>
                <w:lang w:val="en-US" w:eastAsia="zh-CN"/>
              </w:rPr>
              <w:t>施工期限：2026年3月27日前完成</w:t>
            </w:r>
            <w:r>
              <w:rPr>
                <w:rFonts w:hint="eastAsia" w:ascii="微软雅黑" w:hAnsi="微软雅黑" w:eastAsia="微软雅黑" w:cs="微软雅黑"/>
                <w:color w:val="auto"/>
                <w:kern w:val="2"/>
                <w:sz w:val="24"/>
                <w:szCs w:val="24"/>
                <w:lang w:eastAsia="zh-CN"/>
              </w:rPr>
              <w:t>。</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color w:val="auto"/>
                <w:kern w:val="2"/>
                <w:sz w:val="24"/>
                <w:szCs w:val="24"/>
                <w:lang w:val="en-US" w:eastAsia="zh-CN"/>
              </w:rPr>
            </w:pPr>
            <w:r>
              <w:rPr>
                <w:rFonts w:hint="eastAsia" w:ascii="微软雅黑" w:hAnsi="微软雅黑" w:eastAsia="微软雅黑" w:cs="微软雅黑"/>
                <w:color w:val="auto"/>
                <w:kern w:val="2"/>
                <w:sz w:val="24"/>
                <w:szCs w:val="24"/>
                <w:lang w:val="en-US" w:eastAsia="zh-CN"/>
              </w:rPr>
              <w:t>服务地点：重庆医科大学附属儿童医院两江院区、渝中院区。</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b w:val="0"/>
                <w:bCs w:val="0"/>
                <w:color w:val="auto"/>
                <w:sz w:val="24"/>
                <w:szCs w:val="24"/>
                <w:u w:val="none"/>
                <w:lang w:val="en-US" w:eastAsia="zh-CN"/>
              </w:rPr>
            </w:pPr>
            <w:r>
              <w:rPr>
                <w:rFonts w:hint="eastAsia" w:ascii="微软雅黑" w:hAnsi="微软雅黑" w:eastAsia="微软雅黑" w:cs="微软雅黑"/>
                <w:color w:val="auto"/>
                <w:kern w:val="2"/>
                <w:sz w:val="24"/>
                <w:szCs w:val="24"/>
                <w:lang w:val="en-US" w:eastAsia="zh-CN"/>
              </w:rPr>
              <w:t>验收方式：采购人按合同约定的设备清单进行确认，安装调试完成后，以传感设备接入重庆市消防物联网正常运行为验收合格。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color w:val="auto"/>
                <w:kern w:val="2"/>
                <w:sz w:val="24"/>
                <w:szCs w:val="24"/>
                <w:lang w:val="en-US" w:eastAsia="zh-CN"/>
              </w:rPr>
            </w:pPr>
            <w:r>
              <w:rPr>
                <w:rFonts w:hint="eastAsia" w:ascii="微软雅黑" w:hAnsi="微软雅黑" w:eastAsia="微软雅黑" w:cs="微软雅黑"/>
                <w:b/>
                <w:bCs/>
                <w:color w:val="auto"/>
                <w:kern w:val="2"/>
                <w:sz w:val="24"/>
                <w:szCs w:val="24"/>
                <w:lang w:val="en-US" w:eastAsia="zh-CN"/>
              </w:rPr>
              <w:t>质量保证及售后服务</w:t>
            </w:r>
          </w:p>
        </w:tc>
        <w:tc>
          <w:tcPr>
            <w:tcW w:w="4271"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传感设备质保2年；通信协议包5年。</w:t>
            </w:r>
          </w:p>
          <w:p>
            <w:pPr>
              <w:pStyle w:val="144"/>
              <w:keepNext w:val="0"/>
              <w:keepLines w:val="0"/>
              <w:widowControl/>
              <w:suppressLineNumbers w:val="0"/>
              <w:adjustRightInd w:val="0"/>
              <w:snapToGrid w:val="0"/>
              <w:spacing w:before="0" w:beforeAutospacing="0" w:after="0" w:afterAutospacing="0" w:line="400" w:lineRule="exact"/>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在项目整个保质期内，投标人应确保设备的正常使用。采购人发现设备出现故障，立即通知投标人，投标人应在30分钟内电话响应，并说明解决故障方式；若远程指导无法排除故障，投标人技术人员应于4小时到达现场处置；12小时内无法解决的故障问题，由投标人24小时内提供替代设备，所有费用均由投标人承担，保障传感设备正常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color w:val="auto"/>
                <w:kern w:val="2"/>
                <w:sz w:val="24"/>
                <w:szCs w:val="24"/>
                <w:lang w:val="en-US" w:eastAsia="zh-CN"/>
              </w:rPr>
            </w:pPr>
            <w:r>
              <w:rPr>
                <w:rFonts w:hint="eastAsia" w:ascii="微软雅黑" w:hAnsi="微软雅黑" w:eastAsia="微软雅黑" w:cs="微软雅黑"/>
                <w:b/>
                <w:bCs/>
                <w:color w:val="auto"/>
                <w:kern w:val="2"/>
                <w:sz w:val="24"/>
                <w:szCs w:val="24"/>
                <w:lang w:val="en-US" w:eastAsia="zh-CN"/>
              </w:rPr>
              <w:t>报价要求</w:t>
            </w:r>
          </w:p>
        </w:tc>
        <w:tc>
          <w:tcPr>
            <w:tcW w:w="4271"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jc w:val="left"/>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报价方式：本项目为一次性报价，以采购文件上的报价为最终报价，现场不再进行报价。</w:t>
            </w:r>
          </w:p>
          <w:p>
            <w:pPr>
              <w:pStyle w:val="144"/>
              <w:keepNext w:val="0"/>
              <w:keepLines w:val="0"/>
              <w:widowControl/>
              <w:suppressLineNumbers w:val="0"/>
              <w:adjustRightInd w:val="0"/>
              <w:snapToGrid w:val="0"/>
              <w:spacing w:before="0" w:beforeAutospacing="0" w:after="0" w:afterAutospacing="0" w:line="400" w:lineRule="exact"/>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报价要求：本项目须对项目包干总价进行报价，包括完成本项目所需的所有费用及各种应纳的税费。因中标人自身原因造成漏报、少报皆由其自行承担责任，采购人不再补偿。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color w:val="auto"/>
                <w:kern w:val="2"/>
                <w:sz w:val="24"/>
                <w:szCs w:val="24"/>
                <w:lang w:val="en-US" w:eastAsia="zh-CN"/>
              </w:rPr>
            </w:pPr>
            <w:r>
              <w:rPr>
                <w:rFonts w:hint="eastAsia" w:ascii="微软雅黑" w:hAnsi="微软雅黑" w:eastAsia="微软雅黑" w:cs="微软雅黑"/>
                <w:b/>
                <w:bCs/>
                <w:color w:val="auto"/>
                <w:kern w:val="2"/>
                <w:sz w:val="24"/>
                <w:szCs w:val="24"/>
                <w:lang w:val="en-US" w:eastAsia="zh-CN"/>
              </w:rPr>
              <w:t>付款方式</w:t>
            </w:r>
          </w:p>
        </w:tc>
        <w:tc>
          <w:tcPr>
            <w:tcW w:w="4271"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验收合格后，由投标人开具符合法律规定的增值税专用发票，采购人在收到发票后支付合同总金额的97%。质保期结束且投标人按照合同约定履行本合同维保义务，采购人无息支付合同总金额的3%。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color w:val="auto"/>
                <w:kern w:val="2"/>
                <w:sz w:val="24"/>
                <w:szCs w:val="24"/>
                <w:lang w:val="en-US" w:eastAsia="zh-CN"/>
              </w:rPr>
            </w:pPr>
            <w:r>
              <w:rPr>
                <w:rFonts w:hint="eastAsia" w:ascii="微软雅黑" w:hAnsi="微软雅黑" w:eastAsia="微软雅黑" w:cs="微软雅黑"/>
                <w:b/>
                <w:bCs/>
                <w:color w:val="auto"/>
                <w:kern w:val="2"/>
                <w:sz w:val="24"/>
                <w:szCs w:val="24"/>
                <w:lang w:val="en-US" w:eastAsia="zh-CN"/>
              </w:rPr>
              <w:t>其他</w:t>
            </w:r>
          </w:p>
        </w:tc>
        <w:tc>
          <w:tcPr>
            <w:tcW w:w="4271" w:type="pc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1.投标人必须在响应文件中对以上条款和服务承诺明确列出，承诺内容必须达到本篇及协商文件其他条款的要求；</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2.其他未尽事宜由供需双方在采购合同中详细约定。</w:t>
            </w:r>
          </w:p>
        </w:tc>
      </w:tr>
    </w:tbl>
    <w:p>
      <w:pPr>
        <w:pStyle w:val="2"/>
        <w:rPr>
          <w:rFonts w:hint="eastAsia" w:ascii="微软雅黑" w:hAnsi="微软雅黑" w:eastAsia="微软雅黑" w:cs="微软雅黑"/>
          <w:color w:val="auto"/>
        </w:rPr>
      </w:pPr>
    </w:p>
    <w:p>
      <w:pPr>
        <w:rPr>
          <w:rFonts w:hint="eastAsia" w:ascii="微软雅黑" w:hAnsi="微软雅黑" w:eastAsia="微软雅黑" w:cs="微软雅黑"/>
          <w:b/>
          <w:color w:val="auto"/>
          <w:sz w:val="44"/>
        </w:rPr>
      </w:pPr>
      <w:bookmarkStart w:id="86" w:name="_Toc76462332"/>
      <w:bookmarkStart w:id="87" w:name="_Toc6692"/>
      <w:bookmarkStart w:id="88" w:name="_Toc106030887"/>
      <w:r>
        <w:rPr>
          <w:rFonts w:hint="eastAsia" w:ascii="微软雅黑" w:hAnsi="微软雅黑" w:eastAsia="微软雅黑" w:cs="微软雅黑"/>
          <w:b/>
          <w:color w:val="auto"/>
          <w:sz w:val="44"/>
        </w:rPr>
        <w:br w:type="page"/>
      </w:r>
    </w:p>
    <w:bookmarkEnd w:id="86"/>
    <w:bookmarkEnd w:id="87"/>
    <w:bookmarkEnd w:id="88"/>
    <w:p>
      <w:pPr>
        <w:pStyle w:val="5"/>
        <w:spacing w:before="200" w:after="200" w:line="240" w:lineRule="auto"/>
        <w:jc w:val="center"/>
        <w:rPr>
          <w:rFonts w:hint="eastAsia" w:ascii="微软雅黑" w:hAnsi="微软雅黑" w:eastAsia="微软雅黑" w:cs="微软雅黑"/>
          <w:color w:val="auto"/>
          <w:sz w:val="44"/>
        </w:rPr>
      </w:pPr>
      <w:bookmarkStart w:id="89" w:name="_Toc8585"/>
      <w:bookmarkStart w:id="90" w:name="_Toc11315"/>
      <w:bookmarkStart w:id="91" w:name="_Toc76462335"/>
      <w:bookmarkStart w:id="92" w:name="_Toc29489"/>
      <w:bookmarkStart w:id="93" w:name="_Toc31497"/>
      <w:bookmarkStart w:id="94" w:name="_Toc32522"/>
      <w:bookmarkStart w:id="95" w:name="_Toc102227320"/>
      <w:bookmarkStart w:id="96" w:name="_Toc106030890"/>
      <w:bookmarkStart w:id="97" w:name="_Toc342913394"/>
      <w:r>
        <w:rPr>
          <w:rFonts w:hint="eastAsia" w:ascii="微软雅黑" w:hAnsi="微软雅黑" w:eastAsia="微软雅黑" w:cs="微软雅黑"/>
          <w:color w:val="auto"/>
          <w:sz w:val="44"/>
        </w:rPr>
        <w:t>第三篇  公开比选采购程序及方法、评审标准、无效响应和采购终止</w:t>
      </w:r>
      <w:bookmarkEnd w:id="89"/>
      <w:bookmarkEnd w:id="90"/>
    </w:p>
    <w:p>
      <w:pPr>
        <w:pStyle w:val="5"/>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98" w:name="_Toc26127"/>
      <w:bookmarkStart w:id="99" w:name="_Toc25412"/>
      <w:bookmarkStart w:id="100" w:name="_Toc106030888"/>
      <w:bookmarkStart w:id="101" w:name="_Toc18313"/>
      <w:bookmarkStart w:id="102" w:name="_Toc14958"/>
      <w:bookmarkStart w:id="103" w:name="_Toc76462333"/>
      <w:r>
        <w:rPr>
          <w:rFonts w:hint="eastAsia" w:ascii="微软雅黑" w:hAnsi="微软雅黑" w:eastAsia="微软雅黑" w:cs="微软雅黑"/>
          <w:color w:val="auto"/>
          <w:sz w:val="24"/>
        </w:rPr>
        <w:t>一、公开比选采购程序</w:t>
      </w:r>
      <w:bookmarkEnd w:id="98"/>
      <w:bookmarkEnd w:id="99"/>
      <w:bookmarkEnd w:id="100"/>
      <w:bookmarkEnd w:id="101"/>
      <w:bookmarkEnd w:id="102"/>
      <w:bookmarkEnd w:id="103"/>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（一）按公开比选采购文件规定的时间和地点进行，投标人须有法定代表人（或其授权代表）或自然人参加。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依据法律法规和公开比选采购文件的规定，对响应文件中的资格证明等进行审查，以确定投标人是否具备比选资格。资格性审查资料表如下：</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（一）</w:t>
            </w:r>
          </w:p>
        </w:tc>
        <w:tc>
          <w:tcPr>
            <w:tcW w:w="891" w:type="dxa"/>
            <w:vMerge w:val="restart"/>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lang w:val="zh-CN"/>
              </w:rPr>
              <w:t>2.</w:t>
            </w:r>
            <w:r>
              <w:rPr>
                <w:rFonts w:hint="eastAsia" w:ascii="微软雅黑" w:hAnsi="微软雅黑" w:eastAsia="微软雅黑" w:cs="微软雅黑"/>
                <w:color w:val="auto"/>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投标人提供“基本资格条件承诺函”（格式详见</w:t>
            </w:r>
            <w:r>
              <w:rPr>
                <w:rFonts w:hint="eastAsia" w:ascii="微软雅黑" w:hAnsi="微软雅黑" w:eastAsia="微软雅黑" w:cs="微软雅黑"/>
                <w:color w:val="auto"/>
                <w:szCs w:val="21"/>
              </w:rPr>
              <w:t>第</w:t>
            </w:r>
            <w:r>
              <w:rPr>
                <w:rFonts w:hint="eastAsia" w:ascii="微软雅黑" w:hAnsi="微软雅黑" w:eastAsia="微软雅黑" w:cs="微软雅黑"/>
                <w:color w:val="auto"/>
                <w:szCs w:val="21"/>
                <w:lang w:val="en-US" w:eastAsia="zh-CN"/>
              </w:rPr>
              <w:t>五</w:t>
            </w:r>
            <w:r>
              <w:rPr>
                <w:rFonts w:hint="eastAsia" w:ascii="微软雅黑" w:hAnsi="微软雅黑" w:eastAsia="微软雅黑" w:cs="微软雅黑"/>
                <w:color w:val="auto"/>
                <w:szCs w:val="21"/>
              </w:rPr>
              <w:t>篇</w:t>
            </w:r>
            <w:r>
              <w:rPr>
                <w:rFonts w:hint="eastAsia" w:ascii="微软雅黑" w:hAnsi="微软雅黑" w:eastAsia="微软雅黑" w:cs="微软雅黑"/>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6.法律、行政法规规定的</w:t>
            </w:r>
            <w:r>
              <w:rPr>
                <w:rFonts w:hint="eastAsia" w:ascii="微软雅黑" w:hAnsi="微软雅黑" w:eastAsia="微软雅黑" w:cs="微软雅黑"/>
                <w:color w:val="auto"/>
                <w:szCs w:val="21"/>
                <w:lang w:eastAsia="zh-CN"/>
              </w:rPr>
              <w:t>其它</w:t>
            </w:r>
            <w:r>
              <w:rPr>
                <w:rFonts w:hint="eastAsia" w:ascii="微软雅黑" w:hAnsi="微软雅黑" w:eastAsia="微软雅黑" w:cs="微软雅黑"/>
                <w:color w:val="auto"/>
                <w:szCs w:val="21"/>
              </w:rPr>
              <w:t>条件</w:t>
            </w:r>
          </w:p>
        </w:tc>
        <w:tc>
          <w:tcPr>
            <w:tcW w:w="5105" w:type="dxa"/>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按“第一篇二、投标人资格要求（二）本项目的特定资格要求”的要求提交（如果有）。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w:t>
            </w:r>
            <w:r>
              <w:rPr>
                <w:rFonts w:hint="eastAsia" w:ascii="微软雅黑" w:hAnsi="微软雅黑" w:eastAsia="微软雅黑" w:cs="微软雅黑"/>
                <w:color w:val="auto"/>
                <w:szCs w:val="21"/>
                <w:lang w:val="en-US" w:eastAsia="zh-CN"/>
              </w:rPr>
              <w:t>二</w:t>
            </w:r>
            <w:r>
              <w:rPr>
                <w:rFonts w:hint="eastAsia" w:ascii="微软雅黑" w:hAnsi="微软雅黑" w:eastAsia="微软雅黑" w:cs="微软雅黑"/>
                <w:color w:val="auto"/>
                <w:szCs w:val="21"/>
              </w:rPr>
              <w:t>）</w:t>
            </w:r>
          </w:p>
        </w:tc>
        <w:tc>
          <w:tcPr>
            <w:tcW w:w="891"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IP地址</w:t>
            </w:r>
          </w:p>
        </w:tc>
        <w:tc>
          <w:tcPr>
            <w:tcW w:w="2815" w:type="dxa"/>
          </w:tcPr>
          <w:p>
            <w:pPr>
              <w:pStyle w:val="144"/>
              <w:spacing w:line="400" w:lineRule="exact"/>
              <w:ind w:firstLine="420" w:firstLineChars="200"/>
              <w:rPr>
                <w:rFonts w:hint="eastAsia" w:ascii="微软雅黑" w:hAnsi="微软雅黑" w:eastAsia="微软雅黑" w:cs="微软雅黑"/>
                <w:color w:val="auto"/>
                <w:szCs w:val="21"/>
              </w:rPr>
            </w:pPr>
          </w:p>
        </w:tc>
        <w:tc>
          <w:tcPr>
            <w:tcW w:w="5105"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投标人在采购人指定招标平台进行报名或提交响应文件时，是否出现与</w:t>
            </w:r>
            <w:r>
              <w:rPr>
                <w:rFonts w:hint="eastAsia" w:ascii="微软雅黑" w:hAnsi="微软雅黑" w:eastAsia="微软雅黑" w:cs="微软雅黑"/>
                <w:color w:val="auto"/>
                <w:szCs w:val="21"/>
                <w:lang w:eastAsia="zh-CN"/>
              </w:rPr>
              <w:t>其它</w:t>
            </w:r>
            <w:r>
              <w:rPr>
                <w:rFonts w:hint="eastAsia" w:ascii="微软雅黑" w:hAnsi="微软雅黑" w:eastAsia="微软雅黑" w:cs="微软雅黑"/>
                <w:color w:val="auto"/>
                <w:szCs w:val="21"/>
              </w:rPr>
              <w:t>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5"/>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04" w:name="_Toc17379"/>
      <w:bookmarkStart w:id="105" w:name="_Toc27374"/>
      <w:bookmarkStart w:id="106" w:name="_Toc14961"/>
      <w:r>
        <w:rPr>
          <w:rFonts w:hint="eastAsia" w:ascii="微软雅黑" w:hAnsi="微软雅黑" w:eastAsia="微软雅黑" w:cs="微软雅黑"/>
          <w:color w:val="auto"/>
          <w:sz w:val="24"/>
        </w:rPr>
        <w:t>二、评标方法</w:t>
      </w:r>
      <w:bookmarkEnd w:id="104"/>
      <w:bookmarkEnd w:id="105"/>
      <w:bookmarkEnd w:id="106"/>
    </w:p>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本项目采用最低价评标法进行评标。</w:t>
      </w:r>
    </w:p>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最低价评标法，是指响应文件满足公开比选采购文件全部实质性要求且投标报价最低的投标人为中标候选人的评标方法。</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（二）推荐中标候选人名单。</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评标结果按投标报价由低到高顺序排列，若投标报价相同的由评标小组推荐中标候选人。</w:t>
      </w:r>
    </w:p>
    <w:bookmarkEnd w:id="91"/>
    <w:bookmarkEnd w:id="92"/>
    <w:bookmarkEnd w:id="93"/>
    <w:bookmarkEnd w:id="94"/>
    <w:bookmarkEnd w:id="95"/>
    <w:bookmarkEnd w:id="96"/>
    <w:bookmarkEnd w:id="97"/>
    <w:p>
      <w:pPr>
        <w:pStyle w:val="5"/>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07" w:name="_Toc6063"/>
      <w:bookmarkStart w:id="108" w:name="_Toc4054"/>
      <w:r>
        <w:rPr>
          <w:rFonts w:hint="eastAsia" w:ascii="微软雅黑" w:hAnsi="微软雅黑" w:eastAsia="微软雅黑" w:cs="微软雅黑"/>
          <w:color w:val="auto"/>
          <w:sz w:val="24"/>
          <w:lang w:val="en-US" w:eastAsia="zh-CN"/>
        </w:rPr>
        <w:t>三</w:t>
      </w:r>
      <w:r>
        <w:rPr>
          <w:rFonts w:hint="eastAsia" w:ascii="微软雅黑" w:hAnsi="微软雅黑" w:eastAsia="微软雅黑" w:cs="微软雅黑"/>
          <w:color w:val="auto"/>
          <w:sz w:val="24"/>
        </w:rPr>
        <w:t>、评审标准</w:t>
      </w:r>
      <w:bookmarkEnd w:id="107"/>
      <w:bookmarkEnd w:id="108"/>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（一）关于技术（质量）、商务偏离</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1.响应文件投标应答有一条及以上不满足</w:t>
      </w:r>
      <w:r>
        <w:rPr>
          <w:rFonts w:hint="eastAsia" w:ascii="微软雅黑" w:hAnsi="微软雅黑" w:eastAsia="微软雅黑" w:cs="微软雅黑"/>
          <w:color w:val="auto"/>
          <w:sz w:val="24"/>
          <w:szCs w:val="24"/>
          <w:lang w:val="en-US" w:eastAsia="zh-CN"/>
        </w:rPr>
        <w:t>本项采购需求文件中项目技术要求</w:t>
      </w:r>
      <w:r>
        <w:rPr>
          <w:rFonts w:hint="eastAsia" w:ascii="微软雅黑" w:hAnsi="微软雅黑" w:eastAsia="微软雅黑" w:cs="微软雅黑"/>
          <w:color w:val="auto"/>
          <w:sz w:val="24"/>
          <w:szCs w:val="24"/>
        </w:rPr>
        <w:t>的，投标人将失去成为中标候选人的资格；</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2.响应文件投标应答有一条及以上不满足</w:t>
      </w:r>
      <w:r>
        <w:rPr>
          <w:rFonts w:hint="eastAsia" w:ascii="微软雅黑" w:hAnsi="微软雅黑" w:eastAsia="微软雅黑" w:cs="微软雅黑"/>
          <w:color w:val="auto"/>
          <w:sz w:val="24"/>
          <w:szCs w:val="24"/>
          <w:lang w:val="en-US" w:eastAsia="zh-CN"/>
        </w:rPr>
        <w:t>本项采购需求文件中项目商务要求</w:t>
      </w:r>
      <w:r>
        <w:rPr>
          <w:rFonts w:hint="eastAsia" w:ascii="微软雅黑" w:hAnsi="微软雅黑" w:eastAsia="微软雅黑" w:cs="微软雅黑"/>
          <w:color w:val="auto"/>
          <w:sz w:val="24"/>
          <w:szCs w:val="24"/>
        </w:rPr>
        <w:t>的，投标人将失去成为合格投标人的资格；</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3.</w:t>
      </w:r>
      <w:r>
        <w:rPr>
          <w:rFonts w:hint="eastAsia" w:ascii="微软雅黑" w:hAnsi="微软雅黑" w:eastAsia="微软雅黑" w:cs="微软雅黑"/>
          <w:color w:val="auto"/>
          <w:sz w:val="24"/>
          <w:szCs w:val="24"/>
          <w:lang w:eastAsia="zh-CN"/>
        </w:rPr>
        <w:t>评标小组</w:t>
      </w:r>
      <w:r>
        <w:rPr>
          <w:rFonts w:hint="eastAsia" w:ascii="微软雅黑" w:hAnsi="微软雅黑" w:eastAsia="微软雅黑" w:cs="微软雅黑"/>
          <w:color w:val="auto"/>
          <w:sz w:val="24"/>
          <w:szCs w:val="24"/>
        </w:rPr>
        <w:t>认为投标人的报价明显低于</w:t>
      </w:r>
      <w:r>
        <w:rPr>
          <w:rFonts w:hint="eastAsia" w:ascii="微软雅黑" w:hAnsi="微软雅黑" w:eastAsia="微软雅黑" w:cs="微软雅黑"/>
          <w:color w:val="auto"/>
          <w:sz w:val="24"/>
          <w:szCs w:val="24"/>
          <w:lang w:eastAsia="zh-CN"/>
        </w:rPr>
        <w:t>其它</w:t>
      </w:r>
      <w:r>
        <w:rPr>
          <w:rFonts w:hint="eastAsia" w:ascii="微软雅黑" w:hAnsi="微软雅黑" w:eastAsia="微软雅黑" w:cs="微软雅黑"/>
          <w:color w:val="auto"/>
          <w:sz w:val="24"/>
          <w:szCs w:val="24"/>
        </w:rPr>
        <w:t>通过符合性审查投标人的报价，有可能影响产品质量或者不能诚信履约的，应当要求其在评标现场合理的时间内提供书面说明，必要时提交相关证明材料；投标人不能证明其报价合理性的，</w:t>
      </w:r>
      <w:r>
        <w:rPr>
          <w:rFonts w:hint="eastAsia" w:ascii="微软雅黑" w:hAnsi="微软雅黑" w:eastAsia="微软雅黑" w:cs="微软雅黑"/>
          <w:color w:val="auto"/>
          <w:sz w:val="24"/>
          <w:szCs w:val="24"/>
          <w:lang w:eastAsia="zh-CN"/>
        </w:rPr>
        <w:t>评标小组</w:t>
      </w:r>
      <w:r>
        <w:rPr>
          <w:rFonts w:hint="eastAsia" w:ascii="微软雅黑" w:hAnsi="微软雅黑" w:eastAsia="微软雅黑" w:cs="微软雅黑"/>
          <w:color w:val="auto"/>
          <w:sz w:val="24"/>
          <w:szCs w:val="24"/>
        </w:rPr>
        <w:t>应当将其作为无效投标处理。</w:t>
      </w:r>
    </w:p>
    <w:p>
      <w:pPr>
        <w:pStyle w:val="5"/>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09" w:name="_Toc2214"/>
      <w:bookmarkStart w:id="110" w:name="_Toc17606"/>
      <w:bookmarkStart w:id="111" w:name="_Toc8670"/>
      <w:r>
        <w:rPr>
          <w:rFonts w:hint="eastAsia" w:ascii="微软雅黑" w:hAnsi="微软雅黑" w:eastAsia="微软雅黑" w:cs="微软雅黑"/>
          <w:color w:val="auto"/>
          <w:sz w:val="24"/>
        </w:rPr>
        <w:t>四、无效响应</w:t>
      </w:r>
      <w:bookmarkEnd w:id="109"/>
      <w:bookmarkEnd w:id="110"/>
      <w:bookmarkEnd w:id="111"/>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（一）投标人不符合规定的资格条件的；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（二）投标人的法定代表人（或其授权代表）或自然人未在采购人限定时间内到达开标现场进行签到的；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（三）投标人所提交的响应文件不按“第五篇 响应文件编制要求”要求签署或盖章；</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（五）法定代表人为同一个人的两个及两个以上法人，母公司、全资子公司及其控股公司，在同一包采购中同时参与比选；</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（七）为采购项目提供整体设计、规范编制或者项目管理、监理、检测等服务的投标人，再参加该采购项目的</w:t>
      </w:r>
      <w:r>
        <w:rPr>
          <w:rFonts w:hint="eastAsia" w:ascii="微软雅黑" w:hAnsi="微软雅黑" w:eastAsia="微软雅黑" w:cs="微软雅黑"/>
          <w:color w:val="auto"/>
          <w:sz w:val="24"/>
          <w:szCs w:val="24"/>
          <w:lang w:eastAsia="zh-CN"/>
        </w:rPr>
        <w:t>其它</w:t>
      </w:r>
      <w:r>
        <w:rPr>
          <w:rFonts w:hint="eastAsia" w:ascii="微软雅黑" w:hAnsi="微软雅黑" w:eastAsia="微软雅黑" w:cs="微软雅黑"/>
          <w:color w:val="auto"/>
          <w:sz w:val="24"/>
          <w:szCs w:val="24"/>
        </w:rPr>
        <w:t>采购活动；</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（八）投标人授权有效期不满足公开比选采购文件要求的；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（十）法律、法规和采购文件规定的</w:t>
      </w:r>
      <w:r>
        <w:rPr>
          <w:rFonts w:hint="eastAsia" w:ascii="微软雅黑" w:hAnsi="微软雅黑" w:eastAsia="微软雅黑" w:cs="微软雅黑"/>
          <w:color w:val="auto"/>
          <w:sz w:val="24"/>
          <w:szCs w:val="24"/>
          <w:lang w:eastAsia="zh-CN"/>
        </w:rPr>
        <w:t>其它</w:t>
      </w:r>
      <w:r>
        <w:rPr>
          <w:rFonts w:hint="eastAsia" w:ascii="微软雅黑" w:hAnsi="微软雅黑" w:eastAsia="微软雅黑" w:cs="微软雅黑"/>
          <w:color w:val="auto"/>
          <w:sz w:val="24"/>
          <w:szCs w:val="24"/>
        </w:rPr>
        <w:t>无效情形。</w:t>
      </w:r>
    </w:p>
    <w:p>
      <w:pPr>
        <w:pStyle w:val="5"/>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12" w:name="_Toc12222"/>
      <w:bookmarkStart w:id="113" w:name="_Toc10687"/>
      <w:bookmarkStart w:id="114" w:name="_Toc76462336"/>
      <w:bookmarkStart w:id="115" w:name="_Toc106030891"/>
      <w:bookmarkStart w:id="116" w:name="_Toc12481"/>
      <w:bookmarkStart w:id="117" w:name="_Toc1725"/>
      <w:r>
        <w:rPr>
          <w:rFonts w:hint="eastAsia" w:ascii="微软雅黑" w:hAnsi="微软雅黑" w:eastAsia="微软雅黑" w:cs="微软雅黑"/>
          <w:color w:val="auto"/>
          <w:sz w:val="24"/>
        </w:rPr>
        <w:t>五、</w:t>
      </w:r>
      <w:bookmarkEnd w:id="112"/>
      <w:bookmarkEnd w:id="113"/>
      <w:bookmarkEnd w:id="114"/>
      <w:bookmarkEnd w:id="115"/>
      <w:r>
        <w:rPr>
          <w:rFonts w:hint="eastAsia" w:ascii="微软雅黑" w:hAnsi="微软雅黑" w:eastAsia="微软雅黑" w:cs="微软雅黑"/>
          <w:color w:val="auto"/>
          <w:sz w:val="24"/>
        </w:rPr>
        <w:t>废标条款</w:t>
      </w:r>
      <w:bookmarkEnd w:id="116"/>
      <w:bookmarkEnd w:id="117"/>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（二）出现影响采购公正的违法、违规行为的；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（三）在采购过程中符合要求的有效投标人不足</w:t>
      </w: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rPr>
        <w:t>家的</w:t>
      </w:r>
      <w:r>
        <w:rPr>
          <w:rFonts w:hint="eastAsia" w:ascii="微软雅黑" w:hAnsi="微软雅黑" w:eastAsia="微软雅黑" w:cs="微软雅黑"/>
          <w:color w:val="auto"/>
          <w:sz w:val="24"/>
          <w:szCs w:val="24"/>
        </w:rPr>
        <w:t>（挂网公示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大于等于3次的除外）</w:t>
      </w:r>
      <w:r>
        <w:rPr>
          <w:rFonts w:hint="eastAsia" w:ascii="微软雅黑" w:hAnsi="微软雅黑" w:eastAsia="微软雅黑" w:cs="微软雅黑"/>
          <w:color w:val="auto"/>
          <w:sz w:val="24"/>
          <w:szCs w:val="24"/>
        </w:rPr>
        <w:t>；</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（四）采购任务变更或取消的。</w:t>
      </w:r>
    </w:p>
    <w:p>
      <w:pPr>
        <w:spacing w:line="400" w:lineRule="exact"/>
        <w:ind w:firstLine="480" w:firstLineChars="200"/>
        <w:rPr>
          <w:rFonts w:hint="eastAsia" w:ascii="微软雅黑" w:hAnsi="微软雅黑" w:eastAsia="微软雅黑" w:cs="微软雅黑"/>
          <w:color w:val="auto"/>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5"/>
        <w:spacing w:before="200" w:after="200" w:line="240" w:lineRule="auto"/>
        <w:jc w:val="center"/>
        <w:rPr>
          <w:rFonts w:hint="eastAsia" w:ascii="微软雅黑" w:hAnsi="微软雅黑" w:eastAsia="微软雅黑" w:cs="微软雅黑"/>
          <w:color w:val="auto"/>
          <w:sz w:val="44"/>
        </w:rPr>
      </w:pPr>
      <w:bookmarkStart w:id="118" w:name="_Toc5273"/>
      <w:bookmarkStart w:id="119" w:name="_Toc106030892"/>
      <w:bookmarkStart w:id="120" w:name="_Toc29948"/>
      <w:bookmarkStart w:id="121" w:name="_Toc76462337"/>
      <w:bookmarkStart w:id="122" w:name="_Toc102227313"/>
      <w:r>
        <w:rPr>
          <w:rFonts w:hint="eastAsia" w:ascii="微软雅黑" w:hAnsi="微软雅黑" w:eastAsia="微软雅黑" w:cs="微软雅黑"/>
          <w:color w:val="auto"/>
          <w:sz w:val="44"/>
        </w:rPr>
        <w:t>第四篇  投标人须知</w:t>
      </w:r>
      <w:bookmarkEnd w:id="118"/>
      <w:bookmarkEnd w:id="119"/>
      <w:bookmarkEnd w:id="120"/>
      <w:bookmarkEnd w:id="121"/>
      <w:bookmarkEnd w:id="122"/>
    </w:p>
    <w:p>
      <w:pPr>
        <w:pStyle w:val="5"/>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23" w:name="_Toc106030893"/>
      <w:bookmarkStart w:id="124" w:name="_Toc342913389"/>
      <w:bookmarkStart w:id="125" w:name="_Toc19855"/>
      <w:bookmarkStart w:id="126" w:name="_Toc26717"/>
      <w:bookmarkStart w:id="127" w:name="_Toc76462338"/>
      <w:r>
        <w:rPr>
          <w:rFonts w:hint="eastAsia" w:ascii="微软雅黑" w:hAnsi="微软雅黑" w:eastAsia="微软雅黑" w:cs="微软雅黑"/>
          <w:color w:val="auto"/>
          <w:sz w:val="24"/>
        </w:rPr>
        <w:t>一、公开比选费用</w:t>
      </w:r>
      <w:bookmarkEnd w:id="123"/>
      <w:bookmarkEnd w:id="124"/>
      <w:bookmarkEnd w:id="125"/>
      <w:bookmarkEnd w:id="126"/>
      <w:bookmarkEnd w:id="127"/>
    </w:p>
    <w:p>
      <w:pPr>
        <w:pStyle w:val="144"/>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参与比选的投标人应承担其编制响应文件与递交响应文件所涉及的一切费用，不论比选结果如何，采购人在任何情况下无义务也无责任承担这些费用。</w:t>
      </w:r>
    </w:p>
    <w:p>
      <w:pPr>
        <w:pStyle w:val="5"/>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28" w:name="_Toc19008"/>
      <w:bookmarkStart w:id="129" w:name="_Toc342913391"/>
      <w:bookmarkStart w:id="130" w:name="_Toc106030894"/>
      <w:bookmarkStart w:id="131" w:name="_Toc76462339"/>
      <w:bookmarkStart w:id="132" w:name="_Toc15712"/>
      <w:r>
        <w:rPr>
          <w:rFonts w:hint="eastAsia" w:ascii="微软雅黑" w:hAnsi="微软雅黑" w:eastAsia="微软雅黑" w:cs="微软雅黑"/>
          <w:color w:val="auto"/>
          <w:sz w:val="24"/>
        </w:rPr>
        <w:t>二、公开比选采购文件</w:t>
      </w:r>
      <w:bookmarkEnd w:id="128"/>
      <w:bookmarkEnd w:id="129"/>
      <w:bookmarkEnd w:id="130"/>
      <w:bookmarkEnd w:id="131"/>
      <w:bookmarkEnd w:id="132"/>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（一）公开比选采购文件由采购邀请书、项目</w:t>
      </w:r>
      <w:r>
        <w:rPr>
          <w:rFonts w:hint="eastAsia" w:ascii="微软雅黑" w:hAnsi="微软雅黑" w:eastAsia="微软雅黑" w:cs="微软雅黑"/>
          <w:color w:val="auto"/>
          <w:sz w:val="24"/>
          <w:szCs w:val="24"/>
          <w:lang w:val="en-US" w:eastAsia="zh-CN"/>
        </w:rPr>
        <w:t>技术（质量）及商务需求</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采购</w:t>
      </w:r>
      <w:r>
        <w:rPr>
          <w:rFonts w:hint="eastAsia" w:ascii="微软雅黑" w:hAnsi="微软雅黑" w:eastAsia="微软雅黑" w:cs="微软雅黑"/>
          <w:color w:val="auto"/>
          <w:sz w:val="24"/>
          <w:szCs w:val="24"/>
        </w:rPr>
        <w:t>程序及方法、评审标准、无效响应和采购终止、投标人须知、响应文件编制要求</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部分组成。</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（三）公开比选采购文件的解释</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33" w:name="_Toc318159780"/>
      <w:bookmarkStart w:id="134" w:name="_Toc318159160"/>
      <w:bookmarkStart w:id="135" w:name="_Toc318166429"/>
      <w:bookmarkStart w:id="136" w:name="_Toc318159349"/>
    </w:p>
    <w:bookmarkEnd w:id="133"/>
    <w:bookmarkEnd w:id="134"/>
    <w:bookmarkEnd w:id="135"/>
    <w:bookmarkEnd w:id="136"/>
    <w:p>
      <w:pPr>
        <w:pStyle w:val="5"/>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37" w:name="_Toc26007"/>
      <w:bookmarkStart w:id="138" w:name="_Toc12263"/>
      <w:bookmarkStart w:id="139" w:name="_Toc102227318"/>
      <w:bookmarkStart w:id="140" w:name="_Toc76462340"/>
      <w:bookmarkStart w:id="141" w:name="_Toc179714297"/>
      <w:bookmarkStart w:id="142" w:name="_Toc106030895"/>
      <w:bookmarkStart w:id="143" w:name="_Toc342913392"/>
      <w:r>
        <w:rPr>
          <w:rFonts w:hint="eastAsia" w:ascii="微软雅黑" w:hAnsi="微软雅黑" w:eastAsia="微软雅黑" w:cs="微软雅黑"/>
          <w:color w:val="auto"/>
          <w:sz w:val="24"/>
        </w:rPr>
        <w:t>三、比选要求</w:t>
      </w:r>
      <w:bookmarkEnd w:id="137"/>
      <w:bookmarkEnd w:id="138"/>
      <w:bookmarkEnd w:id="139"/>
      <w:bookmarkEnd w:id="140"/>
      <w:bookmarkEnd w:id="141"/>
      <w:bookmarkEnd w:id="142"/>
      <w:bookmarkEnd w:id="143"/>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（一）响应文件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2.响应文件组成</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响应文件由“第五篇 响应文件编制要求”规定的部分和投标人所作的一切有效补充、修改和承诺等文件组成，投标人应按照“第五篇 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（三）修正错误</w:t>
      </w:r>
    </w:p>
    <w:p>
      <w:pPr>
        <w:pStyle w:val="52"/>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若响应文件出现计算或表达上的错误，修正错误的原则如下：</w:t>
      </w:r>
    </w:p>
    <w:p>
      <w:pPr>
        <w:pStyle w:val="52"/>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1.响应文件中开标一览表（报价表）内容与响应文件中相应内容不一致的，以开标一览表（报价表）为准；</w:t>
      </w:r>
    </w:p>
    <w:p>
      <w:pPr>
        <w:pStyle w:val="52"/>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2.大写金额和小写金额不一致的，以大写金额为准；</w:t>
      </w:r>
    </w:p>
    <w:p>
      <w:pPr>
        <w:pStyle w:val="52"/>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3.单价金额小数点或者百分比有明显错位的，以开标一览表的总价为准，并修改单价；</w:t>
      </w:r>
    </w:p>
    <w:p>
      <w:pPr>
        <w:pStyle w:val="52"/>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比选小组</w:t>
      </w:r>
      <w:r>
        <w:rPr>
          <w:rFonts w:hint="eastAsia" w:ascii="微软雅黑" w:hAnsi="微软雅黑" w:eastAsia="微软雅黑" w:cs="微软雅黑"/>
          <w:color w:val="auto"/>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1.响应文件一式六份，其中正本一份，副本五份，电子文档（</w:t>
      </w:r>
      <w:r>
        <w:rPr>
          <w:rFonts w:hint="eastAsia" w:ascii="微软雅黑" w:hAnsi="微软雅黑" w:eastAsia="微软雅黑" w:cs="微软雅黑"/>
          <w:b/>
          <w:bCs/>
          <w:color w:val="auto"/>
          <w:sz w:val="24"/>
          <w:szCs w:val="24"/>
          <w:u w:val="single"/>
        </w:rPr>
        <w:t>电子文档须将完整的响应文件正本PDF版上传到电子招投标平台，如电子文档与纸质响应文件的实质性内容出现差异，则视为未报名成功</w:t>
      </w:r>
      <w:r>
        <w:rPr>
          <w:rFonts w:hint="eastAsia" w:ascii="微软雅黑" w:hAnsi="微软雅黑" w:eastAsia="微软雅黑" w:cs="微软雅黑"/>
          <w:color w:val="auto"/>
          <w:sz w:val="24"/>
          <w:szCs w:val="24"/>
        </w:rPr>
        <w:t>）一份；副本可为正本的复印件，应与正本一致，如出现不一致情况以正本为准。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w:t>
      </w:r>
      <w:r>
        <w:rPr>
          <w:rFonts w:hint="eastAsia" w:ascii="微软雅黑" w:hAnsi="微软雅黑" w:eastAsia="微软雅黑" w:cs="微软雅黑"/>
          <w:color w:val="auto"/>
          <w:sz w:val="24"/>
        </w:rPr>
        <w:t>响应文件按公开比选采购文件“</w:t>
      </w:r>
      <w:r>
        <w:rPr>
          <w:rFonts w:hint="eastAsia" w:ascii="微软雅黑" w:hAnsi="微软雅黑" w:eastAsia="微软雅黑" w:cs="微软雅黑"/>
          <w:color w:val="auto"/>
          <w:sz w:val="24"/>
        </w:rPr>
        <w:t>第五篇响应文件编制要求</w:t>
      </w:r>
      <w:r>
        <w:rPr>
          <w:rFonts w:hint="eastAsia" w:ascii="微软雅黑" w:hAnsi="微软雅黑" w:eastAsia="微软雅黑" w:cs="微软雅黑"/>
          <w:color w:val="auto"/>
          <w:sz w:val="24"/>
        </w:rPr>
        <w:t>”要求签署或盖章。</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（五）响应文件的递交</w:t>
      </w:r>
    </w:p>
    <w:p>
      <w:pPr>
        <w:pStyle w:val="32"/>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响应文件的正本、副本均应密封送达</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地点，应在封套上注明</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（六）投标人参与人员</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各个投标人应当派1-2名代表参与比选，至少1人应为法定代表人（或其授权代表）或自然人（投标人为自然人）。</w:t>
      </w:r>
    </w:p>
    <w:p>
      <w:pPr>
        <w:pStyle w:val="5"/>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44" w:name="_Toc13425"/>
      <w:bookmarkStart w:id="145" w:name="_Toc76462341"/>
      <w:bookmarkStart w:id="146" w:name="_Toc6435"/>
      <w:bookmarkStart w:id="147" w:name="_Toc106030896"/>
      <w:r>
        <w:rPr>
          <w:rFonts w:hint="eastAsia" w:ascii="微软雅黑" w:hAnsi="微软雅黑" w:eastAsia="微软雅黑" w:cs="微软雅黑"/>
          <w:color w:val="auto"/>
          <w:sz w:val="24"/>
        </w:rPr>
        <w:t>四、中标人的确认和变更</w:t>
      </w:r>
      <w:bookmarkEnd w:id="144"/>
      <w:bookmarkEnd w:id="145"/>
      <w:bookmarkEnd w:id="146"/>
      <w:bookmarkEnd w:id="147"/>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采购人从评审报告提出的成交候选投标人中，按照排序由高到低的原则确定中标人。</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（二）中标人的变更</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中标人拒绝与采购人签订合同的，采购人可以按照评标报告推荐的成交候选投标人顺序，顺延下一位候选人为中标人，也可以重新开展采购活动。</w:t>
      </w:r>
    </w:p>
    <w:p>
      <w:pPr>
        <w:pStyle w:val="5"/>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48" w:name="_Toc342913395"/>
      <w:bookmarkStart w:id="149" w:name="_Toc102227321"/>
      <w:bookmarkStart w:id="150" w:name="_Toc76462342"/>
      <w:bookmarkStart w:id="151" w:name="_Toc27713"/>
      <w:bookmarkStart w:id="152" w:name="_Toc106030897"/>
      <w:bookmarkStart w:id="153" w:name="_Toc21532"/>
      <w:r>
        <w:rPr>
          <w:rFonts w:hint="eastAsia" w:ascii="微软雅黑" w:hAnsi="微软雅黑" w:eastAsia="微软雅黑" w:cs="微软雅黑"/>
          <w:color w:val="auto"/>
          <w:sz w:val="24"/>
        </w:rPr>
        <w:t>五、成交通知</w:t>
      </w:r>
      <w:bookmarkEnd w:id="148"/>
      <w:bookmarkEnd w:id="149"/>
      <w:bookmarkEnd w:id="150"/>
      <w:bookmarkEnd w:id="151"/>
      <w:bookmarkEnd w:id="152"/>
      <w:bookmarkEnd w:id="153"/>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（一）中标人确定后，采购管理处将在重庆医科大学附属儿童医院电子招投标平台（zbb.chcmu-com.cn）上发布成交结果公告，</w:t>
      </w:r>
      <w:r>
        <w:rPr>
          <w:rFonts w:hint="eastAsia" w:ascii="微软雅黑" w:hAnsi="微软雅黑" w:eastAsia="微软雅黑" w:cs="微软雅黑"/>
          <w:color w:val="auto"/>
          <w:sz w:val="24"/>
          <w:szCs w:val="24"/>
        </w:rPr>
        <w:t>成交结果公示内容只包含中标人名称。</w:t>
      </w:r>
      <w:r>
        <w:rPr>
          <w:rFonts w:hint="eastAsia" w:ascii="微软雅黑" w:hAnsi="微软雅黑" w:eastAsia="微软雅黑" w:cs="微软雅黑"/>
          <w:color w:val="auto"/>
          <w:sz w:val="24"/>
          <w:szCs w:val="24"/>
        </w:rPr>
        <w:t>结果公告发出同时，采购管理处将平台内发出《中标通知书》。</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（二）《中标通知书》将作为签订合同的依据。</w:t>
      </w:r>
    </w:p>
    <w:p>
      <w:pPr>
        <w:pStyle w:val="5"/>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54" w:name="_Toc76462343"/>
      <w:bookmarkStart w:id="155" w:name="_Toc21448"/>
      <w:bookmarkStart w:id="156" w:name="_Toc696"/>
      <w:bookmarkStart w:id="157" w:name="_Toc106030898"/>
      <w:r>
        <w:rPr>
          <w:rFonts w:hint="eastAsia" w:ascii="微软雅黑" w:hAnsi="微软雅黑" w:eastAsia="微软雅黑" w:cs="微软雅黑"/>
          <w:color w:val="auto"/>
          <w:sz w:val="24"/>
        </w:rPr>
        <w:t>六、质疑处理</w:t>
      </w:r>
      <w:bookmarkEnd w:id="154"/>
      <w:bookmarkEnd w:id="155"/>
      <w:bookmarkEnd w:id="156"/>
      <w:bookmarkEnd w:id="157"/>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（一）质疑时限、内容</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1.质疑时限</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1.1对采购文件的质疑。</w:t>
      </w:r>
      <w:r>
        <w:rPr>
          <w:rFonts w:hint="eastAsia" w:ascii="微软雅黑" w:hAnsi="微软雅黑" w:eastAsia="微软雅黑" w:cs="微软雅黑"/>
          <w:color w:val="auto"/>
          <w:sz w:val="24"/>
          <w:szCs w:val="24"/>
        </w:rPr>
        <w:t>投标人如对本比选文件有任何实质性疑问，应当以书面形式向采购人提出质疑，并须将该质疑文件纸质版（须加盖提出质疑单位的公章确认）在投标截止时间之前送达采购人。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1.2投标人认为采购过程、成交结果使自己的权益受到损害的，可以在</w:t>
      </w:r>
      <w:r>
        <w:rPr>
          <w:rFonts w:hint="eastAsia" w:ascii="微软雅黑" w:hAnsi="微软雅黑" w:eastAsia="微软雅黑" w:cs="微软雅黑"/>
          <w:color w:val="auto"/>
          <w:sz w:val="24"/>
        </w:rPr>
        <w:t>知道或者应知其权益受到损害之日起</w:t>
      </w:r>
      <w:r>
        <w:rPr>
          <w:rFonts w:hint="eastAsia" w:ascii="微软雅黑" w:hAnsi="微软雅黑" w:eastAsia="微软雅黑" w:cs="微软雅黑"/>
          <w:color w:val="auto"/>
          <w:sz w:val="24"/>
        </w:rPr>
        <w:t>5个工作日内，以</w:t>
      </w:r>
      <w:r>
        <w:rPr>
          <w:rFonts w:hint="eastAsia" w:ascii="微软雅黑" w:hAnsi="微软雅黑" w:eastAsia="微软雅黑" w:cs="微软雅黑"/>
          <w:color w:val="auto"/>
          <w:sz w:val="24"/>
          <w:lang w:val="en-US" w:eastAsia="zh-CN"/>
        </w:rPr>
        <w:t>提交</w:t>
      </w:r>
      <w:r>
        <w:rPr>
          <w:rFonts w:hint="eastAsia" w:ascii="微软雅黑" w:hAnsi="微软雅黑" w:eastAsia="微软雅黑" w:cs="微软雅黑"/>
          <w:color w:val="auto"/>
          <w:sz w:val="24"/>
          <w:szCs w:val="24"/>
        </w:rPr>
        <w:t>质疑文件纸质版（须加盖提出质疑单位的公章确认）</w:t>
      </w:r>
      <w:r>
        <w:rPr>
          <w:rFonts w:hint="eastAsia" w:ascii="微软雅黑" w:hAnsi="微软雅黑" w:eastAsia="微软雅黑" w:cs="微软雅黑"/>
          <w:color w:val="auto"/>
          <w:sz w:val="24"/>
          <w:szCs w:val="24"/>
          <w:lang w:eastAsia="zh-CN"/>
        </w:rPr>
        <w:t>的</w:t>
      </w:r>
      <w:r>
        <w:rPr>
          <w:rFonts w:hint="eastAsia" w:ascii="微软雅黑" w:hAnsi="微软雅黑" w:eastAsia="微软雅黑" w:cs="微软雅黑"/>
          <w:color w:val="auto"/>
          <w:sz w:val="24"/>
          <w:szCs w:val="24"/>
          <w:lang w:val="en-US" w:eastAsia="zh-CN"/>
        </w:rPr>
        <w:t>形式</w:t>
      </w:r>
      <w:r>
        <w:rPr>
          <w:rFonts w:hint="eastAsia" w:ascii="微软雅黑" w:hAnsi="微软雅黑" w:eastAsia="微软雅黑" w:cs="微软雅黑"/>
          <w:color w:val="auto"/>
          <w:sz w:val="24"/>
        </w:rPr>
        <w:t>向采购人提出质疑。</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2.1投标人的姓名或者名称、地址、邮编、联系人及联系电话；</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2.2质疑项目的名称、项目号以及采购执行编号；</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2.3具体、明确的质疑事项和与质疑事项相关的请求；</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2.4事实依据；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2.5必要的法律依据；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2.6提出质疑的日期；</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3.投标人为自然人的，质疑函应当由本人签字；投标人为法人或者</w:t>
      </w:r>
      <w:r>
        <w:rPr>
          <w:rFonts w:hint="eastAsia" w:ascii="微软雅黑" w:hAnsi="微软雅黑" w:eastAsia="微软雅黑" w:cs="微软雅黑"/>
          <w:color w:val="auto"/>
          <w:sz w:val="24"/>
          <w:lang w:eastAsia="zh-CN"/>
        </w:rPr>
        <w:t>其它</w:t>
      </w:r>
      <w:r>
        <w:rPr>
          <w:rFonts w:hint="eastAsia" w:ascii="微软雅黑" w:hAnsi="微软雅黑" w:eastAsia="微软雅黑" w:cs="微软雅黑"/>
          <w:color w:val="auto"/>
          <w:sz w:val="24"/>
        </w:rPr>
        <w:t>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（二）质疑答复</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采购人应当在收到投标人的书面质疑后7个工作日内作出答复，并以书面形式通知质疑投标人和</w:t>
      </w:r>
      <w:r>
        <w:rPr>
          <w:rFonts w:hint="eastAsia" w:ascii="微软雅黑" w:hAnsi="微软雅黑" w:eastAsia="微软雅黑" w:cs="微软雅黑"/>
          <w:color w:val="auto"/>
          <w:sz w:val="24"/>
          <w:lang w:eastAsia="zh-CN"/>
        </w:rPr>
        <w:t>其它</w:t>
      </w:r>
      <w:r>
        <w:rPr>
          <w:rFonts w:hint="eastAsia" w:ascii="微软雅黑" w:hAnsi="微软雅黑" w:eastAsia="微软雅黑" w:cs="微软雅黑"/>
          <w:color w:val="auto"/>
          <w:sz w:val="24"/>
        </w:rPr>
        <w:t>有关投标人。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（三）投标人应在质疑期内一次性提出针对同一采购程序环节的质疑。</w:t>
      </w:r>
      <w:bookmarkStart w:id="158" w:name="_Toc106030899"/>
      <w:bookmarkStart w:id="159" w:name="_Toc28334"/>
      <w:bookmarkStart w:id="160" w:name="_Toc76462344"/>
    </w:p>
    <w:p>
      <w:pPr>
        <w:pStyle w:val="5"/>
        <w:numPr>
          <w:ilvl w:val="255"/>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1" w:name="_Toc6926"/>
      <w:r>
        <w:rPr>
          <w:rFonts w:hint="eastAsia" w:ascii="微软雅黑" w:hAnsi="微软雅黑" w:eastAsia="微软雅黑" w:cs="微软雅黑"/>
          <w:color w:val="auto"/>
          <w:sz w:val="24"/>
        </w:rPr>
        <w:t>七、</w:t>
      </w:r>
      <w:bookmarkEnd w:id="158"/>
      <w:bookmarkEnd w:id="159"/>
      <w:bookmarkEnd w:id="160"/>
      <w:bookmarkStart w:id="162" w:name="_Toc102227322"/>
      <w:bookmarkStart w:id="163" w:name="_Toc106030901"/>
      <w:bookmarkStart w:id="164" w:name="_Toc3372"/>
      <w:bookmarkStart w:id="165" w:name="_Toc76462346"/>
      <w:bookmarkStart w:id="166" w:name="_Toc342913396"/>
      <w:bookmarkStart w:id="167" w:name="_Toc12789059"/>
      <w:bookmarkStart w:id="168" w:name="_Toc11641055"/>
      <w:r>
        <w:rPr>
          <w:rFonts w:hint="eastAsia" w:ascii="微软雅黑" w:hAnsi="微软雅黑" w:eastAsia="微软雅黑" w:cs="微软雅黑"/>
          <w:color w:val="auto"/>
          <w:sz w:val="24"/>
        </w:rPr>
        <w:t>签订</w:t>
      </w:r>
      <w:bookmarkEnd w:id="162"/>
      <w:r>
        <w:rPr>
          <w:rFonts w:hint="eastAsia" w:ascii="微软雅黑" w:hAnsi="微软雅黑" w:eastAsia="微软雅黑" w:cs="微软雅黑"/>
          <w:color w:val="auto"/>
          <w:sz w:val="24"/>
        </w:rPr>
        <w:t>合同</w:t>
      </w:r>
      <w:bookmarkEnd w:id="161"/>
      <w:bookmarkEnd w:id="163"/>
      <w:bookmarkEnd w:id="164"/>
      <w:bookmarkEnd w:id="165"/>
      <w:bookmarkEnd w:id="166"/>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（二）中标人未在规定时间内递交合同或放弃中标资格，则采购人将有充分的理由废除授标，将中标人纳入采购人失信投标人名单</w:t>
      </w:r>
      <w:r>
        <w:rPr>
          <w:rFonts w:hint="eastAsia" w:ascii="微软雅黑" w:hAnsi="微软雅黑" w:eastAsia="微软雅黑" w:cs="微软雅黑"/>
          <w:color w:val="auto"/>
          <w:sz w:val="24"/>
        </w:rPr>
        <w:t>并扣除</w:t>
      </w:r>
      <w:r>
        <w:rPr>
          <w:rFonts w:hint="eastAsia" w:ascii="微软雅黑" w:hAnsi="微软雅黑" w:eastAsia="微软雅黑" w:cs="微软雅黑"/>
          <w:color w:val="auto"/>
          <w:sz w:val="24"/>
          <w:lang w:val="en-US" w:eastAsia="zh-CN"/>
        </w:rPr>
        <w:t>中标人</w:t>
      </w:r>
      <w:r>
        <w:rPr>
          <w:rFonts w:hint="eastAsia" w:ascii="微软雅黑" w:hAnsi="微软雅黑" w:eastAsia="微软雅黑" w:cs="微软雅黑"/>
          <w:color w:val="auto"/>
          <w:sz w:val="24"/>
        </w:rPr>
        <w:t>项目的履约保证金（如果有）</w:t>
      </w:r>
      <w:r>
        <w:rPr>
          <w:rFonts w:hint="eastAsia" w:ascii="微软雅黑" w:hAnsi="微软雅黑" w:eastAsia="微软雅黑" w:cs="微软雅黑"/>
          <w:color w:val="auto"/>
          <w:sz w:val="24"/>
        </w:rPr>
        <w:t>，两年之内不得参与采购人任何级别的招标项目。</w:t>
      </w:r>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（三）如采购人因中标人未按时递交合同或放弃中标资格而造成损失，中标人应予以赔偿，同时依法承担相应法律责任。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color w:val="auto"/>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color w:val="auto"/>
          <w:sz w:val="24"/>
        </w:rPr>
        <w:t>（四）中标人应当按照合同约定履行义务，完成中标项目，不得将中标项目转让(转包)或分包给他人。</w:t>
      </w:r>
      <w:bookmarkEnd w:id="167"/>
      <w:bookmarkEnd w:id="168"/>
    </w:p>
    <w:p>
      <w:pPr>
        <w:pStyle w:val="5"/>
        <w:spacing w:before="200" w:after="200" w:line="240" w:lineRule="auto"/>
        <w:jc w:val="center"/>
        <w:rPr>
          <w:rFonts w:hint="eastAsia" w:ascii="微软雅黑" w:hAnsi="微软雅黑" w:eastAsia="微软雅黑" w:cs="微软雅黑"/>
          <w:color w:val="auto"/>
          <w:sz w:val="44"/>
        </w:rPr>
      </w:pPr>
      <w:bookmarkStart w:id="169" w:name="_Hlt41879464"/>
      <w:bookmarkEnd w:id="169"/>
      <w:bookmarkStart w:id="170" w:name="_Toc106030905"/>
      <w:bookmarkStart w:id="171" w:name="_Toc76462349"/>
      <w:bookmarkStart w:id="172" w:name="_Toc27984"/>
      <w:bookmarkStart w:id="173" w:name="_Toc16009"/>
      <w:r>
        <w:rPr>
          <w:rFonts w:hint="eastAsia" w:ascii="微软雅黑" w:hAnsi="微软雅黑" w:eastAsia="微软雅黑" w:cs="微软雅黑"/>
          <w:color w:val="auto"/>
          <w:sz w:val="44"/>
        </w:rPr>
        <w:t>第五篇  响应文件编制要求</w:t>
      </w:r>
      <w:bookmarkEnd w:id="170"/>
      <w:bookmarkEnd w:id="171"/>
      <w:bookmarkEnd w:id="172"/>
      <w:bookmarkEnd w:id="173"/>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一、经济部分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（一）技术响应偏离表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（二）技术部分应答材料</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三、商务部分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（一）商务响应偏离表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（二）商务部分应答材料</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四、资格条件及其他</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（五）基本资格条件承诺函（格式）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（六）特定资格条件证书或证明文件</w:t>
      </w:r>
    </w:p>
    <w:p>
      <w:pPr>
        <w:spacing w:line="400" w:lineRule="exact"/>
        <w:ind w:firstLine="480" w:firstLineChars="200"/>
        <w:rPr>
          <w:rFonts w:hint="eastAsia" w:ascii="微软雅黑" w:hAnsi="微软雅黑" w:eastAsia="微软雅黑" w:cs="微软雅黑"/>
          <w:color w:val="auto"/>
          <w:sz w:val="24"/>
          <w:szCs w:val="24"/>
        </w:rPr>
      </w:pPr>
    </w:p>
    <w:p>
      <w:pPr>
        <w:snapToGrid w:val="0"/>
        <w:spacing w:line="360" w:lineRule="auto"/>
        <w:rPr>
          <w:rFonts w:hint="eastAsia" w:ascii="微软雅黑" w:hAnsi="微软雅黑" w:eastAsia="微软雅黑" w:cs="微软雅黑"/>
          <w:color w:val="auto"/>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outlineLvl w:val="0"/>
        <w:rPr>
          <w:rFonts w:hint="eastAsia" w:ascii="微软雅黑" w:hAnsi="微软雅黑" w:eastAsia="微软雅黑" w:cs="微软雅黑"/>
          <w:color w:val="auto"/>
          <w:sz w:val="24"/>
          <w:szCs w:val="24"/>
        </w:rPr>
      </w:pPr>
      <w:bookmarkStart w:id="174" w:name="_Toc106030906"/>
      <w:bookmarkStart w:id="175" w:name="_Toc313888360"/>
      <w:bookmarkStart w:id="176" w:name="_Toc313008356"/>
      <w:bookmarkStart w:id="177" w:name="_Toc76462350"/>
      <w:bookmarkStart w:id="178" w:name="_Toc15994"/>
      <w:bookmarkStart w:id="179" w:name="_Toc342913419"/>
      <w:bookmarkStart w:id="180" w:name="_Toc12789073"/>
      <w:bookmarkStart w:id="181" w:name="_Toc283382454"/>
      <w:r>
        <w:rPr>
          <w:rFonts w:hint="eastAsia" w:ascii="微软雅黑" w:hAnsi="微软雅黑" w:eastAsia="微软雅黑" w:cs="微软雅黑"/>
          <w:color w:val="auto"/>
          <w:sz w:val="24"/>
          <w:szCs w:val="24"/>
        </w:rPr>
        <w:t>封面</w:t>
      </w:r>
    </w:p>
    <w:p>
      <w:pPr>
        <w:spacing w:line="1600" w:lineRule="exact"/>
        <w:jc w:val="center"/>
        <w:outlineLvl w:val="0"/>
        <w:rPr>
          <w:rFonts w:ascii="微软雅黑" w:hAnsi="微软雅黑" w:eastAsia="微软雅黑" w:cs="微软雅黑"/>
          <w:color w:val="auto"/>
          <w:sz w:val="130"/>
          <w:szCs w:val="130"/>
        </w:rPr>
      </w:pPr>
    </w:p>
    <w:p>
      <w:pPr>
        <w:pStyle w:val="4"/>
        <w:rPr>
          <w:rFonts w:hint="eastAsia"/>
          <w:color w:val="auto"/>
        </w:rPr>
      </w:pPr>
    </w:p>
    <w:p>
      <w:pPr>
        <w:spacing w:line="1600" w:lineRule="exact"/>
        <w:jc w:val="center"/>
        <w:outlineLvl w:val="0"/>
        <w:rPr>
          <w:rFonts w:hint="eastAsia" w:ascii="微软雅黑" w:hAnsi="微软雅黑" w:eastAsia="微软雅黑" w:cs="微软雅黑"/>
          <w:color w:val="auto"/>
          <w:sz w:val="130"/>
          <w:szCs w:val="130"/>
        </w:rPr>
      </w:pPr>
      <w:r>
        <w:rPr>
          <w:rFonts w:hint="eastAsia" w:ascii="微软雅黑" w:hAnsi="微软雅黑" w:eastAsia="微软雅黑" w:cs="微软雅黑"/>
          <w:color w:val="auto"/>
          <w:sz w:val="130"/>
          <w:szCs w:val="130"/>
        </w:rPr>
        <w:t>采购响应文件</w:t>
      </w:r>
    </w:p>
    <w:p>
      <w:pPr>
        <w:spacing w:line="600" w:lineRule="exact"/>
        <w:jc w:val="center"/>
        <w:outlineLvl w:val="0"/>
        <w:rPr>
          <w:rFonts w:hint="eastAsia" w:ascii="微软雅黑" w:hAnsi="微软雅黑" w:eastAsia="微软雅黑" w:cs="微软雅黑"/>
          <w:color w:val="auto"/>
          <w:sz w:val="44"/>
          <w:szCs w:val="44"/>
        </w:rPr>
      </w:pPr>
      <w:r>
        <w:rPr>
          <w:rFonts w:hint="eastAsia" w:ascii="微软雅黑" w:hAnsi="微软雅黑" w:eastAsia="微软雅黑" w:cs="微软雅黑"/>
          <w:color w:val="auto"/>
          <w:sz w:val="44"/>
          <w:szCs w:val="44"/>
        </w:rPr>
        <w:t>（正本/副本）</w:t>
      </w:r>
    </w:p>
    <w:p>
      <w:pPr>
        <w:spacing w:line="700" w:lineRule="exact"/>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rPr>
      </w:pPr>
      <w:r>
        <w:rPr>
          <w:rFonts w:hint="eastAsia" w:ascii="微软雅黑" w:hAnsi="微软雅黑" w:eastAsia="微软雅黑" w:cs="微软雅黑"/>
          <w:color w:val="auto"/>
          <w:sz w:val="36"/>
          <w:szCs w:val="36"/>
        </w:rPr>
        <w:t>项目名称：</w:t>
      </w:r>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rPr>
      </w:pPr>
      <w:r>
        <w:rPr>
          <w:rFonts w:hint="eastAsia" w:ascii="微软雅黑" w:hAnsi="微软雅黑" w:eastAsia="微软雅黑" w:cs="微软雅黑"/>
          <w:color w:val="auto"/>
          <w:sz w:val="36"/>
          <w:szCs w:val="36"/>
        </w:rPr>
        <w:t>投标人名称：</w:t>
      </w:r>
      <w:r>
        <w:rPr>
          <w:rFonts w:hint="eastAsia" w:ascii="微软雅黑" w:hAnsi="微软雅黑" w:eastAsia="微软雅黑" w:cs="微软雅黑"/>
          <w:color w:val="auto"/>
          <w:sz w:val="36"/>
          <w:szCs w:val="36"/>
          <w:u w:val="single"/>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rPr>
      </w:pPr>
      <w:r>
        <w:rPr>
          <w:rFonts w:hint="eastAsia" w:ascii="微软雅黑" w:hAnsi="微软雅黑" w:eastAsia="微软雅黑" w:cs="微软雅黑"/>
          <w:color w:val="auto"/>
          <w:szCs w:val="28"/>
        </w:rPr>
        <w:t xml:space="preserve">投标人法定代表人（或授权代理人）： </w:t>
      </w:r>
      <w:r>
        <w:rPr>
          <w:rFonts w:hint="eastAsia" w:ascii="微软雅黑" w:hAnsi="微软雅黑" w:eastAsia="微软雅黑" w:cs="微软雅黑"/>
          <w:color w:val="auto"/>
          <w:szCs w:val="28"/>
          <w:u w:val="single"/>
        </w:rPr>
        <w:t xml:space="preserve">         </w:t>
      </w:r>
      <w:r>
        <w:rPr>
          <w:rFonts w:hint="eastAsia" w:ascii="微软雅黑" w:hAnsi="微软雅黑" w:eastAsia="微软雅黑" w:cs="微软雅黑"/>
          <w:color w:val="auto"/>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rPr>
      </w:pPr>
      <w:r>
        <w:rPr>
          <w:rFonts w:hint="eastAsia" w:ascii="微软雅黑" w:hAnsi="微软雅黑" w:eastAsia="微软雅黑" w:cs="微软雅黑"/>
          <w:color w:val="auto"/>
          <w:sz w:val="36"/>
          <w:szCs w:val="36"/>
        </w:rPr>
        <w:t>联系电话：</w:t>
      </w:r>
      <w:r>
        <w:rPr>
          <w:rFonts w:hint="eastAsia" w:ascii="微软雅黑" w:hAnsi="微软雅黑" w:eastAsia="微软雅黑" w:cs="微软雅黑"/>
          <w:color w:val="auto"/>
          <w:sz w:val="36"/>
          <w:szCs w:val="36"/>
          <w:u w:val="single"/>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rPr>
      </w:pPr>
      <w:r>
        <w:rPr>
          <w:rFonts w:hint="eastAsia" w:ascii="微软雅黑" w:hAnsi="微软雅黑" w:eastAsia="微软雅黑" w:cs="微软雅黑"/>
          <w:color w:val="auto"/>
          <w:sz w:val="36"/>
          <w:szCs w:val="36"/>
        </w:rPr>
        <w:t>重庆医科大学附属儿童医院</w:t>
      </w:r>
    </w:p>
    <w:p>
      <w:pPr>
        <w:jc w:val="center"/>
        <w:outlineLvl w:val="0"/>
        <w:rPr>
          <w:rFonts w:hint="eastAsia" w:ascii="微软雅黑" w:hAnsi="微软雅黑" w:eastAsia="微软雅黑" w:cs="微软雅黑"/>
          <w:color w:val="auto"/>
          <w:sz w:val="72"/>
        </w:rPr>
        <w:sectPr>
          <w:headerReference r:id="rId12" w:type="first"/>
          <w:footerReference r:id="rId15" w:type="first"/>
          <w:headerReference r:id="rId11" w:type="default"/>
          <w:footerReference r:id="rId13" w:type="default"/>
          <w:footerReference r:id="rId14" w:type="even"/>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color w:val="auto"/>
          <w:sz w:val="36"/>
          <w:szCs w:val="36"/>
        </w:rPr>
        <w:t>二〇二X年X月</w:t>
      </w:r>
    </w:p>
    <w:p>
      <w:pPr>
        <w:pStyle w:val="5"/>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82" w:name="_Toc20374"/>
      <w:r>
        <w:rPr>
          <w:rFonts w:hint="eastAsia" w:ascii="微软雅黑" w:hAnsi="微软雅黑" w:eastAsia="微软雅黑" w:cs="微软雅黑"/>
          <w:color w:val="auto"/>
          <w:sz w:val="24"/>
        </w:rPr>
        <w:t>一、经济部分</w:t>
      </w:r>
      <w:bookmarkEnd w:id="174"/>
      <w:bookmarkEnd w:id="175"/>
      <w:bookmarkEnd w:id="176"/>
      <w:bookmarkEnd w:id="177"/>
      <w:bookmarkEnd w:id="178"/>
      <w:bookmarkEnd w:id="179"/>
      <w:bookmarkEnd w:id="182"/>
    </w:p>
    <w:bookmarkEnd w:id="180"/>
    <w:bookmarkEnd w:id="181"/>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（一）开标一览表</w:t>
      </w:r>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开标一览表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7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投标报价（小写）</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投标报价（大写）</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施工期限</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416"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r>
              <w:rPr>
                <w:rFonts w:hint="eastAsia" w:ascii="微软雅黑" w:hAnsi="微软雅黑" w:eastAsia="微软雅黑" w:cs="微软雅黑"/>
                <w:color w:val="auto"/>
                <w:sz w:val="24"/>
                <w:szCs w:val="24"/>
                <w:lang w:val="en-US" w:eastAsia="zh-CN"/>
              </w:rPr>
              <w:t>本项目采购需求文件</w:t>
            </w:r>
            <w:r>
              <w:rPr>
                <w:rFonts w:hint="eastAsia" w:ascii="微软雅黑" w:hAnsi="微软雅黑" w:eastAsia="微软雅黑" w:cs="微软雅黑"/>
                <w:color w:val="auto"/>
                <w:sz w:val="24"/>
                <w:szCs w:val="24"/>
              </w:rPr>
              <w:t>中所有条款</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vAlign w:val="center"/>
          </w:tcPr>
          <w:p>
            <w:pPr>
              <w:tabs>
                <w:tab w:val="left" w:pos="6300"/>
              </w:tabs>
              <w:snapToGrid w:val="0"/>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szCs w:val="24"/>
        </w:rPr>
        <w:br w:type="page"/>
      </w:r>
    </w:p>
    <w:p>
      <w:pPr>
        <w:tabs>
          <w:tab w:val="left" w:pos="2895"/>
        </w:tabs>
        <w:spacing w:line="400" w:lineRule="exact"/>
        <w:ind w:firstLine="480" w:firstLineChars="200"/>
        <w:rPr>
          <w:rFonts w:hint="eastAsia" w:ascii="微软雅黑" w:hAnsi="微软雅黑" w:eastAsia="微软雅黑" w:cs="微软雅黑"/>
          <w:color w:val="auto"/>
          <w:sz w:val="24"/>
          <w:szCs w:val="24"/>
        </w:rPr>
      </w:pPr>
      <w:bookmarkStart w:id="183" w:name="_Toc76462351"/>
      <w:bookmarkStart w:id="184" w:name="_Toc106030907"/>
      <w:bookmarkStart w:id="185" w:name="_Toc313008357"/>
      <w:bookmarkStart w:id="186" w:name="_Toc342913420"/>
      <w:bookmarkStart w:id="187" w:name="_Toc313888361"/>
      <w:bookmarkStart w:id="188" w:name="_Toc18669"/>
      <w:r>
        <w:rPr>
          <w:rFonts w:hint="eastAsia" w:ascii="微软雅黑" w:hAnsi="微软雅黑" w:eastAsia="微软雅黑" w:cs="微软雅黑"/>
          <w:color w:val="auto"/>
          <w:sz w:val="24"/>
          <w:szCs w:val="24"/>
        </w:rPr>
        <w:t>（二）明细报价表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rPr>
        <w:t xml:space="preserve">项目名称： </w:t>
      </w:r>
    </w:p>
    <w:tbl>
      <w:tblPr>
        <w:tblStyle w:val="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2559"/>
        <w:gridCol w:w="2125"/>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vAlign w:val="center"/>
          </w:tcPr>
          <w:p>
            <w:pPr>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序号</w:t>
            </w:r>
          </w:p>
        </w:tc>
        <w:tc>
          <w:tcPr>
            <w:tcW w:w="2559" w:type="dxa"/>
            <w:vAlign w:val="center"/>
          </w:tcPr>
          <w:p>
            <w:pPr>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名称</w:t>
            </w:r>
          </w:p>
        </w:tc>
        <w:tc>
          <w:tcPr>
            <w:tcW w:w="2125" w:type="dxa"/>
            <w:vAlign w:val="center"/>
          </w:tcPr>
          <w:p>
            <w:pPr>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相关信息</w:t>
            </w:r>
          </w:p>
        </w:tc>
        <w:tc>
          <w:tcPr>
            <w:tcW w:w="1235" w:type="dxa"/>
            <w:vAlign w:val="center"/>
          </w:tcPr>
          <w:p>
            <w:pPr>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数量</w:t>
            </w:r>
          </w:p>
        </w:tc>
        <w:tc>
          <w:tcPr>
            <w:tcW w:w="1235" w:type="dxa"/>
            <w:vAlign w:val="center"/>
          </w:tcPr>
          <w:p>
            <w:pPr>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单价</w:t>
            </w:r>
          </w:p>
        </w:tc>
        <w:tc>
          <w:tcPr>
            <w:tcW w:w="1235" w:type="dxa"/>
            <w:vAlign w:val="center"/>
          </w:tcPr>
          <w:p>
            <w:pPr>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w:t>
            </w:r>
          </w:p>
        </w:tc>
        <w:tc>
          <w:tcPr>
            <w:tcW w:w="2559" w:type="dxa"/>
            <w:vAlign w:val="center"/>
          </w:tcPr>
          <w:p>
            <w:pPr>
              <w:jc w:val="center"/>
              <w:rPr>
                <w:rFonts w:hint="eastAsia" w:ascii="微软雅黑" w:hAnsi="微软雅黑" w:eastAsia="微软雅黑" w:cs="微软雅黑"/>
                <w:color w:val="auto"/>
                <w:sz w:val="21"/>
                <w:szCs w:val="21"/>
              </w:rPr>
            </w:pPr>
          </w:p>
        </w:tc>
        <w:tc>
          <w:tcPr>
            <w:tcW w:w="2125" w:type="dxa"/>
            <w:vAlign w:val="center"/>
          </w:tcPr>
          <w:p>
            <w:pPr>
              <w:jc w:val="center"/>
              <w:rPr>
                <w:rFonts w:hint="eastAsia" w:ascii="微软雅黑" w:hAnsi="微软雅黑" w:eastAsia="微软雅黑" w:cs="微软雅黑"/>
                <w:color w:val="auto"/>
                <w:sz w:val="21"/>
                <w:szCs w:val="21"/>
              </w:rPr>
            </w:pPr>
          </w:p>
        </w:tc>
        <w:tc>
          <w:tcPr>
            <w:tcW w:w="1235" w:type="dxa"/>
            <w:vAlign w:val="center"/>
          </w:tcPr>
          <w:p>
            <w:pPr>
              <w:jc w:val="center"/>
              <w:rPr>
                <w:rFonts w:hint="eastAsia" w:ascii="微软雅黑" w:hAnsi="微软雅黑" w:eastAsia="微软雅黑" w:cs="微软雅黑"/>
                <w:color w:val="auto"/>
                <w:sz w:val="21"/>
                <w:szCs w:val="21"/>
              </w:rPr>
            </w:pPr>
          </w:p>
        </w:tc>
        <w:tc>
          <w:tcPr>
            <w:tcW w:w="1235" w:type="dxa"/>
            <w:vAlign w:val="center"/>
          </w:tcPr>
          <w:p>
            <w:pPr>
              <w:jc w:val="center"/>
              <w:rPr>
                <w:rFonts w:hint="eastAsia" w:ascii="微软雅黑" w:hAnsi="微软雅黑" w:eastAsia="微软雅黑" w:cs="微软雅黑"/>
                <w:color w:val="auto"/>
                <w:sz w:val="21"/>
                <w:szCs w:val="21"/>
              </w:rPr>
            </w:pPr>
          </w:p>
        </w:tc>
        <w:tc>
          <w:tcPr>
            <w:tcW w:w="1235" w:type="dxa"/>
            <w:vAlign w:val="center"/>
          </w:tcPr>
          <w:p>
            <w:pPr>
              <w:jc w:val="cente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w:t>
            </w:r>
          </w:p>
        </w:tc>
        <w:tc>
          <w:tcPr>
            <w:tcW w:w="2559" w:type="dxa"/>
            <w:vAlign w:val="center"/>
          </w:tcPr>
          <w:p>
            <w:pPr>
              <w:jc w:val="center"/>
              <w:rPr>
                <w:rFonts w:hint="eastAsia" w:ascii="微软雅黑" w:hAnsi="微软雅黑" w:eastAsia="微软雅黑" w:cs="微软雅黑"/>
                <w:color w:val="auto"/>
                <w:sz w:val="21"/>
                <w:szCs w:val="21"/>
              </w:rPr>
            </w:pPr>
          </w:p>
        </w:tc>
        <w:tc>
          <w:tcPr>
            <w:tcW w:w="2125" w:type="dxa"/>
            <w:vAlign w:val="center"/>
          </w:tcPr>
          <w:p>
            <w:pPr>
              <w:jc w:val="center"/>
              <w:rPr>
                <w:rFonts w:hint="eastAsia" w:ascii="微软雅黑" w:hAnsi="微软雅黑" w:eastAsia="微软雅黑" w:cs="微软雅黑"/>
                <w:color w:val="auto"/>
                <w:sz w:val="21"/>
                <w:szCs w:val="21"/>
              </w:rPr>
            </w:pPr>
          </w:p>
        </w:tc>
        <w:tc>
          <w:tcPr>
            <w:tcW w:w="1235" w:type="dxa"/>
            <w:vAlign w:val="center"/>
          </w:tcPr>
          <w:p>
            <w:pPr>
              <w:jc w:val="center"/>
              <w:rPr>
                <w:rFonts w:hint="eastAsia" w:ascii="微软雅黑" w:hAnsi="微软雅黑" w:eastAsia="微软雅黑" w:cs="微软雅黑"/>
                <w:color w:val="auto"/>
                <w:sz w:val="21"/>
                <w:szCs w:val="21"/>
              </w:rPr>
            </w:pPr>
          </w:p>
        </w:tc>
        <w:tc>
          <w:tcPr>
            <w:tcW w:w="1235" w:type="dxa"/>
            <w:vAlign w:val="center"/>
          </w:tcPr>
          <w:p>
            <w:pPr>
              <w:jc w:val="center"/>
              <w:rPr>
                <w:rFonts w:hint="eastAsia" w:ascii="微软雅黑" w:hAnsi="微软雅黑" w:eastAsia="微软雅黑" w:cs="微软雅黑"/>
                <w:color w:val="auto"/>
                <w:sz w:val="21"/>
                <w:szCs w:val="21"/>
              </w:rPr>
            </w:pPr>
          </w:p>
        </w:tc>
        <w:tc>
          <w:tcPr>
            <w:tcW w:w="1235" w:type="dxa"/>
            <w:vAlign w:val="center"/>
          </w:tcPr>
          <w:p>
            <w:pPr>
              <w:jc w:val="cente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w:t>
            </w:r>
          </w:p>
        </w:tc>
        <w:tc>
          <w:tcPr>
            <w:tcW w:w="2559" w:type="dxa"/>
            <w:vAlign w:val="center"/>
          </w:tcPr>
          <w:p>
            <w:pPr>
              <w:jc w:val="center"/>
              <w:rPr>
                <w:rFonts w:hint="eastAsia" w:ascii="微软雅黑" w:hAnsi="微软雅黑" w:eastAsia="微软雅黑" w:cs="微软雅黑"/>
                <w:color w:val="auto"/>
                <w:sz w:val="21"/>
                <w:szCs w:val="21"/>
              </w:rPr>
            </w:pPr>
          </w:p>
        </w:tc>
        <w:tc>
          <w:tcPr>
            <w:tcW w:w="2125" w:type="dxa"/>
            <w:vAlign w:val="center"/>
          </w:tcPr>
          <w:p>
            <w:pPr>
              <w:jc w:val="center"/>
              <w:rPr>
                <w:rFonts w:hint="eastAsia" w:ascii="微软雅黑" w:hAnsi="微软雅黑" w:eastAsia="微软雅黑" w:cs="微软雅黑"/>
                <w:color w:val="auto"/>
                <w:sz w:val="21"/>
                <w:szCs w:val="21"/>
              </w:rPr>
            </w:pPr>
          </w:p>
        </w:tc>
        <w:tc>
          <w:tcPr>
            <w:tcW w:w="1235" w:type="dxa"/>
            <w:vAlign w:val="center"/>
          </w:tcPr>
          <w:p>
            <w:pPr>
              <w:jc w:val="center"/>
              <w:rPr>
                <w:rFonts w:hint="eastAsia" w:ascii="微软雅黑" w:hAnsi="微软雅黑" w:eastAsia="微软雅黑" w:cs="微软雅黑"/>
                <w:color w:val="auto"/>
                <w:sz w:val="21"/>
                <w:szCs w:val="21"/>
              </w:rPr>
            </w:pPr>
          </w:p>
        </w:tc>
        <w:tc>
          <w:tcPr>
            <w:tcW w:w="1235" w:type="dxa"/>
            <w:vAlign w:val="center"/>
          </w:tcPr>
          <w:p>
            <w:pPr>
              <w:jc w:val="center"/>
              <w:rPr>
                <w:rFonts w:hint="eastAsia" w:ascii="微软雅黑" w:hAnsi="微软雅黑" w:eastAsia="微软雅黑" w:cs="微软雅黑"/>
                <w:color w:val="auto"/>
                <w:sz w:val="21"/>
                <w:szCs w:val="21"/>
              </w:rPr>
            </w:pPr>
          </w:p>
        </w:tc>
        <w:tc>
          <w:tcPr>
            <w:tcW w:w="1235" w:type="dxa"/>
            <w:vAlign w:val="center"/>
          </w:tcPr>
          <w:p>
            <w:pPr>
              <w:jc w:val="cente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4</w:t>
            </w:r>
          </w:p>
        </w:tc>
        <w:tc>
          <w:tcPr>
            <w:tcW w:w="2559" w:type="dxa"/>
            <w:vAlign w:val="center"/>
          </w:tcPr>
          <w:p>
            <w:pPr>
              <w:jc w:val="center"/>
              <w:rPr>
                <w:rFonts w:hint="eastAsia" w:ascii="微软雅黑" w:hAnsi="微软雅黑" w:eastAsia="微软雅黑" w:cs="微软雅黑"/>
                <w:color w:val="auto"/>
                <w:sz w:val="21"/>
                <w:szCs w:val="21"/>
              </w:rPr>
            </w:pPr>
          </w:p>
        </w:tc>
        <w:tc>
          <w:tcPr>
            <w:tcW w:w="2125" w:type="dxa"/>
            <w:vAlign w:val="center"/>
          </w:tcPr>
          <w:p>
            <w:pPr>
              <w:jc w:val="center"/>
              <w:rPr>
                <w:rFonts w:hint="eastAsia" w:ascii="微软雅黑" w:hAnsi="微软雅黑" w:eastAsia="微软雅黑" w:cs="微软雅黑"/>
                <w:color w:val="auto"/>
                <w:sz w:val="21"/>
                <w:szCs w:val="21"/>
              </w:rPr>
            </w:pPr>
          </w:p>
        </w:tc>
        <w:tc>
          <w:tcPr>
            <w:tcW w:w="1235" w:type="dxa"/>
            <w:vAlign w:val="center"/>
          </w:tcPr>
          <w:p>
            <w:pPr>
              <w:jc w:val="center"/>
              <w:rPr>
                <w:rFonts w:hint="eastAsia" w:ascii="微软雅黑" w:hAnsi="微软雅黑" w:eastAsia="微软雅黑" w:cs="微软雅黑"/>
                <w:color w:val="auto"/>
                <w:sz w:val="21"/>
                <w:szCs w:val="21"/>
              </w:rPr>
            </w:pPr>
          </w:p>
        </w:tc>
        <w:tc>
          <w:tcPr>
            <w:tcW w:w="1235" w:type="dxa"/>
            <w:vAlign w:val="center"/>
          </w:tcPr>
          <w:p>
            <w:pPr>
              <w:jc w:val="center"/>
              <w:rPr>
                <w:rFonts w:hint="eastAsia" w:ascii="微软雅黑" w:hAnsi="微软雅黑" w:eastAsia="微软雅黑" w:cs="微软雅黑"/>
                <w:color w:val="auto"/>
                <w:sz w:val="21"/>
                <w:szCs w:val="21"/>
              </w:rPr>
            </w:pPr>
          </w:p>
        </w:tc>
        <w:tc>
          <w:tcPr>
            <w:tcW w:w="1235" w:type="dxa"/>
            <w:vAlign w:val="center"/>
          </w:tcPr>
          <w:p>
            <w:pPr>
              <w:jc w:val="cente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5</w:t>
            </w:r>
          </w:p>
        </w:tc>
        <w:tc>
          <w:tcPr>
            <w:tcW w:w="2559" w:type="dxa"/>
            <w:vAlign w:val="center"/>
          </w:tcPr>
          <w:p>
            <w:pPr>
              <w:jc w:val="center"/>
              <w:rPr>
                <w:rFonts w:hint="eastAsia" w:ascii="微软雅黑" w:hAnsi="微软雅黑" w:eastAsia="微软雅黑" w:cs="微软雅黑"/>
                <w:color w:val="auto"/>
                <w:sz w:val="21"/>
                <w:szCs w:val="21"/>
              </w:rPr>
            </w:pPr>
          </w:p>
        </w:tc>
        <w:tc>
          <w:tcPr>
            <w:tcW w:w="2125" w:type="dxa"/>
            <w:vAlign w:val="center"/>
          </w:tcPr>
          <w:p>
            <w:pPr>
              <w:jc w:val="center"/>
              <w:rPr>
                <w:rFonts w:hint="eastAsia" w:ascii="微软雅黑" w:hAnsi="微软雅黑" w:eastAsia="微软雅黑" w:cs="微软雅黑"/>
                <w:color w:val="auto"/>
                <w:sz w:val="21"/>
                <w:szCs w:val="21"/>
              </w:rPr>
            </w:pPr>
          </w:p>
        </w:tc>
        <w:tc>
          <w:tcPr>
            <w:tcW w:w="1235" w:type="dxa"/>
            <w:vAlign w:val="center"/>
          </w:tcPr>
          <w:p>
            <w:pPr>
              <w:jc w:val="center"/>
              <w:rPr>
                <w:rFonts w:hint="eastAsia" w:ascii="微软雅黑" w:hAnsi="微软雅黑" w:eastAsia="微软雅黑" w:cs="微软雅黑"/>
                <w:color w:val="auto"/>
                <w:sz w:val="21"/>
                <w:szCs w:val="21"/>
              </w:rPr>
            </w:pPr>
          </w:p>
        </w:tc>
        <w:tc>
          <w:tcPr>
            <w:tcW w:w="1235" w:type="dxa"/>
            <w:vAlign w:val="center"/>
          </w:tcPr>
          <w:p>
            <w:pPr>
              <w:jc w:val="center"/>
              <w:rPr>
                <w:rFonts w:hint="eastAsia" w:ascii="微软雅黑" w:hAnsi="微软雅黑" w:eastAsia="微软雅黑" w:cs="微软雅黑"/>
                <w:color w:val="auto"/>
                <w:sz w:val="21"/>
                <w:szCs w:val="21"/>
              </w:rPr>
            </w:pPr>
          </w:p>
        </w:tc>
        <w:tc>
          <w:tcPr>
            <w:tcW w:w="1235" w:type="dxa"/>
            <w:vAlign w:val="center"/>
          </w:tcPr>
          <w:p>
            <w:pPr>
              <w:jc w:val="cente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6</w:t>
            </w:r>
          </w:p>
        </w:tc>
        <w:tc>
          <w:tcPr>
            <w:tcW w:w="2559" w:type="dxa"/>
            <w:vAlign w:val="center"/>
          </w:tcPr>
          <w:p>
            <w:pPr>
              <w:jc w:val="center"/>
              <w:rPr>
                <w:rFonts w:hint="eastAsia" w:ascii="微软雅黑" w:hAnsi="微软雅黑" w:eastAsia="微软雅黑" w:cs="微软雅黑"/>
                <w:color w:val="auto"/>
                <w:sz w:val="21"/>
                <w:szCs w:val="21"/>
              </w:rPr>
            </w:pPr>
          </w:p>
        </w:tc>
        <w:tc>
          <w:tcPr>
            <w:tcW w:w="2125" w:type="dxa"/>
            <w:vAlign w:val="center"/>
          </w:tcPr>
          <w:p>
            <w:pPr>
              <w:jc w:val="center"/>
              <w:rPr>
                <w:rFonts w:hint="eastAsia" w:ascii="微软雅黑" w:hAnsi="微软雅黑" w:eastAsia="微软雅黑" w:cs="微软雅黑"/>
                <w:color w:val="auto"/>
                <w:sz w:val="21"/>
                <w:szCs w:val="21"/>
              </w:rPr>
            </w:pPr>
          </w:p>
        </w:tc>
        <w:tc>
          <w:tcPr>
            <w:tcW w:w="1235" w:type="dxa"/>
            <w:vAlign w:val="center"/>
          </w:tcPr>
          <w:p>
            <w:pPr>
              <w:jc w:val="center"/>
              <w:rPr>
                <w:rFonts w:hint="eastAsia" w:ascii="微软雅黑" w:hAnsi="微软雅黑" w:eastAsia="微软雅黑" w:cs="微软雅黑"/>
                <w:color w:val="auto"/>
                <w:sz w:val="21"/>
                <w:szCs w:val="21"/>
              </w:rPr>
            </w:pPr>
          </w:p>
        </w:tc>
        <w:tc>
          <w:tcPr>
            <w:tcW w:w="1235" w:type="dxa"/>
            <w:vAlign w:val="center"/>
          </w:tcPr>
          <w:p>
            <w:pPr>
              <w:jc w:val="center"/>
              <w:rPr>
                <w:rFonts w:hint="eastAsia" w:ascii="微软雅黑" w:hAnsi="微软雅黑" w:eastAsia="微软雅黑" w:cs="微软雅黑"/>
                <w:color w:val="auto"/>
                <w:sz w:val="21"/>
                <w:szCs w:val="21"/>
              </w:rPr>
            </w:pPr>
          </w:p>
        </w:tc>
        <w:tc>
          <w:tcPr>
            <w:tcW w:w="1235" w:type="dxa"/>
            <w:vAlign w:val="center"/>
          </w:tcPr>
          <w:p>
            <w:pPr>
              <w:jc w:val="cente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7</w:t>
            </w:r>
          </w:p>
        </w:tc>
        <w:tc>
          <w:tcPr>
            <w:tcW w:w="2559" w:type="dxa"/>
            <w:vAlign w:val="center"/>
          </w:tcPr>
          <w:p>
            <w:pPr>
              <w:jc w:val="center"/>
              <w:rPr>
                <w:rFonts w:hint="eastAsia" w:ascii="微软雅黑" w:hAnsi="微软雅黑" w:eastAsia="微软雅黑" w:cs="微软雅黑"/>
                <w:color w:val="auto"/>
                <w:sz w:val="21"/>
                <w:szCs w:val="21"/>
              </w:rPr>
            </w:pPr>
          </w:p>
        </w:tc>
        <w:tc>
          <w:tcPr>
            <w:tcW w:w="2125" w:type="dxa"/>
            <w:vAlign w:val="center"/>
          </w:tcPr>
          <w:p>
            <w:pPr>
              <w:jc w:val="center"/>
              <w:rPr>
                <w:rFonts w:hint="eastAsia" w:ascii="微软雅黑" w:hAnsi="微软雅黑" w:eastAsia="微软雅黑" w:cs="微软雅黑"/>
                <w:color w:val="auto"/>
                <w:sz w:val="21"/>
                <w:szCs w:val="21"/>
              </w:rPr>
            </w:pPr>
          </w:p>
        </w:tc>
        <w:tc>
          <w:tcPr>
            <w:tcW w:w="1235" w:type="dxa"/>
            <w:vAlign w:val="center"/>
          </w:tcPr>
          <w:p>
            <w:pPr>
              <w:jc w:val="center"/>
              <w:rPr>
                <w:rFonts w:hint="eastAsia" w:ascii="微软雅黑" w:hAnsi="微软雅黑" w:eastAsia="微软雅黑" w:cs="微软雅黑"/>
                <w:color w:val="auto"/>
                <w:sz w:val="21"/>
                <w:szCs w:val="21"/>
              </w:rPr>
            </w:pPr>
          </w:p>
        </w:tc>
        <w:tc>
          <w:tcPr>
            <w:tcW w:w="1235" w:type="dxa"/>
            <w:vAlign w:val="center"/>
          </w:tcPr>
          <w:p>
            <w:pPr>
              <w:jc w:val="center"/>
              <w:rPr>
                <w:rFonts w:hint="eastAsia" w:ascii="微软雅黑" w:hAnsi="微软雅黑" w:eastAsia="微软雅黑" w:cs="微软雅黑"/>
                <w:color w:val="auto"/>
                <w:sz w:val="21"/>
                <w:szCs w:val="21"/>
              </w:rPr>
            </w:pPr>
          </w:p>
        </w:tc>
        <w:tc>
          <w:tcPr>
            <w:tcW w:w="1235" w:type="dxa"/>
            <w:vAlign w:val="center"/>
          </w:tcPr>
          <w:p>
            <w:pPr>
              <w:jc w:val="cente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w:t>
            </w:r>
          </w:p>
        </w:tc>
        <w:tc>
          <w:tcPr>
            <w:tcW w:w="2559" w:type="dxa"/>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w:t>
            </w:r>
          </w:p>
        </w:tc>
        <w:tc>
          <w:tcPr>
            <w:tcW w:w="2125" w:type="dxa"/>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w:t>
            </w:r>
          </w:p>
        </w:tc>
        <w:tc>
          <w:tcPr>
            <w:tcW w:w="1235" w:type="dxa"/>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w:t>
            </w:r>
          </w:p>
        </w:tc>
        <w:tc>
          <w:tcPr>
            <w:tcW w:w="1235" w:type="dxa"/>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w:t>
            </w:r>
          </w:p>
        </w:tc>
        <w:tc>
          <w:tcPr>
            <w:tcW w:w="1235" w:type="dxa"/>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vAlign w:val="center"/>
          </w:tcPr>
          <w:p>
            <w:pPr>
              <w:pStyle w:val="25"/>
              <w:spacing w:line="240" w:lineRule="atLeast"/>
              <w:ind w:left="3920"/>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12</w:t>
            </w:r>
          </w:p>
        </w:tc>
        <w:tc>
          <w:tcPr>
            <w:tcW w:w="2559" w:type="dxa"/>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总计</w:t>
            </w:r>
          </w:p>
        </w:tc>
        <w:tc>
          <w:tcPr>
            <w:tcW w:w="5830" w:type="dxa"/>
            <w:gridSpan w:val="4"/>
          </w:tcPr>
          <w:p>
            <w:pPr>
              <w:rPr>
                <w:rFonts w:hint="eastAsia" w:ascii="微软雅黑" w:hAnsi="微软雅黑" w:eastAsia="微软雅黑" w:cs="微软雅黑"/>
                <w:color w:val="auto"/>
                <w:sz w:val="21"/>
                <w:szCs w:val="21"/>
              </w:rPr>
            </w:pPr>
          </w:p>
        </w:tc>
      </w:tr>
    </w:tbl>
    <w:p>
      <w:pPr>
        <w:snapToGrid w:val="0"/>
        <w:spacing w:line="500" w:lineRule="exact"/>
        <w:ind w:firstLine="480" w:firstLineChars="200"/>
        <w:rPr>
          <w:rFonts w:hint="eastAsia" w:ascii="微软雅黑" w:hAnsi="微软雅黑" w:eastAsia="微软雅黑" w:cs="微软雅黑"/>
          <w:color w:val="auto"/>
          <w:sz w:val="24"/>
          <w:szCs w:val="28"/>
        </w:rPr>
      </w:pPr>
    </w:p>
    <w:p>
      <w:pPr>
        <w:snapToGrid w:val="0"/>
        <w:spacing w:line="500" w:lineRule="exact"/>
        <w:ind w:firstLine="480" w:firstLineChars="2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注：1.投标人应完整填写本表。</w:t>
      </w:r>
    </w:p>
    <w:p>
      <w:pPr>
        <w:snapToGrid w:val="0"/>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2.该表可扩展。</w:t>
      </w:r>
    </w:p>
    <w:p>
      <w:pPr>
        <w:pStyle w:val="39"/>
        <w:spacing w:line="360" w:lineRule="auto"/>
        <w:rPr>
          <w:rFonts w:hint="eastAsia" w:ascii="微软雅黑" w:hAnsi="微软雅黑" w:eastAsia="微软雅黑" w:cs="微软雅黑"/>
          <w:color w:val="auto"/>
          <w:sz w:val="24"/>
          <w:szCs w:val="24"/>
        </w:rPr>
      </w:pPr>
    </w:p>
    <w:p>
      <w:pPr>
        <w:pStyle w:val="39"/>
        <w:spacing w:line="360"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p>
    <w:p>
      <w:pPr>
        <w:rPr>
          <w:rFonts w:hint="eastAsia" w:ascii="微软雅黑" w:hAnsi="微软雅黑" w:eastAsia="微软雅黑" w:cs="微软雅黑"/>
          <w:color w:val="auto"/>
        </w:rPr>
      </w:pPr>
    </w:p>
    <w:p>
      <w:pPr>
        <w:rPr>
          <w:rFonts w:hint="eastAsia" w:ascii="微软雅黑" w:hAnsi="微软雅黑" w:eastAsia="微软雅黑" w:cs="微软雅黑"/>
          <w:color w:val="auto"/>
        </w:rPr>
      </w:pPr>
    </w:p>
    <w:p>
      <w:pPr>
        <w:spacing w:line="360" w:lineRule="auto"/>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 xml:space="preserve">                                             投标人名称（公章）或自然人签署：</w:t>
      </w:r>
    </w:p>
    <w:p>
      <w:pPr>
        <w:spacing w:line="360" w:lineRule="auto"/>
        <w:ind w:right="480" w:firstLine="6480" w:firstLineChars="27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pStyle w:val="5"/>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89" w:name="_Toc10022"/>
      <w:r>
        <w:rPr>
          <w:rFonts w:hint="eastAsia" w:ascii="微软雅黑" w:hAnsi="微软雅黑" w:eastAsia="微软雅黑" w:cs="微软雅黑"/>
          <w:color w:val="auto"/>
          <w:sz w:val="24"/>
        </w:rPr>
        <w:t>二、技术部分</w:t>
      </w:r>
      <w:bookmarkEnd w:id="183"/>
      <w:bookmarkEnd w:id="184"/>
      <w:bookmarkEnd w:id="185"/>
      <w:bookmarkEnd w:id="186"/>
      <w:bookmarkEnd w:id="187"/>
      <w:bookmarkEnd w:id="188"/>
      <w:bookmarkEnd w:id="189"/>
    </w:p>
    <w:p>
      <w:pPr>
        <w:tabs>
          <w:tab w:val="left" w:pos="6300"/>
        </w:tabs>
        <w:snapToGrid w:val="0"/>
        <w:spacing w:line="400" w:lineRule="exact"/>
        <w:ind w:firstLine="480" w:firstLineChars="200"/>
        <w:rPr>
          <w:rFonts w:hint="eastAsia" w:ascii="微软雅黑" w:hAnsi="微软雅黑" w:eastAsia="微软雅黑" w:cs="微软雅黑"/>
          <w:color w:val="auto"/>
          <w:szCs w:val="24"/>
        </w:rPr>
      </w:pPr>
      <w:r>
        <w:rPr>
          <w:rFonts w:hint="eastAsia" w:ascii="微软雅黑" w:hAnsi="微软雅黑" w:eastAsia="微软雅黑" w:cs="微软雅黑"/>
          <w:color w:val="auto"/>
          <w:sz w:val="24"/>
          <w:szCs w:val="24"/>
        </w:rPr>
        <w:t>（一）技术响应偏离表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序号</w:t>
            </w: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采购需求</w:t>
            </w: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响应情况</w:t>
            </w: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项目负责人需每月至少一次到现场自检维保工作，并形成月度工作小结每月报采购人管理部门。</w:t>
            </w:r>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lang w:val="en-US" w:eastAsia="zh-CN"/>
              </w:rPr>
              <w:t>例：项目负责人需每月至少两次到现场自检维保工作，并形成月度工作小结每月报采购人管理部门。</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例：项目负责人需每月至少一次到现场自检维保工作，并形成月度工作小结每月报采购人管理部门。</w:t>
            </w:r>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例：项目负责人需每月至少一次到现场自检维保工作，并形成月度工作小结每月报采购人管理部门。（33页）</w:t>
            </w:r>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例：无差异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例：项目负责人需每月至少一次到现场自检维保工作，并形成月度工作小结每月报采购人管理部门。</w:t>
            </w:r>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例：项目负责人需每两月至少一次到现场自检维保工作，并形成月度工作小结每月报采购人管理部门。（33页）</w:t>
            </w: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w:t>
      </w:r>
      <w:r>
        <w:rPr>
          <w:rFonts w:hint="eastAsia" w:ascii="微软雅黑" w:hAnsi="微软雅黑" w:eastAsia="微软雅黑" w:cs="微软雅黑"/>
          <w:color w:val="auto"/>
          <w:sz w:val="24"/>
          <w:szCs w:val="24"/>
        </w:rPr>
        <w:t>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w:t>
      </w:r>
      <w:r>
        <w:rPr>
          <w:rFonts w:hint="eastAsia" w:ascii="微软雅黑" w:hAnsi="微软雅黑" w:eastAsia="微软雅黑" w:cs="微软雅黑"/>
          <w:color w:val="auto"/>
          <w:sz w:val="24"/>
          <w:szCs w:val="24"/>
        </w:rPr>
        <w:t>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400" w:lineRule="exact"/>
        <w:ind w:firstLine="560" w:firstLineChars="200"/>
        <w:rPr>
          <w:rFonts w:hint="eastAsia" w:ascii="微软雅黑" w:hAnsi="微软雅黑" w:eastAsia="微软雅黑" w:cs="微软雅黑"/>
          <w:color w:val="auto"/>
          <w:szCs w:val="24"/>
        </w:rPr>
      </w:pPr>
      <w:r>
        <w:rPr>
          <w:rFonts w:hint="eastAsia" w:ascii="微软雅黑" w:hAnsi="微软雅黑" w:eastAsia="微软雅黑" w:cs="微软雅黑"/>
          <w:color w:val="auto"/>
          <w:szCs w:val="24"/>
        </w:rPr>
        <w:br w:type="page"/>
      </w:r>
      <w:r>
        <w:rPr>
          <w:rFonts w:hint="eastAsia" w:ascii="微软雅黑" w:hAnsi="微软雅黑" w:eastAsia="微软雅黑" w:cs="微软雅黑"/>
          <w:color w:val="auto"/>
          <w:sz w:val="24"/>
          <w:szCs w:val="24"/>
        </w:rPr>
        <w:t>（二）技术部分应答材料</w:t>
      </w:r>
    </w:p>
    <w:p>
      <w:pPr>
        <w:pStyle w:val="5"/>
        <w:adjustRightInd w:val="0"/>
        <w:snapToGrid w:val="0"/>
        <w:spacing w:before="0" w:after="0" w:line="400" w:lineRule="exact"/>
        <w:ind w:firstLine="640" w:firstLineChars="200"/>
        <w:rPr>
          <w:rFonts w:hint="eastAsia" w:ascii="微软雅黑" w:hAnsi="微软雅黑" w:eastAsia="微软雅黑" w:cs="微软雅黑"/>
          <w:color w:val="auto"/>
          <w:sz w:val="24"/>
        </w:rPr>
      </w:pPr>
      <w:r>
        <w:rPr>
          <w:rFonts w:hint="eastAsia" w:ascii="微软雅黑" w:hAnsi="微软雅黑" w:eastAsia="微软雅黑" w:cs="微软雅黑"/>
          <w:b w:val="0"/>
          <w:color w:val="auto"/>
        </w:rPr>
        <w:br w:type="page"/>
      </w:r>
      <w:bookmarkStart w:id="190" w:name="_Toc342913421"/>
      <w:bookmarkStart w:id="191" w:name="_Toc106030908"/>
      <w:bookmarkStart w:id="192" w:name="_Toc313888362"/>
      <w:bookmarkStart w:id="193" w:name="_Toc76462352"/>
      <w:bookmarkStart w:id="194" w:name="_Toc18624"/>
      <w:bookmarkStart w:id="195" w:name="_Toc30639"/>
      <w:bookmarkStart w:id="196" w:name="_Toc313008358"/>
      <w:r>
        <w:rPr>
          <w:rFonts w:hint="eastAsia" w:ascii="微软雅黑" w:hAnsi="微软雅黑" w:eastAsia="微软雅黑" w:cs="微软雅黑"/>
          <w:color w:val="auto"/>
          <w:sz w:val="24"/>
        </w:rPr>
        <w:t>三、商务部分</w:t>
      </w:r>
      <w:bookmarkEnd w:id="190"/>
      <w:bookmarkEnd w:id="191"/>
      <w:bookmarkEnd w:id="192"/>
      <w:bookmarkEnd w:id="193"/>
      <w:bookmarkEnd w:id="194"/>
      <w:bookmarkEnd w:id="195"/>
      <w:bookmarkEnd w:id="196"/>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（一）商务响应偏离表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5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项目商务需求</w:t>
            </w: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响应情况</w:t>
            </w: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实施期限：中标人收到采购人通知后1个月内完成项目验收。</w:t>
            </w:r>
          </w:p>
        </w:tc>
        <w:tc>
          <w:tcPr>
            <w:tcW w:w="2434"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实施期限：中标人收到采购人通知后1个月内完成项目验收。</w:t>
            </w:r>
          </w:p>
        </w:tc>
        <w:tc>
          <w:tcPr>
            <w:tcW w:w="2355"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w:t>
      </w:r>
      <w:r>
        <w:rPr>
          <w:rFonts w:hint="eastAsia" w:ascii="微软雅黑" w:hAnsi="微软雅黑" w:eastAsia="微软雅黑" w:cs="微软雅黑"/>
          <w:color w:val="auto"/>
          <w:sz w:val="24"/>
          <w:szCs w:val="24"/>
        </w:rPr>
        <w:t>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商务要求的</w:t>
      </w:r>
      <w:r>
        <w:rPr>
          <w:rFonts w:hint="eastAsia" w:ascii="微软雅黑" w:hAnsi="微软雅黑" w:eastAsia="微软雅黑" w:cs="微软雅黑"/>
          <w:color w:val="auto"/>
          <w:sz w:val="24"/>
          <w:szCs w:val="24"/>
        </w:rPr>
        <w:t>所列条款</w:t>
      </w:r>
      <w:r>
        <w:rPr>
          <w:rFonts w:hint="eastAsia" w:ascii="微软雅黑" w:hAnsi="微软雅黑" w:eastAsia="微软雅黑" w:cs="微软雅黑"/>
          <w:color w:val="auto"/>
          <w:sz w:val="24"/>
          <w:szCs w:val="24"/>
        </w:rPr>
        <w:t>中所列条款进行逐条响应；</w:t>
      </w:r>
    </w:p>
    <w:p>
      <w:pPr>
        <w:snapToGrid w:val="0"/>
        <w:spacing w:line="400" w:lineRule="exact"/>
        <w:ind w:firstLine="480" w:firstLineChars="200"/>
        <w:rPr>
          <w:rFonts w:hint="eastAsia" w:ascii="微软雅黑" w:hAnsi="微软雅黑" w:eastAsia="微软雅黑" w:cs="微软雅黑"/>
          <w:b/>
          <w:color w:val="auto"/>
        </w:rPr>
        <w:sectPr>
          <w:headerReference r:id="rId16" w:type="default"/>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snapToGrid w:val="0"/>
        <w:spacing w:line="400" w:lineRule="exact"/>
        <w:ind w:firstLine="480" w:firstLineChars="200"/>
        <w:rPr>
          <w:rFonts w:hint="eastAsia" w:ascii="微软雅黑" w:hAnsi="微软雅黑" w:eastAsia="微软雅黑" w:cs="微软雅黑"/>
          <w:color w:val="auto"/>
          <w:sz w:val="24"/>
          <w:szCs w:val="24"/>
        </w:rPr>
      </w:pPr>
      <w:bookmarkStart w:id="197" w:name="_Toc283382459"/>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val="en-US" w:eastAsia="zh-CN"/>
        </w:rPr>
        <w:t>商务</w:t>
      </w:r>
      <w:r>
        <w:rPr>
          <w:rFonts w:hint="eastAsia" w:ascii="微软雅黑" w:hAnsi="微软雅黑" w:eastAsia="微软雅黑" w:cs="微软雅黑"/>
          <w:color w:val="auto"/>
          <w:sz w:val="24"/>
          <w:szCs w:val="24"/>
        </w:rPr>
        <w:t>部分应答材料</w:t>
      </w:r>
    </w:p>
    <w:p>
      <w:pPr>
        <w:snapToGrid w:val="0"/>
        <w:spacing w:line="400" w:lineRule="exact"/>
        <w:ind w:firstLine="480" w:firstLineChars="200"/>
        <w:rPr>
          <w:rFonts w:hint="eastAsia" w:ascii="微软雅黑" w:hAnsi="微软雅黑" w:eastAsia="微软雅黑" w:cs="微软雅黑"/>
          <w:color w:val="auto"/>
          <w:sz w:val="24"/>
          <w:szCs w:val="24"/>
        </w:rPr>
      </w:pPr>
    </w:p>
    <w:p>
      <w:pPr>
        <w:pStyle w:val="5"/>
        <w:adjustRightInd w:val="0"/>
        <w:snapToGrid w:val="0"/>
        <w:spacing w:before="0" w:after="0"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br w:type="page"/>
      </w:r>
      <w:bookmarkEnd w:id="197"/>
      <w:bookmarkStart w:id="198" w:name="_Toc76462353"/>
      <w:bookmarkStart w:id="199" w:name="_Toc313888363"/>
      <w:bookmarkStart w:id="200" w:name="_Toc26948"/>
      <w:bookmarkStart w:id="201" w:name="_Toc106030909"/>
      <w:bookmarkStart w:id="202" w:name="_Toc20931"/>
      <w:bookmarkStart w:id="203" w:name="_Toc342913422"/>
      <w:bookmarkStart w:id="204" w:name="_Toc313008359"/>
      <w:r>
        <w:rPr>
          <w:rFonts w:hint="eastAsia" w:ascii="微软雅黑" w:hAnsi="微软雅黑" w:eastAsia="微软雅黑" w:cs="微软雅黑"/>
          <w:color w:val="auto"/>
          <w:sz w:val="24"/>
        </w:rPr>
        <w:t>四、资格条件</w:t>
      </w:r>
      <w:bookmarkEnd w:id="198"/>
      <w:bookmarkEnd w:id="199"/>
      <w:bookmarkEnd w:id="200"/>
      <w:bookmarkEnd w:id="201"/>
      <w:bookmarkEnd w:id="202"/>
      <w:bookmarkEnd w:id="203"/>
      <w:bookmarkEnd w:id="204"/>
    </w:p>
    <w:p>
      <w:pPr>
        <w:tabs>
          <w:tab w:val="left" w:pos="6300"/>
        </w:tabs>
        <w:snapToGrid w:val="0"/>
        <w:spacing w:line="400" w:lineRule="exact"/>
        <w:ind w:firstLine="57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400" w:lineRule="exact"/>
        <w:ind w:firstLine="56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page"/>
      </w:r>
      <w:r>
        <w:rPr>
          <w:rFonts w:hint="eastAsia" w:ascii="微软雅黑" w:hAnsi="微软雅黑" w:eastAsia="微软雅黑" w:cs="微软雅黑"/>
          <w:color w:val="auto"/>
          <w:sz w:val="24"/>
          <w:szCs w:val="24"/>
        </w:rPr>
        <w:t>（二）法定代表人身份证明书（格式）</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column"/>
      </w:r>
      <w:r>
        <w:rPr>
          <w:rFonts w:hint="eastAsia" w:ascii="微软雅黑" w:hAnsi="微软雅黑" w:eastAsia="微软雅黑" w:cs="微软雅黑"/>
          <w:color w:val="auto"/>
          <w:sz w:val="24"/>
          <w:szCs w:val="24"/>
        </w:rPr>
        <w:t>（三）法定代表人授权委托书（格式）</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w:t>
      </w:r>
      <w:r>
        <w:rPr>
          <w:rFonts w:hint="eastAsia" w:ascii="微软雅黑" w:hAnsi="微软雅黑" w:eastAsia="微软雅黑" w:cs="微软雅黑"/>
          <w:color w:val="auto"/>
          <w:sz w:val="24"/>
        </w:rPr>
        <w:t>收到撤销授权的</w:t>
      </w:r>
      <w:r>
        <w:rPr>
          <w:rFonts w:hint="eastAsia" w:ascii="微软雅黑" w:hAnsi="微软雅黑" w:eastAsia="微软雅黑" w:cs="微软雅黑"/>
          <w:color w:val="auto"/>
          <w:sz w:val="24"/>
        </w:rPr>
        <w:t>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column"/>
      </w:r>
      <w:r>
        <w:rPr>
          <w:rFonts w:hint="eastAsia" w:ascii="微软雅黑" w:hAnsi="微软雅黑" w:eastAsia="微软雅黑" w:cs="微软雅黑"/>
          <w:color w:val="auto"/>
          <w:sz w:val="24"/>
          <w:szCs w:val="24"/>
        </w:rPr>
        <w:t>（四）投标函（格式）</w:t>
      </w:r>
    </w:p>
    <w:p>
      <w:pPr>
        <w:tabs>
          <w:tab w:val="left" w:pos="6300"/>
        </w:tabs>
        <w:snapToGrid w:val="0"/>
        <w:spacing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2"/>
        <w:rPr>
          <w:rFonts w:hint="eastAsia" w:ascii="微软雅黑" w:hAnsi="微软雅黑" w:eastAsia="微软雅黑" w:cs="微软雅黑"/>
          <w:color w:val="auto"/>
        </w:rPr>
      </w:pPr>
    </w:p>
    <w:p>
      <w:pPr>
        <w:pStyle w:val="3"/>
        <w:rPr>
          <w:rFonts w:hint="eastAsia" w:ascii="微软雅黑" w:hAnsi="微软雅黑" w:eastAsia="微软雅黑" w:cs="微软雅黑"/>
          <w:color w:val="auto"/>
        </w:rPr>
      </w:pPr>
    </w:p>
    <w:p>
      <w:pPr>
        <w:pStyle w:val="3"/>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w:t>
      </w:r>
      <w:r>
        <w:rPr>
          <w:rFonts w:hint="eastAsia" w:ascii="微软雅黑" w:hAnsi="微软雅黑" w:eastAsia="微软雅黑" w:cs="微软雅黑"/>
          <w:color w:val="auto"/>
          <w:sz w:val="24"/>
          <w:szCs w:val="28"/>
        </w:rPr>
        <w:t>基本资格条件承诺函</w:t>
      </w:r>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w:t>
      </w:r>
      <w:bookmarkStart w:id="206" w:name="_GoBack"/>
      <w:bookmarkEnd w:id="206"/>
      <w:r>
        <w:rPr>
          <w:rFonts w:hint="eastAsia" w:ascii="微软雅黑" w:hAnsi="微软雅黑" w:eastAsia="微软雅黑" w:cs="微软雅黑"/>
          <w:color w:val="auto"/>
          <w:sz w:val="24"/>
        </w:rPr>
        <w:t>法》</w:t>
      </w:r>
      <w:r>
        <w:rPr>
          <w:rFonts w:hint="eastAsia" w:ascii="微软雅黑" w:hAnsi="微软雅黑" w:eastAsia="微软雅黑" w:cs="微软雅黑"/>
          <w:color w:val="auto"/>
          <w:sz w:val="24"/>
        </w:rPr>
        <w:t>第二十二条</w:t>
      </w:r>
      <w:r>
        <w:rPr>
          <w:rFonts w:hint="eastAsia" w:ascii="微软雅黑" w:hAnsi="微软雅黑" w:eastAsia="微软雅黑" w:cs="微软雅黑"/>
          <w:color w:val="auto"/>
          <w:sz w:val="24"/>
        </w:rPr>
        <w:t>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page"/>
      </w:r>
      <w:r>
        <w:rPr>
          <w:rFonts w:hint="eastAsia" w:ascii="微软雅黑" w:hAnsi="微软雅黑" w:eastAsia="微软雅黑" w:cs="微软雅黑"/>
          <w:color w:val="auto"/>
          <w:sz w:val="24"/>
          <w:szCs w:val="24"/>
        </w:rPr>
        <w:t>（六）特定资格条件证明文件</w:t>
      </w:r>
    </w:p>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snapToGrid w:val="0"/>
        <w:spacing w:line="400" w:lineRule="exact"/>
        <w:ind w:firstLine="560" w:firstLineChars="200"/>
        <w:rPr>
          <w:rFonts w:hint="eastAsia" w:ascii="微软雅黑" w:hAnsi="微软雅黑" w:eastAsia="微软雅黑" w:cs="微软雅黑"/>
          <w:color w:val="auto"/>
          <w:sz w:val="24"/>
          <w:szCs w:val="24"/>
        </w:rPr>
      </w:pPr>
      <w:bookmarkStart w:id="205" w:name="_Toc14422"/>
      <w:r>
        <w:rPr>
          <w:rFonts w:hint="eastAsia" w:ascii="微软雅黑" w:hAnsi="微软雅黑" w:eastAsia="微软雅黑" w:cs="微软雅黑"/>
          <w:color w:val="auto"/>
        </w:rPr>
        <w:br w:type="page"/>
      </w:r>
      <w:bookmarkEnd w:id="205"/>
      <w:r>
        <w:rPr>
          <w:rFonts w:hint="eastAsia" w:ascii="微软雅黑" w:hAnsi="微软雅黑" w:eastAsia="微软雅黑" w:cs="微软雅黑"/>
          <w:color w:val="auto"/>
          <w:sz w:val="24"/>
          <w:szCs w:val="24"/>
        </w:rPr>
        <w:t>五、</w:t>
      </w:r>
      <w:r>
        <w:rPr>
          <w:rFonts w:hint="eastAsia" w:ascii="微软雅黑" w:hAnsi="微软雅黑" w:eastAsia="微软雅黑" w:cs="微软雅黑"/>
          <w:color w:val="auto"/>
          <w:sz w:val="24"/>
          <w:szCs w:val="24"/>
          <w:lang w:eastAsia="zh-CN"/>
        </w:rPr>
        <w:t>其它</w:t>
      </w:r>
      <w:r>
        <w:rPr>
          <w:rFonts w:hint="eastAsia" w:ascii="微软雅黑" w:hAnsi="微软雅黑" w:eastAsia="微软雅黑" w:cs="微软雅黑"/>
          <w:color w:val="auto"/>
          <w:sz w:val="24"/>
          <w:szCs w:val="24"/>
        </w:rPr>
        <w:t>资料</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其它</w:t>
      </w:r>
      <w:r>
        <w:rPr>
          <w:rFonts w:hint="eastAsia" w:ascii="微软雅黑" w:hAnsi="微软雅黑" w:eastAsia="微软雅黑" w:cs="微软雅黑"/>
          <w:color w:val="auto"/>
          <w:sz w:val="24"/>
          <w:szCs w:val="24"/>
        </w:rPr>
        <w:t>与项目相关的资料</w:t>
      </w:r>
    </w:p>
    <w:p>
      <w:pPr>
        <w:spacing w:line="360" w:lineRule="auto"/>
        <w:ind w:firstLine="480" w:firstLineChars="200"/>
        <w:jc w:val="center"/>
        <w:outlineLvl w:val="0"/>
        <w:rPr>
          <w:rFonts w:hint="eastAsia" w:ascii="微软雅黑" w:hAnsi="微软雅黑" w:eastAsia="微软雅黑" w:cs="微软雅黑"/>
          <w:color w:val="auto"/>
          <w:sz w:val="24"/>
          <w:szCs w:val="24"/>
        </w:rPr>
      </w:pPr>
    </w:p>
    <w:p>
      <w:pPr>
        <w:pStyle w:val="4"/>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4"/>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4"/>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4"/>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4"/>
        <w:rPr>
          <w:rFonts w:hint="eastAsia" w:ascii="微软雅黑" w:hAnsi="微软雅黑" w:eastAsia="微软雅黑" w:cs="微软雅黑"/>
          <w:color w:val="auto"/>
          <w:sz w:val="24"/>
          <w:szCs w:val="24"/>
        </w:rPr>
      </w:pPr>
    </w:p>
    <w:p>
      <w:pPr>
        <w:rPr>
          <w:color w:val="auto"/>
        </w:rPr>
      </w:pPr>
    </w:p>
    <w:p>
      <w:pPr>
        <w:spacing w:line="360" w:lineRule="auto"/>
        <w:ind w:firstLine="480" w:firstLineChars="200"/>
        <w:jc w:val="center"/>
        <w:outlineLvl w:val="0"/>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（结束）</w:t>
      </w: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10" w:usb3="00000000" w:csb0="0004009F" w:csb1="00000000"/>
  </w:font>
  <w:font w:name="方正仿宋_GBK">
    <w:panose1 w:val="03000509000000000000"/>
    <w:charset w:val="86"/>
    <w:family w:val="script"/>
    <w:pitch w:val="default"/>
    <w:sig w:usb0="00000001" w:usb1="080E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jc w:val="center"/>
      <w:rPr>
        <w:rStyle w:val="63"/>
        <w:rFonts w:ascii="宋体"/>
        <w:sz w:val="21"/>
        <w:szCs w:val="21"/>
      </w:rPr>
    </w:pPr>
    <w:r>
      <w:rPr>
        <w:rFonts w:ascii="宋体"/>
        <w:sz w:val="21"/>
        <w:szCs w:val="21"/>
      </w:rPr>
      <w:fldChar w:fldCharType="begin"/>
    </w:r>
    <w:r>
      <w:rPr>
        <w:rStyle w:val="63"/>
        <w:rFonts w:ascii="宋体"/>
        <w:sz w:val="21"/>
        <w:szCs w:val="21"/>
      </w:rPr>
      <w:instrText xml:space="preserve">PAGE  </w:instrText>
    </w:r>
    <w:r>
      <w:rPr>
        <w:rFonts w:ascii="宋体"/>
        <w:sz w:val="21"/>
        <w:szCs w:val="21"/>
      </w:rPr>
      <w:fldChar w:fldCharType="separate"/>
    </w:r>
    <w:r>
      <w:rPr>
        <w:rStyle w:val="63"/>
        <w:rFonts w:ascii="宋体"/>
        <w:sz w:val="21"/>
        <w:szCs w:val="21"/>
      </w:rPr>
      <w:t>- 5 -</w:t>
    </w:r>
    <w:r>
      <w:rPr>
        <w:rFonts w:ascii="宋体"/>
        <w:sz w:val="21"/>
        <w:szCs w:val="21"/>
      </w:rPr>
      <w:fldChar w:fldCharType="end"/>
    </w:r>
  </w:p>
  <w:p>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3"/>
      </w:rPr>
    </w:pPr>
    <w:r>
      <w:fldChar w:fldCharType="begin"/>
    </w:r>
    <w:r>
      <w:rPr>
        <w:rStyle w:val="63"/>
      </w:rPr>
      <w:instrText xml:space="preserve">PAGE  </w:instrText>
    </w:r>
    <w:r>
      <w:fldChar w:fldCharType="separate"/>
    </w:r>
    <w:r>
      <w:fldChar w:fldCharType="end"/>
    </w:r>
  </w:p>
  <w:p>
    <w:pPr>
      <w:pStyle w:val="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3"/>
      </w:rPr>
    </w:pPr>
  </w:p>
  <w:p>
    <w:pPr>
      <w:pStyle w:val="37"/>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hint="eastAsia" w:ascii="宋体" w:hAnsi="宋体"/>
        <w:sz w:val="21"/>
        <w:szCs w:val="21"/>
      </w:rPr>
    </w:pPr>
    <w:r>
      <w:rPr>
        <w:rFonts w:ascii="宋体" w:hAnsi="宋体"/>
        <w:sz w:val="21"/>
        <w:szCs w:val="21"/>
      </w:rPr>
      <w:fldChar w:fldCharType="begin"/>
    </w:r>
    <w:r>
      <w:rPr>
        <w:rStyle w:val="63"/>
        <w:rFonts w:ascii="宋体" w:hAnsi="宋体"/>
        <w:sz w:val="21"/>
        <w:szCs w:val="21"/>
      </w:rPr>
      <w:instrText xml:space="preserve"> PAGE </w:instrText>
    </w:r>
    <w:r>
      <w:rPr>
        <w:rFonts w:ascii="宋体" w:hAnsi="宋体"/>
        <w:sz w:val="21"/>
        <w:szCs w:val="21"/>
      </w:rPr>
      <w:fldChar w:fldCharType="separate"/>
    </w:r>
    <w:r>
      <w:rPr>
        <w:rStyle w:val="63"/>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hint="eastAsia" w:ascii="宋体" w:hAnsi="宋体"/>
        <w:sz w:val="21"/>
        <w:szCs w:val="21"/>
      </w:rPr>
    </w:pPr>
    <w:r>
      <w:rPr>
        <w:rFonts w:ascii="宋体" w:hAnsi="宋体"/>
        <w:sz w:val="21"/>
        <w:szCs w:val="21"/>
      </w:rPr>
      <w:fldChar w:fldCharType="begin"/>
    </w:r>
    <w:r>
      <w:rPr>
        <w:rStyle w:val="63"/>
        <w:rFonts w:ascii="宋体" w:hAnsi="宋体"/>
        <w:sz w:val="21"/>
        <w:szCs w:val="21"/>
      </w:rPr>
      <w:instrText xml:space="preserve"> PAGE </w:instrText>
    </w:r>
    <w:r>
      <w:rPr>
        <w:rFonts w:ascii="宋体" w:hAnsi="宋体"/>
        <w:sz w:val="21"/>
        <w:szCs w:val="21"/>
      </w:rPr>
      <w:fldChar w:fldCharType="separate"/>
    </w:r>
    <w:r>
      <w:rPr>
        <w:rStyle w:val="63"/>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3"/>
      </w:rPr>
    </w:pPr>
    <w:r>
      <w:fldChar w:fldCharType="begin"/>
    </w:r>
    <w:r>
      <w:rPr>
        <w:rStyle w:val="63"/>
      </w:rPr>
      <w:instrText xml:space="preserve">PAGE  </w:instrText>
    </w:r>
    <w:r>
      <w:fldChar w:fldCharType="separate"/>
    </w:r>
    <w:r>
      <w:rPr>
        <w:rStyle w:val="63"/>
      </w:rPr>
      <w:t>- 14 -</w:t>
    </w:r>
    <w:r>
      <w:fldChar w:fldCharType="end"/>
    </w:r>
  </w:p>
  <w:p>
    <w:pPr>
      <w:pStyle w:val="37"/>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3"/>
      </w:rPr>
    </w:pPr>
    <w:r>
      <w:fldChar w:fldCharType="begin"/>
    </w:r>
    <w:r>
      <w:rPr>
        <w:rStyle w:val="63"/>
      </w:rPr>
      <w:instrText xml:space="preserve">PAGE  </w:instrText>
    </w:r>
    <w:r>
      <w:fldChar w:fldCharType="separate"/>
    </w:r>
    <w:r>
      <w:fldChar w:fldCharType="end"/>
    </w:r>
  </w:p>
  <w:p>
    <w:pPr>
      <w:pStyle w:val="37"/>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rPr>
        <w:rStyle w:val="63"/>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18</w:t>
                    </w:r>
                    <w:r>
                      <w:fldChar w:fldCharType="end"/>
                    </w:r>
                  </w:p>
                </w:txbxContent>
              </v:textbox>
            </v:shape>
          </w:pict>
        </mc:Fallback>
      </mc:AlternateContent>
    </w:r>
  </w:p>
  <w:p>
    <w:pPr>
      <w:pStyle w:val="37"/>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single" w:color="auto" w:sz="4" w:space="0"/>
      </w:pBdr>
    </w:pPr>
    <w:r>
      <w:rPr>
        <w:rFonts w:hint="eastAsia"/>
      </w:rPr>
      <w:t>重庆医科大学附属儿童医院采购文件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ascii="方正仿宋_GBK" w:eastAsia="方正仿宋_GBK"/>
        <w:sz w:val="21"/>
      </w:rPr>
    </w:pPr>
    <w:r>
      <w:rPr>
        <w:rFonts w:hint="eastAsia" w:ascii="方正仿宋_GBK" w:eastAsia="方正仿宋_GBK"/>
        <w:sz w:val="21"/>
      </w:rPr>
      <w:t xml:space="preserve">                                                                      竞争性谈判文件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3"/>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6"/>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5"/>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9"/>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45F9DDB0"/>
    <w:multiLevelType w:val="singleLevel"/>
    <w:tmpl w:val="45F9DDB0"/>
    <w:lvl w:ilvl="0" w:tentative="0">
      <w:start w:val="2"/>
      <w:numFmt w:val="chineseCounting"/>
      <w:suff w:val="nothing"/>
      <w:lvlText w:val="%1、"/>
      <w:lvlJc w:val="left"/>
      <w:rPr>
        <w:rFonts w:hint="eastAsia"/>
      </w:rPr>
    </w:lvl>
  </w:abstractNum>
  <w:num w:numId="1">
    <w:abstractNumId w:val="12"/>
  </w:num>
  <w:num w:numId="2">
    <w:abstractNumId w:val="8"/>
  </w:num>
  <w:num w:numId="3">
    <w:abstractNumId w:val="5"/>
  </w:num>
  <w:num w:numId="4">
    <w:abstractNumId w:val="3"/>
  </w:num>
  <w:num w:numId="5">
    <w:abstractNumId w:val="9"/>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0742"/>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3B67"/>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42F3"/>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0768"/>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30328"/>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33235"/>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4F"/>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2964"/>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686"/>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2780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4CCF"/>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4832"/>
    <w:rsid w:val="00D76AA3"/>
    <w:rsid w:val="00D80604"/>
    <w:rsid w:val="00D86529"/>
    <w:rsid w:val="00D86A86"/>
    <w:rsid w:val="00D8791E"/>
    <w:rsid w:val="00D91DC8"/>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5C078C"/>
    <w:rsid w:val="019B2D16"/>
    <w:rsid w:val="02385AB4"/>
    <w:rsid w:val="026C7369"/>
    <w:rsid w:val="030620E3"/>
    <w:rsid w:val="04634BCE"/>
    <w:rsid w:val="076170CE"/>
    <w:rsid w:val="079B568B"/>
    <w:rsid w:val="07ED44C6"/>
    <w:rsid w:val="07F103E0"/>
    <w:rsid w:val="08B93368"/>
    <w:rsid w:val="092E6FC0"/>
    <w:rsid w:val="09AD6C77"/>
    <w:rsid w:val="0B0133DB"/>
    <w:rsid w:val="0BB87E47"/>
    <w:rsid w:val="0CB23443"/>
    <w:rsid w:val="0CB809C5"/>
    <w:rsid w:val="0D1F249B"/>
    <w:rsid w:val="0EF12BB3"/>
    <w:rsid w:val="147A5E14"/>
    <w:rsid w:val="15935DB5"/>
    <w:rsid w:val="15BB3449"/>
    <w:rsid w:val="16CD0BDF"/>
    <w:rsid w:val="17A1211B"/>
    <w:rsid w:val="188769E6"/>
    <w:rsid w:val="18ED7A84"/>
    <w:rsid w:val="19255AF5"/>
    <w:rsid w:val="192E668F"/>
    <w:rsid w:val="1A7E6296"/>
    <w:rsid w:val="1B844F63"/>
    <w:rsid w:val="1EDE416D"/>
    <w:rsid w:val="1F0D01CA"/>
    <w:rsid w:val="1F985F44"/>
    <w:rsid w:val="205A4A69"/>
    <w:rsid w:val="21864056"/>
    <w:rsid w:val="21F27144"/>
    <w:rsid w:val="22F860AB"/>
    <w:rsid w:val="2486441F"/>
    <w:rsid w:val="25211088"/>
    <w:rsid w:val="25DF4270"/>
    <w:rsid w:val="28B20E90"/>
    <w:rsid w:val="293A6024"/>
    <w:rsid w:val="297D580F"/>
    <w:rsid w:val="2AA01F44"/>
    <w:rsid w:val="2D272C6C"/>
    <w:rsid w:val="2D5846A0"/>
    <w:rsid w:val="2DB02B6B"/>
    <w:rsid w:val="300C58E0"/>
    <w:rsid w:val="30206AC9"/>
    <w:rsid w:val="30607DAE"/>
    <w:rsid w:val="332D1E43"/>
    <w:rsid w:val="34446508"/>
    <w:rsid w:val="35476FB9"/>
    <w:rsid w:val="37556B60"/>
    <w:rsid w:val="375B43EA"/>
    <w:rsid w:val="38CD7FDC"/>
    <w:rsid w:val="39B06C1E"/>
    <w:rsid w:val="3ACE5D4F"/>
    <w:rsid w:val="3BC23D92"/>
    <w:rsid w:val="3C55524B"/>
    <w:rsid w:val="3D3B4299"/>
    <w:rsid w:val="3D876113"/>
    <w:rsid w:val="3DF6488D"/>
    <w:rsid w:val="3F1C71CA"/>
    <w:rsid w:val="3F92674D"/>
    <w:rsid w:val="40283F82"/>
    <w:rsid w:val="406334F2"/>
    <w:rsid w:val="4068765E"/>
    <w:rsid w:val="40693FDF"/>
    <w:rsid w:val="409F14A1"/>
    <w:rsid w:val="415F6EA3"/>
    <w:rsid w:val="452C7897"/>
    <w:rsid w:val="457671C4"/>
    <w:rsid w:val="45F8417E"/>
    <w:rsid w:val="474A3DE0"/>
    <w:rsid w:val="48B67FD6"/>
    <w:rsid w:val="48DB4D9B"/>
    <w:rsid w:val="49166763"/>
    <w:rsid w:val="494C6B8D"/>
    <w:rsid w:val="497B7CB3"/>
    <w:rsid w:val="4A8845CE"/>
    <w:rsid w:val="4B2D12E0"/>
    <w:rsid w:val="4BEB6B31"/>
    <w:rsid w:val="4DCA5F72"/>
    <w:rsid w:val="4DD36371"/>
    <w:rsid w:val="4E845893"/>
    <w:rsid w:val="4F070047"/>
    <w:rsid w:val="4F3C244F"/>
    <w:rsid w:val="4FD76FD9"/>
    <w:rsid w:val="5115115D"/>
    <w:rsid w:val="521E4A24"/>
    <w:rsid w:val="52696888"/>
    <w:rsid w:val="52D92ACB"/>
    <w:rsid w:val="53B4776F"/>
    <w:rsid w:val="53DF1E3A"/>
    <w:rsid w:val="55442A4B"/>
    <w:rsid w:val="558E730F"/>
    <w:rsid w:val="57857077"/>
    <w:rsid w:val="57A67934"/>
    <w:rsid w:val="5857211F"/>
    <w:rsid w:val="5CA67F0E"/>
    <w:rsid w:val="5D6A2D73"/>
    <w:rsid w:val="60CA1FBB"/>
    <w:rsid w:val="66F54D2D"/>
    <w:rsid w:val="670A099E"/>
    <w:rsid w:val="68BD663A"/>
    <w:rsid w:val="692F74C0"/>
    <w:rsid w:val="69377BBA"/>
    <w:rsid w:val="696405DD"/>
    <w:rsid w:val="6B8E362F"/>
    <w:rsid w:val="6BB66A3C"/>
    <w:rsid w:val="6C192B74"/>
    <w:rsid w:val="6D5F7399"/>
    <w:rsid w:val="6FBE5B79"/>
    <w:rsid w:val="6FE969BF"/>
    <w:rsid w:val="701245F9"/>
    <w:rsid w:val="71175C34"/>
    <w:rsid w:val="72081617"/>
    <w:rsid w:val="72D731E9"/>
    <w:rsid w:val="732352D2"/>
    <w:rsid w:val="74D70DF7"/>
    <w:rsid w:val="750950F5"/>
    <w:rsid w:val="750D16CF"/>
    <w:rsid w:val="75CE5374"/>
    <w:rsid w:val="789F3DA6"/>
    <w:rsid w:val="78A52377"/>
    <w:rsid w:val="79082185"/>
    <w:rsid w:val="7A6F77AB"/>
    <w:rsid w:val="7B5B7497"/>
    <w:rsid w:val="7BEF5F10"/>
    <w:rsid w:val="7C7768CA"/>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4">
    <w:name w:val="heading 1"/>
    <w:basedOn w:val="1"/>
    <w:next w:val="1"/>
    <w:qFormat/>
    <w:uiPriority w:val="0"/>
    <w:pPr>
      <w:keepNext/>
      <w:snapToGrid w:val="0"/>
      <w:spacing w:line="360" w:lineRule="atLeast"/>
      <w:outlineLvl w:val="0"/>
    </w:pPr>
    <w:rPr>
      <w:rFonts w:ascii="宋体"/>
    </w:rPr>
  </w:style>
  <w:style w:type="paragraph" w:styleId="5">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6">
    <w:name w:val="heading 3"/>
    <w:basedOn w:val="1"/>
    <w:next w:val="1"/>
    <w:link w:val="72"/>
    <w:qFormat/>
    <w:uiPriority w:val="0"/>
    <w:pPr>
      <w:keepNext/>
      <w:keepLines/>
      <w:spacing w:before="260" w:after="260" w:line="413" w:lineRule="auto"/>
      <w:outlineLvl w:val="2"/>
    </w:pPr>
    <w:rPr>
      <w:b/>
      <w:sz w:val="32"/>
    </w:rPr>
  </w:style>
  <w:style w:type="paragraph" w:styleId="7">
    <w:name w:val="heading 4"/>
    <w:basedOn w:val="1"/>
    <w:next w:val="1"/>
    <w:qFormat/>
    <w:uiPriority w:val="0"/>
    <w:pPr>
      <w:keepNext/>
      <w:keepLines/>
      <w:spacing w:before="280" w:after="290" w:line="372" w:lineRule="auto"/>
      <w:outlineLvl w:val="3"/>
    </w:pPr>
    <w:rPr>
      <w:rFonts w:ascii="Arial" w:hAnsi="Arial" w:eastAsia="黑体"/>
      <w:b/>
    </w:rPr>
  </w:style>
  <w:style w:type="paragraph" w:styleId="8">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9">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10">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1">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2">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1">
    <w:name w:val="Default Paragraph Font"/>
    <w:semiHidden/>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customStyle="1" w:styleId="2">
    <w:name w:val="标题 5（有编号）（绿盟科技）"/>
    <w:basedOn w:val="1"/>
    <w:next w:val="3"/>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3">
    <w:name w:val="正文（绿盟科技）"/>
    <w:qFormat/>
    <w:uiPriority w:val="0"/>
    <w:pPr>
      <w:spacing w:line="300" w:lineRule="auto"/>
    </w:pPr>
    <w:rPr>
      <w:rFonts w:ascii="Arial" w:hAnsi="Arial" w:eastAsia="宋体" w:cs="Times New Roman"/>
      <w:sz w:val="21"/>
      <w:szCs w:val="21"/>
      <w:lang w:val="en-US" w:eastAsia="zh-CN" w:bidi="ar-SA"/>
    </w:rPr>
  </w:style>
  <w:style w:type="paragraph" w:styleId="13">
    <w:name w:val="List 3"/>
    <w:basedOn w:val="1"/>
    <w:qFormat/>
    <w:uiPriority w:val="0"/>
    <w:pPr>
      <w:adjustRightInd w:val="0"/>
      <w:snapToGrid w:val="0"/>
      <w:spacing w:line="360" w:lineRule="auto"/>
      <w:ind w:left="100" w:leftChars="400" w:hanging="200" w:hangingChars="200"/>
    </w:pPr>
    <w:rPr>
      <w:sz w:val="24"/>
    </w:rPr>
  </w:style>
  <w:style w:type="paragraph" w:styleId="14">
    <w:name w:val="toc 7"/>
    <w:basedOn w:val="1"/>
    <w:next w:val="1"/>
    <w:qFormat/>
    <w:uiPriority w:val="0"/>
    <w:pPr>
      <w:ind w:left="2520" w:leftChars="1200"/>
    </w:pPr>
  </w:style>
  <w:style w:type="paragraph" w:styleId="15">
    <w:name w:val="List Number 2"/>
    <w:basedOn w:val="1"/>
    <w:qFormat/>
    <w:uiPriority w:val="0"/>
    <w:pPr>
      <w:numPr>
        <w:ilvl w:val="0"/>
        <w:numId w:val="2"/>
      </w:numPr>
      <w:tabs>
        <w:tab w:val="left" w:pos="780"/>
        <w:tab w:val="clear" w:pos="425"/>
      </w:tabs>
      <w:spacing w:line="360" w:lineRule="auto"/>
    </w:pPr>
    <w:rPr>
      <w:sz w:val="24"/>
    </w:rPr>
  </w:style>
  <w:style w:type="paragraph" w:styleId="16">
    <w:name w:val="List Bullet 4"/>
    <w:basedOn w:val="1"/>
    <w:qFormat/>
    <w:uiPriority w:val="0"/>
    <w:pPr>
      <w:widowControl/>
      <w:numPr>
        <w:ilvl w:val="0"/>
        <w:numId w:val="3"/>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7">
    <w:name w:val="Normal Indent"/>
    <w:basedOn w:val="1"/>
    <w:next w:val="1"/>
    <w:qFormat/>
    <w:uiPriority w:val="0"/>
    <w:pPr>
      <w:adjustRightInd w:val="0"/>
      <w:snapToGrid w:val="0"/>
      <w:spacing w:line="360" w:lineRule="auto"/>
      <w:ind w:firstLine="420"/>
    </w:pPr>
    <w:rPr>
      <w:sz w:val="24"/>
    </w:rPr>
  </w:style>
  <w:style w:type="paragraph" w:styleId="18">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9">
    <w:name w:val="Document Map"/>
    <w:basedOn w:val="1"/>
    <w:qFormat/>
    <w:uiPriority w:val="0"/>
    <w:pPr>
      <w:shd w:val="clear" w:color="auto" w:fill="000080"/>
    </w:pPr>
  </w:style>
  <w:style w:type="paragraph" w:styleId="20">
    <w:name w:val="toa heading"/>
    <w:basedOn w:val="1"/>
    <w:next w:val="1"/>
    <w:qFormat/>
    <w:uiPriority w:val="0"/>
    <w:pPr>
      <w:spacing w:before="120"/>
    </w:pPr>
    <w:rPr>
      <w:rFonts w:ascii="Arial" w:hAnsi="Arial"/>
      <w:sz w:val="24"/>
    </w:rPr>
  </w:style>
  <w:style w:type="paragraph" w:styleId="21">
    <w:name w:val="annotation text"/>
    <w:basedOn w:val="1"/>
    <w:link w:val="73"/>
    <w:qFormat/>
    <w:uiPriority w:val="0"/>
    <w:pPr>
      <w:adjustRightInd w:val="0"/>
      <w:spacing w:line="360" w:lineRule="atLeast"/>
      <w:jc w:val="left"/>
      <w:textAlignment w:val="baseline"/>
    </w:pPr>
    <w:rPr>
      <w:kern w:val="0"/>
      <w:sz w:val="24"/>
    </w:rPr>
  </w:style>
  <w:style w:type="paragraph" w:styleId="22">
    <w:name w:val="Body Text 3"/>
    <w:basedOn w:val="1"/>
    <w:qFormat/>
    <w:uiPriority w:val="0"/>
    <w:pPr>
      <w:adjustRightInd w:val="0"/>
      <w:snapToGrid w:val="0"/>
      <w:spacing w:after="120" w:line="360" w:lineRule="auto"/>
    </w:pPr>
    <w:rPr>
      <w:sz w:val="16"/>
    </w:rPr>
  </w:style>
  <w:style w:type="paragraph" w:styleId="23">
    <w:name w:val="List Bullet 3"/>
    <w:basedOn w:val="1"/>
    <w:qFormat/>
    <w:uiPriority w:val="0"/>
    <w:pPr>
      <w:numPr>
        <w:ilvl w:val="0"/>
        <w:numId w:val="4"/>
      </w:numPr>
      <w:adjustRightInd w:val="0"/>
      <w:snapToGrid w:val="0"/>
      <w:spacing w:line="360" w:lineRule="auto"/>
    </w:pPr>
    <w:rPr>
      <w:sz w:val="24"/>
    </w:rPr>
  </w:style>
  <w:style w:type="paragraph" w:styleId="24">
    <w:name w:val="Body Text"/>
    <w:basedOn w:val="1"/>
    <w:next w:val="1"/>
    <w:qFormat/>
    <w:uiPriority w:val="0"/>
    <w:rPr>
      <w:rFonts w:ascii="仿宋_GB2312" w:eastAsia="仿宋_GB2312"/>
      <w:sz w:val="32"/>
    </w:rPr>
  </w:style>
  <w:style w:type="paragraph" w:styleId="25">
    <w:name w:val="Body Text Indent"/>
    <w:basedOn w:val="1"/>
    <w:link w:val="74"/>
    <w:qFormat/>
    <w:uiPriority w:val="0"/>
    <w:pPr>
      <w:spacing w:line="700" w:lineRule="exact"/>
      <w:ind w:left="960"/>
    </w:pPr>
    <w:rPr>
      <w:sz w:val="44"/>
    </w:rPr>
  </w:style>
  <w:style w:type="paragraph" w:styleId="26">
    <w:name w:val="List Number 3"/>
    <w:basedOn w:val="1"/>
    <w:qFormat/>
    <w:uiPriority w:val="0"/>
    <w:pPr>
      <w:tabs>
        <w:tab w:val="left" w:pos="2120"/>
      </w:tabs>
      <w:adjustRightInd w:val="0"/>
      <w:snapToGrid w:val="0"/>
      <w:spacing w:line="360" w:lineRule="auto"/>
      <w:ind w:left="2120" w:hanging="720"/>
    </w:pPr>
    <w:rPr>
      <w:sz w:val="24"/>
    </w:rPr>
  </w:style>
  <w:style w:type="paragraph" w:styleId="27">
    <w:name w:val="List 2"/>
    <w:basedOn w:val="1"/>
    <w:qFormat/>
    <w:uiPriority w:val="0"/>
    <w:pPr>
      <w:adjustRightInd w:val="0"/>
      <w:snapToGrid w:val="0"/>
      <w:spacing w:line="360" w:lineRule="auto"/>
      <w:ind w:left="100" w:leftChars="200" w:hanging="200" w:hangingChars="200"/>
    </w:pPr>
    <w:rPr>
      <w:sz w:val="24"/>
    </w:rPr>
  </w:style>
  <w:style w:type="paragraph" w:styleId="28">
    <w:name w:val="List Continue"/>
    <w:basedOn w:val="1"/>
    <w:qFormat/>
    <w:uiPriority w:val="0"/>
    <w:pPr>
      <w:adjustRightInd w:val="0"/>
      <w:snapToGrid w:val="0"/>
      <w:spacing w:after="120" w:line="360" w:lineRule="auto"/>
      <w:ind w:left="420" w:leftChars="200"/>
    </w:pPr>
    <w:rPr>
      <w:sz w:val="24"/>
    </w:rPr>
  </w:style>
  <w:style w:type="paragraph" w:styleId="29">
    <w:name w:val="List Bullet 2"/>
    <w:basedOn w:val="1"/>
    <w:qFormat/>
    <w:uiPriority w:val="0"/>
    <w:pPr>
      <w:numPr>
        <w:ilvl w:val="0"/>
        <w:numId w:val="5"/>
      </w:numPr>
      <w:adjustRightInd w:val="0"/>
      <w:snapToGrid w:val="0"/>
      <w:spacing w:line="360" w:lineRule="auto"/>
    </w:pPr>
    <w:rPr>
      <w:sz w:val="24"/>
    </w:rPr>
  </w:style>
  <w:style w:type="paragraph" w:styleId="30">
    <w:name w:val="toc 5"/>
    <w:basedOn w:val="1"/>
    <w:next w:val="1"/>
    <w:qFormat/>
    <w:uiPriority w:val="0"/>
    <w:pPr>
      <w:ind w:left="1680" w:leftChars="800"/>
    </w:pPr>
  </w:style>
  <w:style w:type="paragraph" w:styleId="31">
    <w:name w:val="toc 3"/>
    <w:basedOn w:val="1"/>
    <w:next w:val="1"/>
    <w:qFormat/>
    <w:uiPriority w:val="39"/>
    <w:pPr>
      <w:ind w:left="840" w:leftChars="400"/>
    </w:pPr>
  </w:style>
  <w:style w:type="paragraph" w:styleId="32">
    <w:name w:val="Plain Text"/>
    <w:basedOn w:val="1"/>
    <w:link w:val="241"/>
    <w:qFormat/>
    <w:uiPriority w:val="0"/>
    <w:rPr>
      <w:rFonts w:ascii="宋体" w:hAnsi="Courier New"/>
      <w:sz w:val="21"/>
    </w:rPr>
  </w:style>
  <w:style w:type="paragraph" w:styleId="33">
    <w:name w:val="toc 8"/>
    <w:basedOn w:val="1"/>
    <w:next w:val="1"/>
    <w:qFormat/>
    <w:uiPriority w:val="0"/>
    <w:pPr>
      <w:ind w:left="2940" w:leftChars="1400"/>
    </w:pPr>
  </w:style>
  <w:style w:type="paragraph" w:styleId="34">
    <w:name w:val="Date"/>
    <w:basedOn w:val="1"/>
    <w:next w:val="1"/>
    <w:link w:val="75"/>
    <w:qFormat/>
    <w:uiPriority w:val="0"/>
  </w:style>
  <w:style w:type="paragraph" w:styleId="35">
    <w:name w:val="Body Text Indent 2"/>
    <w:basedOn w:val="1"/>
    <w:link w:val="76"/>
    <w:qFormat/>
    <w:uiPriority w:val="0"/>
    <w:pPr>
      <w:snapToGrid w:val="0"/>
      <w:spacing w:line="560" w:lineRule="atLeast"/>
      <w:ind w:firstLine="540"/>
    </w:pPr>
  </w:style>
  <w:style w:type="paragraph" w:styleId="36">
    <w:name w:val="Balloon Text"/>
    <w:basedOn w:val="1"/>
    <w:qFormat/>
    <w:uiPriority w:val="0"/>
    <w:rPr>
      <w:sz w:val="18"/>
    </w:rPr>
  </w:style>
  <w:style w:type="paragraph" w:styleId="37">
    <w:name w:val="footer"/>
    <w:basedOn w:val="1"/>
    <w:qFormat/>
    <w:uiPriority w:val="0"/>
    <w:pPr>
      <w:tabs>
        <w:tab w:val="center" w:pos="4153"/>
        <w:tab w:val="right" w:pos="8306"/>
      </w:tabs>
      <w:snapToGrid w:val="0"/>
      <w:jc w:val="left"/>
    </w:pPr>
    <w:rPr>
      <w:sz w:val="18"/>
    </w:rPr>
  </w:style>
  <w:style w:type="paragraph" w:styleId="38">
    <w:name w:val="header"/>
    <w:basedOn w:val="1"/>
    <w:next w:val="18"/>
    <w:qFormat/>
    <w:uiPriority w:val="0"/>
    <w:pPr>
      <w:pBdr>
        <w:bottom w:val="single" w:color="auto" w:sz="6" w:space="1"/>
      </w:pBdr>
      <w:tabs>
        <w:tab w:val="center" w:pos="4153"/>
        <w:tab w:val="right" w:pos="8306"/>
      </w:tabs>
      <w:snapToGrid w:val="0"/>
      <w:jc w:val="center"/>
    </w:pPr>
    <w:rPr>
      <w:sz w:val="18"/>
    </w:rPr>
  </w:style>
  <w:style w:type="paragraph" w:styleId="39">
    <w:name w:val="toc 1"/>
    <w:basedOn w:val="1"/>
    <w:next w:val="1"/>
    <w:qFormat/>
    <w:uiPriority w:val="0"/>
    <w:pPr>
      <w:spacing w:line="180" w:lineRule="auto"/>
      <w:jc w:val="center"/>
    </w:pPr>
    <w:rPr>
      <w:sz w:val="30"/>
    </w:rPr>
  </w:style>
  <w:style w:type="paragraph" w:styleId="40">
    <w:name w:val="List Continue 4"/>
    <w:basedOn w:val="1"/>
    <w:qFormat/>
    <w:uiPriority w:val="0"/>
    <w:pPr>
      <w:adjustRightInd w:val="0"/>
      <w:snapToGrid w:val="0"/>
      <w:spacing w:after="120" w:line="360" w:lineRule="auto"/>
      <w:ind w:left="1680" w:leftChars="800"/>
    </w:pPr>
    <w:rPr>
      <w:sz w:val="24"/>
    </w:rPr>
  </w:style>
  <w:style w:type="paragraph" w:styleId="41">
    <w:name w:val="toc 4"/>
    <w:basedOn w:val="1"/>
    <w:next w:val="1"/>
    <w:qFormat/>
    <w:uiPriority w:val="0"/>
    <w:pPr>
      <w:ind w:left="1260" w:leftChars="600"/>
    </w:pPr>
  </w:style>
  <w:style w:type="paragraph" w:styleId="42">
    <w:name w:val="footnote text"/>
    <w:basedOn w:val="1"/>
    <w:link w:val="77"/>
    <w:qFormat/>
    <w:uiPriority w:val="0"/>
    <w:pPr>
      <w:spacing w:line="360" w:lineRule="auto"/>
    </w:pPr>
    <w:rPr>
      <w:sz w:val="18"/>
    </w:rPr>
  </w:style>
  <w:style w:type="paragraph" w:styleId="43">
    <w:name w:val="toc 6"/>
    <w:basedOn w:val="1"/>
    <w:next w:val="1"/>
    <w:qFormat/>
    <w:uiPriority w:val="0"/>
    <w:pPr>
      <w:ind w:left="2100" w:leftChars="1000"/>
    </w:pPr>
  </w:style>
  <w:style w:type="paragraph" w:styleId="44">
    <w:name w:val="List 5"/>
    <w:basedOn w:val="1"/>
    <w:qFormat/>
    <w:uiPriority w:val="0"/>
    <w:pPr>
      <w:adjustRightInd w:val="0"/>
      <w:snapToGrid w:val="0"/>
      <w:spacing w:line="360" w:lineRule="auto"/>
      <w:ind w:left="100" w:leftChars="800" w:hanging="200" w:hangingChars="200"/>
    </w:pPr>
    <w:rPr>
      <w:sz w:val="24"/>
    </w:rPr>
  </w:style>
  <w:style w:type="paragraph" w:styleId="45">
    <w:name w:val="Body Text Indent 3"/>
    <w:basedOn w:val="1"/>
    <w:qFormat/>
    <w:uiPriority w:val="0"/>
    <w:pPr>
      <w:spacing w:line="360" w:lineRule="auto"/>
      <w:ind w:firstLine="632"/>
    </w:pPr>
    <w:rPr>
      <w:rFonts w:ascii="黑体" w:eastAsia="黑体"/>
    </w:rPr>
  </w:style>
  <w:style w:type="paragraph" w:styleId="46">
    <w:name w:val="table of figures"/>
    <w:basedOn w:val="1"/>
    <w:next w:val="1"/>
    <w:qFormat/>
    <w:uiPriority w:val="0"/>
    <w:pPr>
      <w:tabs>
        <w:tab w:val="right" w:leader="dot" w:pos="8640"/>
      </w:tabs>
      <w:spacing w:line="360" w:lineRule="auto"/>
      <w:ind w:left="400" w:hanging="400"/>
    </w:pPr>
    <w:rPr>
      <w:sz w:val="24"/>
    </w:rPr>
  </w:style>
  <w:style w:type="paragraph" w:styleId="47">
    <w:name w:val="toc 2"/>
    <w:basedOn w:val="1"/>
    <w:next w:val="1"/>
    <w:qFormat/>
    <w:uiPriority w:val="39"/>
    <w:pPr>
      <w:ind w:left="420" w:leftChars="200"/>
    </w:pPr>
  </w:style>
  <w:style w:type="paragraph" w:styleId="48">
    <w:name w:val="toc 9"/>
    <w:basedOn w:val="1"/>
    <w:next w:val="1"/>
    <w:qFormat/>
    <w:uiPriority w:val="0"/>
    <w:pPr>
      <w:ind w:left="3360" w:leftChars="1600"/>
    </w:pPr>
  </w:style>
  <w:style w:type="paragraph" w:styleId="49">
    <w:name w:val="Body Text 2"/>
    <w:basedOn w:val="1"/>
    <w:qFormat/>
    <w:uiPriority w:val="0"/>
    <w:pPr>
      <w:adjustRightInd w:val="0"/>
      <w:snapToGrid w:val="0"/>
      <w:spacing w:after="120" w:line="480" w:lineRule="auto"/>
    </w:pPr>
    <w:rPr>
      <w:sz w:val="24"/>
    </w:rPr>
  </w:style>
  <w:style w:type="paragraph" w:styleId="50">
    <w:name w:val="List 4"/>
    <w:basedOn w:val="1"/>
    <w:qFormat/>
    <w:uiPriority w:val="0"/>
    <w:pPr>
      <w:adjustRightInd w:val="0"/>
      <w:snapToGrid w:val="0"/>
      <w:spacing w:line="360" w:lineRule="auto"/>
      <w:ind w:left="100" w:leftChars="600" w:hanging="200" w:hangingChars="200"/>
    </w:pPr>
    <w:rPr>
      <w:sz w:val="24"/>
    </w:rPr>
  </w:style>
  <w:style w:type="paragraph" w:styleId="51">
    <w:name w:val="List Continue 2"/>
    <w:basedOn w:val="1"/>
    <w:qFormat/>
    <w:uiPriority w:val="0"/>
    <w:pPr>
      <w:adjustRightInd w:val="0"/>
      <w:snapToGrid w:val="0"/>
      <w:spacing w:after="120" w:line="360" w:lineRule="auto"/>
      <w:ind w:left="840" w:leftChars="400"/>
    </w:pPr>
    <w:rPr>
      <w:sz w:val="24"/>
    </w:rPr>
  </w:style>
  <w:style w:type="paragraph" w:styleId="52">
    <w:name w:val="Normal (Web)"/>
    <w:basedOn w:val="1"/>
    <w:qFormat/>
    <w:uiPriority w:val="0"/>
    <w:pPr>
      <w:widowControl/>
      <w:spacing w:before="100" w:beforeAutospacing="1" w:after="100" w:afterAutospacing="1"/>
      <w:jc w:val="left"/>
    </w:pPr>
    <w:rPr>
      <w:rFonts w:ascii="宋体" w:hAnsi="宋体"/>
      <w:kern w:val="0"/>
      <w:sz w:val="24"/>
    </w:rPr>
  </w:style>
  <w:style w:type="paragraph" w:styleId="53">
    <w:name w:val="List Continue 3"/>
    <w:basedOn w:val="1"/>
    <w:qFormat/>
    <w:uiPriority w:val="0"/>
    <w:pPr>
      <w:adjustRightInd w:val="0"/>
      <w:snapToGrid w:val="0"/>
      <w:spacing w:after="120" w:line="360" w:lineRule="auto"/>
      <w:ind w:left="1260" w:leftChars="600"/>
    </w:pPr>
    <w:rPr>
      <w:sz w:val="24"/>
    </w:rPr>
  </w:style>
  <w:style w:type="paragraph" w:styleId="54">
    <w:name w:val="index 1"/>
    <w:basedOn w:val="1"/>
    <w:next w:val="1"/>
    <w:qFormat/>
    <w:uiPriority w:val="0"/>
    <w:pPr>
      <w:adjustRightInd w:val="0"/>
      <w:spacing w:line="240" w:lineRule="atLeast"/>
      <w:textAlignment w:val="baseline"/>
    </w:pPr>
    <w:rPr>
      <w:rFonts w:ascii="宋体"/>
      <w:kern w:val="0"/>
      <w:sz w:val="21"/>
    </w:rPr>
  </w:style>
  <w:style w:type="paragraph" w:styleId="55">
    <w:name w:val="Title"/>
    <w:basedOn w:val="1"/>
    <w:qFormat/>
    <w:uiPriority w:val="0"/>
    <w:pPr>
      <w:widowControl/>
      <w:spacing w:after="240" w:line="360" w:lineRule="auto"/>
      <w:jc w:val="center"/>
    </w:pPr>
    <w:rPr>
      <w:rFonts w:ascii="Arial" w:hAnsi="Arial"/>
      <w:b/>
      <w:smallCaps/>
      <w:kern w:val="28"/>
      <w:sz w:val="36"/>
      <w:lang w:eastAsia="en-US"/>
    </w:rPr>
  </w:style>
  <w:style w:type="paragraph" w:styleId="56">
    <w:name w:val="annotation subject"/>
    <w:basedOn w:val="21"/>
    <w:next w:val="21"/>
    <w:link w:val="78"/>
    <w:qFormat/>
    <w:uiPriority w:val="0"/>
    <w:pPr>
      <w:adjustRightInd/>
      <w:spacing w:line="240" w:lineRule="auto"/>
      <w:textAlignment w:val="auto"/>
    </w:pPr>
  </w:style>
  <w:style w:type="paragraph" w:styleId="57">
    <w:name w:val="Body Text First Indent"/>
    <w:basedOn w:val="24"/>
    <w:qFormat/>
    <w:uiPriority w:val="0"/>
    <w:pPr>
      <w:spacing w:line="360" w:lineRule="auto"/>
      <w:ind w:firstLine="420"/>
    </w:pPr>
    <w:rPr>
      <w:rFonts w:ascii="宋体" w:hAnsi="宋体"/>
      <w:sz w:val="24"/>
    </w:rPr>
  </w:style>
  <w:style w:type="paragraph" w:styleId="58">
    <w:name w:val="Body Text First Indent 2"/>
    <w:basedOn w:val="25"/>
    <w:link w:val="79"/>
    <w:qFormat/>
    <w:uiPriority w:val="0"/>
    <w:pPr>
      <w:spacing w:after="120" w:line="240" w:lineRule="auto"/>
      <w:ind w:left="420" w:leftChars="200" w:firstLine="420" w:firstLineChars="200"/>
    </w:pPr>
  </w:style>
  <w:style w:type="table" w:styleId="60">
    <w:name w:val="Table Grid"/>
    <w:basedOn w:val="5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2">
    <w:name w:val="Strong"/>
    <w:qFormat/>
    <w:uiPriority w:val="22"/>
    <w:rPr>
      <w:b/>
    </w:rPr>
  </w:style>
  <w:style w:type="character" w:styleId="63">
    <w:name w:val="page number"/>
    <w:qFormat/>
    <w:uiPriority w:val="0"/>
  </w:style>
  <w:style w:type="character" w:styleId="64">
    <w:name w:val="FollowedHyperlink"/>
    <w:qFormat/>
    <w:uiPriority w:val="0"/>
    <w:rPr>
      <w:color w:val="800080"/>
      <w:u w:val="single"/>
    </w:rPr>
  </w:style>
  <w:style w:type="character" w:styleId="65">
    <w:name w:val="Emphasis"/>
    <w:qFormat/>
    <w:uiPriority w:val="0"/>
    <w:rPr>
      <w:i/>
    </w:rPr>
  </w:style>
  <w:style w:type="character" w:styleId="66">
    <w:name w:val="Hyperlink"/>
    <w:qFormat/>
    <w:uiPriority w:val="99"/>
    <w:rPr>
      <w:color w:val="0000FF"/>
      <w:u w:val="single"/>
    </w:rPr>
  </w:style>
  <w:style w:type="character" w:styleId="67">
    <w:name w:val="annotation reference"/>
    <w:qFormat/>
    <w:uiPriority w:val="0"/>
    <w:rPr>
      <w:sz w:val="21"/>
      <w:szCs w:val="21"/>
    </w:rPr>
  </w:style>
  <w:style w:type="character" w:styleId="68">
    <w:name w:val="footnote reference"/>
    <w:qFormat/>
    <w:uiPriority w:val="0"/>
    <w:rPr>
      <w:position w:val="6"/>
      <w:sz w:val="14"/>
      <w:vertAlign w:val="superscript"/>
    </w:rPr>
  </w:style>
  <w:style w:type="paragraph" w:customStyle="1" w:styleId="69">
    <w:name w:val="引用1"/>
    <w:basedOn w:val="1"/>
    <w:next w:val="1"/>
    <w:qFormat/>
    <w:uiPriority w:val="0"/>
    <w:pPr>
      <w:wordWrap w:val="0"/>
      <w:spacing w:before="200" w:after="160"/>
      <w:ind w:left="864" w:right="864"/>
      <w:jc w:val="center"/>
    </w:pPr>
    <w:rPr>
      <w:i/>
    </w:rPr>
  </w:style>
  <w:style w:type="paragraph" w:customStyle="1" w:styleId="70">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71">
    <w:name w:val="标题 2 字符1"/>
    <w:link w:val="5"/>
    <w:qFormat/>
    <w:uiPriority w:val="0"/>
    <w:rPr>
      <w:rFonts w:ascii="Arial" w:hAnsi="Arial" w:eastAsia="黑体"/>
      <w:b/>
      <w:kern w:val="2"/>
      <w:sz w:val="32"/>
    </w:rPr>
  </w:style>
  <w:style w:type="character" w:customStyle="1" w:styleId="72">
    <w:name w:val="标题 3 字符"/>
    <w:link w:val="6"/>
    <w:qFormat/>
    <w:uiPriority w:val="0"/>
    <w:rPr>
      <w:rFonts w:eastAsia="宋体"/>
      <w:b/>
      <w:kern w:val="2"/>
      <w:sz w:val="32"/>
      <w:lang w:val="en-US" w:eastAsia="zh-CN"/>
    </w:rPr>
  </w:style>
  <w:style w:type="character" w:customStyle="1" w:styleId="73">
    <w:name w:val="批注文字 字符"/>
    <w:link w:val="21"/>
    <w:qFormat/>
    <w:uiPriority w:val="0"/>
    <w:rPr>
      <w:sz w:val="24"/>
    </w:rPr>
  </w:style>
  <w:style w:type="character" w:customStyle="1" w:styleId="74">
    <w:name w:val="正文文本缩进 字符"/>
    <w:link w:val="25"/>
    <w:qFormat/>
    <w:uiPriority w:val="0"/>
    <w:rPr>
      <w:kern w:val="2"/>
      <w:sz w:val="44"/>
    </w:rPr>
  </w:style>
  <w:style w:type="character" w:customStyle="1" w:styleId="75">
    <w:name w:val="日期 字符"/>
    <w:link w:val="34"/>
    <w:qFormat/>
    <w:uiPriority w:val="0"/>
    <w:rPr>
      <w:kern w:val="2"/>
      <w:sz w:val="28"/>
    </w:rPr>
  </w:style>
  <w:style w:type="character" w:customStyle="1" w:styleId="76">
    <w:name w:val="正文文本缩进 2 字符1"/>
    <w:link w:val="35"/>
    <w:qFormat/>
    <w:uiPriority w:val="0"/>
    <w:rPr>
      <w:kern w:val="2"/>
      <w:sz w:val="28"/>
    </w:rPr>
  </w:style>
  <w:style w:type="character" w:customStyle="1" w:styleId="77">
    <w:name w:val="脚注文本 字符"/>
    <w:link w:val="42"/>
    <w:qFormat/>
    <w:uiPriority w:val="0"/>
    <w:rPr>
      <w:kern w:val="2"/>
      <w:sz w:val="18"/>
    </w:rPr>
  </w:style>
  <w:style w:type="character" w:customStyle="1" w:styleId="78">
    <w:name w:val="批注主题 字符"/>
    <w:link w:val="56"/>
    <w:qFormat/>
    <w:uiPriority w:val="0"/>
  </w:style>
  <w:style w:type="character" w:customStyle="1" w:styleId="79">
    <w:name w:val="正文文本首行缩进 2 字符"/>
    <w:link w:val="58"/>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6"/>
    <w:next w:val="57"/>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5"/>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4"/>
    <w:next w:val="4"/>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5"/>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4"/>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7"/>
    <w:qFormat/>
    <w:uiPriority w:val="0"/>
    <w:pPr>
      <w:numPr>
        <w:ilvl w:val="0"/>
        <w:numId w:val="8"/>
      </w:numPr>
      <w:spacing w:before="560" w:line="400" w:lineRule="exact"/>
      <w:jc w:val="center"/>
      <w:outlineLvl w:val="0"/>
    </w:pPr>
    <w:rPr>
      <w:b w:val="0"/>
      <w:sz w:val="44"/>
    </w:rPr>
  </w:style>
  <w:style w:type="paragraph" w:customStyle="1" w:styleId="142">
    <w:name w:val="内容标题"/>
    <w:basedOn w:val="19"/>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2"/>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9"/>
    <w:qFormat/>
    <w:uiPriority w:val="0"/>
    <w:rPr>
      <w:rFonts w:ascii="宋体" w:hAnsi="Tahoma"/>
    </w:rPr>
  </w:style>
  <w:style w:type="paragraph" w:customStyle="1" w:styleId="148">
    <w:name w:val="样式 标题 6第五层条 + 三号 段前: 0.5 行"/>
    <w:basedOn w:val="9"/>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5"/>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7"/>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5"/>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6"/>
    <w:qFormat/>
    <w:uiPriority w:val="0"/>
    <w:pPr>
      <w:numPr>
        <w:ilvl w:val="2"/>
        <w:numId w:val="3"/>
      </w:numPr>
      <w:tabs>
        <w:tab w:val="left" w:pos="709"/>
        <w:tab w:val="left" w:pos="1620"/>
      </w:tabs>
    </w:pPr>
  </w:style>
  <w:style w:type="paragraph" w:customStyle="1" w:styleId="176">
    <w:name w:val="样式4"/>
    <w:basedOn w:val="7"/>
    <w:qFormat/>
    <w:uiPriority w:val="0"/>
    <w:pPr>
      <w:adjustRightInd w:val="0"/>
      <w:snapToGrid w:val="0"/>
    </w:pPr>
  </w:style>
  <w:style w:type="paragraph" w:customStyle="1" w:styleId="177">
    <w:name w:val="摘要"/>
    <w:basedOn w:val="1"/>
    <w:next w:val="5"/>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4"/>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7"/>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4"/>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4"/>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4"/>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2"/>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4"/>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1"/>
    <w:link w:val="32"/>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3">
    <w:name w:val="方案正文"/>
    <w:basedOn w:val="1"/>
    <w:qFormat/>
    <w:uiPriority w:val="0"/>
    <w:pPr>
      <w:spacing w:before="120" w:line="360" w:lineRule="auto"/>
      <w:ind w:firstLine="425" w:firstLineChars="177"/>
    </w:pPr>
    <w:rPr>
      <w:rFonts w:ascii="华文细黑" w:hAnsi="华文细黑" w:eastAsia="华文细黑"/>
      <w:kern w:val="0"/>
      <w:sz w:val="24"/>
    </w:rPr>
  </w:style>
  <w:style w:type="paragraph" w:styleId="244">
    <w:name w:val="No Spacing"/>
    <w:qFormat/>
    <w:uiPriority w:val="1"/>
    <w:pPr>
      <w:widowControl w:val="0"/>
      <w:jc w:val="both"/>
    </w:pPr>
    <w:rPr>
      <w:rFonts w:ascii="Times New Roman" w:hAnsi="Times New Roman" w:eastAsia="宋体" w:cs="Times New Roman"/>
      <w:kern w:val="2"/>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26</Pages>
  <Words>5944</Words>
  <Characters>6063</Characters>
  <Lines>866</Lines>
  <Paragraphs>923</Paragraphs>
  <TotalTime>7</TotalTime>
  <ScaleCrop>false</ScaleCrop>
  <LinksUpToDate>false</LinksUpToDate>
  <CharactersWithSpaces>11084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Administrator</cp:lastModifiedBy>
  <cp:lastPrinted>2015-03-25T02:14:00Z</cp:lastPrinted>
  <dcterms:modified xsi:type="dcterms:W3CDTF">2026-02-03T07:17:30Z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AE9E910D823A430BBC79693D06F10E3B</vt:lpwstr>
  </property>
</Properties>
</file>