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val="en-US" w:eastAsia="zh-CN"/>
        </w:rPr>
        <w:t>采购</w:t>
      </w:r>
      <w:r>
        <w:rPr>
          <w:rFonts w:hint="eastAsia" w:ascii="微软雅黑" w:hAnsi="微软雅黑" w:eastAsia="微软雅黑" w:cs="微软雅黑"/>
          <w:sz w:val="130"/>
          <w:szCs w:val="130"/>
        </w:rPr>
        <w:t>文件</w:t>
      </w:r>
    </w:p>
    <w:p>
      <w:pPr>
        <w:pStyle w:val="69"/>
        <w:keepNext/>
        <w:keepLines/>
        <w:pageBreakBefore w:val="0"/>
        <w:widowControl w:val="0"/>
        <w:kinsoku/>
        <w:wordWrap/>
        <w:overflowPunct/>
        <w:topLinePunct w:val="0"/>
        <w:autoSpaceDE/>
        <w:autoSpaceDN/>
        <w:bidi w:val="0"/>
        <w:adjustRightInd/>
        <w:snapToGrid/>
        <w:spacing w:before="100" w:after="100" w:line="300" w:lineRule="auto"/>
        <w:jc w:val="center"/>
        <w:textAlignment w:val="auto"/>
        <w:rPr>
          <w:rFonts w:hint="eastAsia" w:ascii="微软雅黑" w:hAnsi="微软雅黑" w:eastAsia="微软雅黑" w:cs="微软雅黑"/>
          <w:sz w:val="32"/>
        </w:rPr>
      </w:pPr>
      <w:r>
        <w:rPr>
          <w:rFonts w:hint="eastAsia" w:ascii="微软雅黑" w:hAnsi="微软雅黑" w:eastAsia="微软雅黑" w:cs="微软雅黑"/>
          <w:b w:val="0"/>
          <w:kern w:val="2"/>
          <w:sz w:val="130"/>
          <w:szCs w:val="130"/>
          <w:lang w:val="en-US" w:eastAsia="zh-CN" w:bidi="ar-SA"/>
        </w:rPr>
        <w:t xml:space="preserve">   </w:t>
      </w:r>
    </w:p>
    <w:p>
      <w:pPr>
        <w:pStyle w:val="70"/>
        <w:rPr>
          <w:rFonts w:hint="eastAsia" w:ascii="微软雅黑" w:hAnsi="微软雅黑" w:eastAsia="微软雅黑" w:cs="微软雅黑"/>
          <w:b w:val="0"/>
          <w:kern w:val="2"/>
          <w:sz w:val="44"/>
          <w:szCs w:val="44"/>
          <w:lang w:val="en-US" w:eastAsia="zh-CN" w:bidi="ar-SA"/>
        </w:rPr>
      </w:pPr>
    </w:p>
    <w:p>
      <w:pPr>
        <w:spacing w:line="360" w:lineRule="auto"/>
        <w:ind w:firstLine="1440" w:firstLineChars="4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r>
        <w:rPr>
          <w:rFonts w:hint="eastAsia" w:ascii="微软雅黑" w:hAnsi="微软雅黑" w:eastAsia="微软雅黑" w:cs="微软雅黑"/>
          <w:color w:val="auto"/>
          <w:sz w:val="36"/>
          <w:szCs w:val="36"/>
          <w:u w:val="single"/>
          <w:lang w:val="en-US" w:eastAsia="zh-CN"/>
        </w:rPr>
        <w:t>YCG260213</w:t>
      </w:r>
    </w:p>
    <w:p>
      <w:pPr>
        <w:spacing w:line="360" w:lineRule="auto"/>
        <w:ind w:firstLine="1440" w:firstLineChars="400"/>
        <w:outlineLvl w:val="0"/>
        <w:rPr>
          <w:rFonts w:hint="eastAsia" w:ascii="微软雅黑" w:hAnsi="微软雅黑" w:eastAsia="微软雅黑" w:cs="微软雅黑"/>
          <w:b w:val="0"/>
          <w:bCs w:val="0"/>
          <w:sz w:val="36"/>
          <w:szCs w:val="36"/>
          <w:u w:val="single"/>
          <w:lang w:eastAsia="zh-CN"/>
        </w:rPr>
      </w:pPr>
      <w:r>
        <w:rPr>
          <w:rFonts w:hint="eastAsia" w:ascii="微软雅黑" w:hAnsi="微软雅黑" w:eastAsia="微软雅黑" w:cs="微软雅黑"/>
          <w:sz w:val="36"/>
          <w:szCs w:val="36"/>
          <w:lang w:val="en-US" w:eastAsia="zh-CN"/>
        </w:rPr>
        <w:t>项目名称</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委托招标代理机构遴选（工程）</w:t>
      </w:r>
    </w:p>
    <w:p>
      <w:pPr>
        <w:spacing w:line="360" w:lineRule="auto"/>
        <w:ind w:firstLine="3240" w:firstLineChars="900"/>
        <w:outlineLvl w:val="0"/>
        <w:rPr>
          <w:rFonts w:hint="eastAsia" w:ascii="微软雅黑" w:hAnsi="微软雅黑" w:eastAsia="微软雅黑" w:cs="微软雅黑"/>
          <w:sz w:val="36"/>
          <w:szCs w:val="36"/>
          <w:u w:val="single"/>
          <w:lang w:val="en-US" w:eastAsia="zh-CN"/>
        </w:rPr>
      </w:pPr>
    </w:p>
    <w:p>
      <w:pPr>
        <w:spacing w:line="360" w:lineRule="auto"/>
        <w:ind w:firstLine="3240" w:firstLineChars="900"/>
        <w:outlineLvl w:val="0"/>
        <w:rPr>
          <w:rFonts w:hint="eastAsia" w:ascii="微软雅黑" w:hAnsi="微软雅黑" w:eastAsia="微软雅黑" w:cs="微软雅黑"/>
          <w:sz w:val="36"/>
          <w:szCs w:val="36"/>
          <w:u w:val="single"/>
          <w:lang w:val="en-US" w:eastAsia="zh-CN"/>
        </w:rPr>
      </w:pPr>
    </w:p>
    <w:p>
      <w:pPr>
        <w:spacing w:line="500" w:lineRule="exact"/>
        <w:jc w:val="center"/>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lang w:val="en-US" w:eastAsia="zh-CN"/>
        </w:rPr>
        <w:t>2026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5</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24"/>
          <w:szCs w:val="24"/>
        </w:rPr>
      </w:pPr>
      <w:r>
        <w:rPr>
          <w:rFonts w:hint="eastAsia" w:ascii="微软雅黑" w:hAnsi="微软雅黑" w:eastAsia="微软雅黑" w:cs="微软雅黑"/>
          <w:sz w:val="24"/>
          <w:szCs w:val="24"/>
        </w:rPr>
        <w:t>目   录</w:t>
      </w:r>
    </w:p>
    <w:p>
      <w:pPr>
        <w:pStyle w:val="46"/>
        <w:tabs>
          <w:tab w:val="right" w:leader="dot" w:pos="9412"/>
        </w:tabs>
        <w:rPr>
          <w:rFonts w:hint="eastAsia" w:ascii="微软雅黑" w:hAnsi="微软雅黑" w:eastAsia="微软雅黑" w:cs="微软雅黑"/>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_Toc10131 </w:instrText>
      </w:r>
      <w:r>
        <w:rPr>
          <w:rFonts w:hint="eastAsia" w:ascii="微软雅黑" w:hAnsi="微软雅黑" w:eastAsia="微软雅黑" w:cs="微软雅黑"/>
          <w:szCs w:val="24"/>
        </w:rPr>
        <w:fldChar w:fldCharType="separate"/>
      </w:r>
      <w:r>
        <w:rPr>
          <w:rFonts w:hint="eastAsia" w:ascii="微软雅黑" w:hAnsi="微软雅黑" w:eastAsia="微软雅黑" w:cs="微软雅黑"/>
          <w:szCs w:val="20"/>
        </w:rPr>
        <w:t>第一篇  采购邀请书</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_Toc10131 \h </w:instrText>
      </w:r>
      <w:r>
        <w:rPr>
          <w:rFonts w:hint="eastAsia" w:ascii="微软雅黑" w:hAnsi="微软雅黑" w:eastAsia="微软雅黑" w:cs="微软雅黑"/>
        </w:rPr>
        <w:fldChar w:fldCharType="separate"/>
      </w:r>
      <w:r>
        <w:rPr>
          <w:rFonts w:hint="eastAsia" w:ascii="微软雅黑" w:hAnsi="微软雅黑" w:eastAsia="微软雅黑" w:cs="微软雅黑"/>
        </w:rPr>
        <w:t>- 2 -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6"/>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_Toc12721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一、</w:t>
      </w:r>
      <w:r>
        <w:rPr>
          <w:rFonts w:hint="eastAsia" w:ascii="微软雅黑" w:hAnsi="微软雅黑" w:eastAsia="微软雅黑" w:cs="微软雅黑"/>
          <w:lang w:val="en-US" w:eastAsia="zh-CN"/>
        </w:rPr>
        <w:t>公开比选采购</w:t>
      </w:r>
      <w:r>
        <w:rPr>
          <w:rFonts w:hint="eastAsia" w:ascii="微软雅黑" w:hAnsi="微软雅黑" w:eastAsia="微软雅黑" w:cs="微软雅黑"/>
        </w:rPr>
        <w:t>内容</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_Toc12721 \h </w:instrText>
      </w:r>
      <w:r>
        <w:rPr>
          <w:rFonts w:hint="eastAsia" w:ascii="微软雅黑" w:hAnsi="微软雅黑" w:eastAsia="微软雅黑" w:cs="微软雅黑"/>
        </w:rPr>
        <w:fldChar w:fldCharType="separate"/>
      </w:r>
      <w:r>
        <w:rPr>
          <w:rFonts w:hint="eastAsia" w:ascii="微软雅黑" w:hAnsi="微软雅黑" w:eastAsia="微软雅黑" w:cs="微软雅黑"/>
        </w:rPr>
        <w:t>- 2 -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6"/>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_Toc27154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二、</w:t>
      </w:r>
      <w:r>
        <w:rPr>
          <w:rFonts w:hint="eastAsia" w:ascii="微软雅黑" w:hAnsi="微软雅黑" w:eastAsia="微软雅黑" w:cs="微软雅黑"/>
          <w:lang w:val="en-US" w:eastAsia="zh-CN"/>
        </w:rPr>
        <w:t>投标人</w:t>
      </w:r>
      <w:r>
        <w:rPr>
          <w:rFonts w:hint="eastAsia" w:ascii="微软雅黑" w:hAnsi="微软雅黑" w:eastAsia="微软雅黑" w:cs="微软雅黑"/>
        </w:rPr>
        <w:t>资格条件</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_Toc27154 \h </w:instrText>
      </w:r>
      <w:r>
        <w:rPr>
          <w:rFonts w:hint="eastAsia" w:ascii="微软雅黑" w:hAnsi="微软雅黑" w:eastAsia="微软雅黑" w:cs="微软雅黑"/>
        </w:rPr>
        <w:fldChar w:fldCharType="separate"/>
      </w:r>
      <w:r>
        <w:rPr>
          <w:rFonts w:hint="eastAsia" w:ascii="微软雅黑" w:hAnsi="微软雅黑" w:eastAsia="微软雅黑" w:cs="微软雅黑"/>
        </w:rPr>
        <w:t>- 2 -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6"/>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_Toc16756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三、</w:t>
      </w:r>
      <w:r>
        <w:rPr>
          <w:rFonts w:hint="eastAsia" w:ascii="微软雅黑" w:hAnsi="微软雅黑" w:eastAsia="微软雅黑" w:cs="微软雅黑"/>
          <w:lang w:val="en-US" w:eastAsia="zh-CN"/>
        </w:rPr>
        <w:t>比选</w:t>
      </w:r>
      <w:r>
        <w:rPr>
          <w:rFonts w:hint="eastAsia" w:ascii="微软雅黑" w:hAnsi="微软雅黑" w:eastAsia="微软雅黑" w:cs="微软雅黑"/>
        </w:rPr>
        <w:t>有关说明</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_Toc16756 \h </w:instrText>
      </w:r>
      <w:r>
        <w:rPr>
          <w:rFonts w:hint="eastAsia" w:ascii="微软雅黑" w:hAnsi="微软雅黑" w:eastAsia="微软雅黑" w:cs="微软雅黑"/>
        </w:rPr>
        <w:fldChar w:fldCharType="separate"/>
      </w:r>
      <w:r>
        <w:rPr>
          <w:rFonts w:hint="eastAsia" w:ascii="微软雅黑" w:hAnsi="微软雅黑" w:eastAsia="微软雅黑" w:cs="微软雅黑"/>
        </w:rPr>
        <w:t>- 2 -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6"/>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_Toc27570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四、保证金</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_Toc27570 \h </w:instrText>
      </w:r>
      <w:r>
        <w:rPr>
          <w:rFonts w:hint="eastAsia" w:ascii="微软雅黑" w:hAnsi="微软雅黑" w:eastAsia="微软雅黑" w:cs="微软雅黑"/>
        </w:rPr>
        <w:fldChar w:fldCharType="separate"/>
      </w:r>
      <w:r>
        <w:rPr>
          <w:rFonts w:hint="eastAsia" w:ascii="微软雅黑" w:hAnsi="微软雅黑" w:eastAsia="微软雅黑" w:cs="微软雅黑"/>
        </w:rPr>
        <w:t>- 3 -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6"/>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_Toc1530 </w:instrText>
      </w:r>
      <w:r>
        <w:rPr>
          <w:rFonts w:hint="eastAsia" w:ascii="微软雅黑" w:hAnsi="微软雅黑" w:eastAsia="微软雅黑" w:cs="微软雅黑"/>
          <w:szCs w:val="24"/>
        </w:rPr>
        <w:fldChar w:fldCharType="separate"/>
      </w:r>
      <w:r>
        <w:rPr>
          <w:rFonts w:hint="eastAsia" w:ascii="微软雅黑" w:hAnsi="微软雅黑" w:eastAsia="微软雅黑" w:cs="微软雅黑"/>
          <w:lang w:val="en-US" w:eastAsia="zh-CN"/>
        </w:rPr>
        <w:t>五</w:t>
      </w:r>
      <w:r>
        <w:rPr>
          <w:rFonts w:hint="eastAsia" w:ascii="微软雅黑" w:hAnsi="微软雅黑" w:eastAsia="微软雅黑" w:cs="微软雅黑"/>
        </w:rPr>
        <w:t>、其它</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_Toc1530 \h </w:instrText>
      </w:r>
      <w:r>
        <w:rPr>
          <w:rFonts w:hint="eastAsia" w:ascii="微软雅黑" w:hAnsi="微软雅黑" w:eastAsia="微软雅黑" w:cs="微软雅黑"/>
        </w:rPr>
        <w:fldChar w:fldCharType="separate"/>
      </w:r>
      <w:r>
        <w:rPr>
          <w:rFonts w:hint="eastAsia" w:ascii="微软雅黑" w:hAnsi="微软雅黑" w:eastAsia="微软雅黑" w:cs="微软雅黑"/>
        </w:rPr>
        <w:t>- 3 -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6"/>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_Toc11660 </w:instrText>
      </w:r>
      <w:r>
        <w:rPr>
          <w:rFonts w:hint="eastAsia" w:ascii="微软雅黑" w:hAnsi="微软雅黑" w:eastAsia="微软雅黑" w:cs="微软雅黑"/>
          <w:szCs w:val="24"/>
        </w:rPr>
        <w:fldChar w:fldCharType="separate"/>
      </w:r>
      <w:r>
        <w:rPr>
          <w:rFonts w:hint="eastAsia" w:ascii="微软雅黑" w:hAnsi="微软雅黑" w:eastAsia="微软雅黑" w:cs="微软雅黑"/>
          <w:lang w:val="en-US" w:eastAsia="zh-CN"/>
        </w:rPr>
        <w:t>六</w:t>
      </w:r>
      <w:r>
        <w:rPr>
          <w:rFonts w:hint="eastAsia" w:ascii="微软雅黑" w:hAnsi="微软雅黑" w:eastAsia="微软雅黑" w:cs="微软雅黑"/>
        </w:rPr>
        <w:t>、联系方式</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_Toc11660 \h </w:instrText>
      </w:r>
      <w:r>
        <w:rPr>
          <w:rFonts w:hint="eastAsia" w:ascii="微软雅黑" w:hAnsi="微软雅黑" w:eastAsia="微软雅黑" w:cs="微软雅黑"/>
        </w:rPr>
        <w:fldChar w:fldCharType="separate"/>
      </w:r>
      <w:r>
        <w:rPr>
          <w:rFonts w:hint="eastAsia" w:ascii="微软雅黑" w:hAnsi="微软雅黑" w:eastAsia="微软雅黑" w:cs="微软雅黑"/>
        </w:rPr>
        <w:t>- 3 -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38"/>
        <w:tabs>
          <w:tab w:val="right" w:leader="dot" w:pos="9412"/>
        </w:tabs>
        <w:ind w:leftChars="200"/>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_Toc20293 </w:instrText>
      </w:r>
      <w:r>
        <w:rPr>
          <w:rFonts w:hint="eastAsia" w:ascii="微软雅黑" w:hAnsi="微软雅黑" w:eastAsia="微软雅黑" w:cs="微软雅黑"/>
          <w:szCs w:val="24"/>
        </w:rPr>
        <w:fldChar w:fldCharType="separate"/>
      </w:r>
      <w:r>
        <w:rPr>
          <w:rFonts w:hint="eastAsia" w:ascii="微软雅黑" w:hAnsi="微软雅黑" w:eastAsia="微软雅黑" w:cs="微软雅黑"/>
          <w:kern w:val="2"/>
          <w:szCs w:val="20"/>
          <w:lang w:val="en-US" w:eastAsia="zh-CN" w:bidi="ar-SA"/>
        </w:rPr>
        <w:t>第二篇 项目技术（质量）需求</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_Toc20293 \h </w:instrText>
      </w:r>
      <w:r>
        <w:rPr>
          <w:rFonts w:hint="eastAsia" w:ascii="微软雅黑" w:hAnsi="微软雅黑" w:eastAsia="微软雅黑" w:cs="微软雅黑"/>
        </w:rPr>
        <w:fldChar w:fldCharType="separate"/>
      </w:r>
      <w:r>
        <w:rPr>
          <w:rFonts w:hint="eastAsia" w:ascii="微软雅黑" w:hAnsi="微软雅黑" w:eastAsia="微软雅黑" w:cs="微软雅黑"/>
        </w:rPr>
        <w:t>- 4 -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6"/>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_Toc28095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一、项目基本概况介绍</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_Toc28095 \h </w:instrText>
      </w:r>
      <w:r>
        <w:rPr>
          <w:rFonts w:hint="eastAsia" w:ascii="微软雅黑" w:hAnsi="微软雅黑" w:eastAsia="微软雅黑" w:cs="微软雅黑"/>
        </w:rPr>
        <w:fldChar w:fldCharType="separate"/>
      </w:r>
      <w:r>
        <w:rPr>
          <w:rFonts w:hint="eastAsia" w:ascii="微软雅黑" w:hAnsi="微软雅黑" w:eastAsia="微软雅黑" w:cs="微软雅黑"/>
        </w:rPr>
        <w:t>- 4 -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6"/>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_Toc24722 </w:instrText>
      </w:r>
      <w:r>
        <w:rPr>
          <w:rFonts w:hint="eastAsia" w:ascii="微软雅黑" w:hAnsi="微软雅黑" w:eastAsia="微软雅黑" w:cs="微软雅黑"/>
          <w:szCs w:val="24"/>
        </w:rPr>
        <w:fldChar w:fldCharType="separate"/>
      </w:r>
      <w:r>
        <w:rPr>
          <w:rFonts w:hint="eastAsia" w:ascii="微软雅黑" w:hAnsi="微软雅黑" w:eastAsia="微软雅黑" w:cs="微软雅黑"/>
          <w:szCs w:val="20"/>
        </w:rPr>
        <w:t>第三篇  项目商务需求</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_Toc24722 \h </w:instrText>
      </w:r>
      <w:r>
        <w:rPr>
          <w:rFonts w:hint="eastAsia" w:ascii="微软雅黑" w:hAnsi="微软雅黑" w:eastAsia="微软雅黑" w:cs="微软雅黑"/>
        </w:rPr>
        <w:fldChar w:fldCharType="separate"/>
      </w:r>
      <w:r>
        <w:rPr>
          <w:rFonts w:hint="eastAsia" w:ascii="微软雅黑" w:hAnsi="微软雅黑" w:eastAsia="微软雅黑" w:cs="微软雅黑"/>
        </w:rPr>
        <w:t>- 6 -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6"/>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_Toc20931 </w:instrText>
      </w:r>
      <w:r>
        <w:rPr>
          <w:rFonts w:hint="eastAsia" w:ascii="微软雅黑" w:hAnsi="微软雅黑" w:eastAsia="微软雅黑" w:cs="微软雅黑"/>
          <w:szCs w:val="24"/>
        </w:rPr>
        <w:fldChar w:fldCharType="separate"/>
      </w:r>
      <w:r>
        <w:rPr>
          <w:rFonts w:hint="eastAsia" w:ascii="微软雅黑" w:hAnsi="微软雅黑" w:eastAsia="微软雅黑" w:cs="微软雅黑"/>
          <w:szCs w:val="20"/>
        </w:rPr>
        <w:t xml:space="preserve">第四篇  </w:t>
      </w:r>
      <w:r>
        <w:rPr>
          <w:rFonts w:hint="eastAsia" w:ascii="微软雅黑" w:hAnsi="微软雅黑" w:eastAsia="微软雅黑" w:cs="微软雅黑"/>
          <w:szCs w:val="20"/>
          <w:lang w:val="en-US" w:eastAsia="zh-CN"/>
        </w:rPr>
        <w:t>公开比选采购</w:t>
      </w:r>
      <w:r>
        <w:rPr>
          <w:rFonts w:hint="eastAsia" w:ascii="微软雅黑" w:hAnsi="微软雅黑" w:eastAsia="微软雅黑" w:cs="微软雅黑"/>
          <w:szCs w:val="20"/>
        </w:rPr>
        <w:t>程序及方法、评审标准、无效响应和采购终止</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_Toc20931 \h </w:instrText>
      </w:r>
      <w:r>
        <w:rPr>
          <w:rFonts w:hint="eastAsia" w:ascii="微软雅黑" w:hAnsi="微软雅黑" w:eastAsia="微软雅黑" w:cs="微软雅黑"/>
        </w:rPr>
        <w:fldChar w:fldCharType="separate"/>
      </w:r>
      <w:r>
        <w:rPr>
          <w:rFonts w:hint="eastAsia" w:ascii="微软雅黑" w:hAnsi="微软雅黑" w:eastAsia="微软雅黑" w:cs="微软雅黑"/>
        </w:rPr>
        <w:t>- 11 -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6"/>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_Toc17381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一、</w:t>
      </w:r>
      <w:r>
        <w:rPr>
          <w:rFonts w:hint="eastAsia" w:ascii="微软雅黑" w:hAnsi="微软雅黑" w:eastAsia="微软雅黑" w:cs="微软雅黑"/>
          <w:lang w:val="en-US" w:eastAsia="zh-CN"/>
        </w:rPr>
        <w:t>公开比选采购</w:t>
      </w:r>
      <w:r>
        <w:rPr>
          <w:rFonts w:hint="eastAsia" w:ascii="微软雅黑" w:hAnsi="微软雅黑" w:eastAsia="微软雅黑" w:cs="微软雅黑"/>
        </w:rPr>
        <w:t>程序</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_Toc17381 \h </w:instrText>
      </w:r>
      <w:r>
        <w:rPr>
          <w:rFonts w:hint="eastAsia" w:ascii="微软雅黑" w:hAnsi="微软雅黑" w:eastAsia="微软雅黑" w:cs="微软雅黑"/>
        </w:rPr>
        <w:fldChar w:fldCharType="separate"/>
      </w:r>
      <w:r>
        <w:rPr>
          <w:rFonts w:hint="eastAsia" w:ascii="微软雅黑" w:hAnsi="微软雅黑" w:eastAsia="微软雅黑" w:cs="微软雅黑"/>
        </w:rPr>
        <w:t>- 11 -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6"/>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_Toc29775 </w:instrText>
      </w:r>
      <w:r>
        <w:rPr>
          <w:rFonts w:hint="eastAsia" w:ascii="微软雅黑" w:hAnsi="微软雅黑" w:eastAsia="微软雅黑" w:cs="微软雅黑"/>
          <w:szCs w:val="24"/>
        </w:rPr>
        <w:fldChar w:fldCharType="separate"/>
      </w:r>
      <w:r>
        <w:rPr>
          <w:rFonts w:hint="eastAsia" w:ascii="微软雅黑" w:hAnsi="微软雅黑" w:eastAsia="微软雅黑" w:cs="微软雅黑"/>
          <w:lang w:val="en-US" w:eastAsia="zh-CN"/>
        </w:rPr>
        <w:t>二、报价方式</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_Toc29775 \h </w:instrText>
      </w:r>
      <w:r>
        <w:rPr>
          <w:rFonts w:hint="eastAsia" w:ascii="微软雅黑" w:hAnsi="微软雅黑" w:eastAsia="微软雅黑" w:cs="微软雅黑"/>
        </w:rPr>
        <w:fldChar w:fldCharType="separate"/>
      </w:r>
      <w:r>
        <w:rPr>
          <w:rFonts w:hint="eastAsia" w:ascii="微软雅黑" w:hAnsi="微软雅黑" w:eastAsia="微软雅黑" w:cs="微软雅黑"/>
        </w:rPr>
        <w:t>- 12 -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6"/>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_Toc31617 </w:instrText>
      </w:r>
      <w:r>
        <w:rPr>
          <w:rFonts w:hint="eastAsia" w:ascii="微软雅黑" w:hAnsi="微软雅黑" w:eastAsia="微软雅黑" w:cs="微软雅黑"/>
          <w:szCs w:val="24"/>
        </w:rPr>
        <w:fldChar w:fldCharType="separate"/>
      </w:r>
      <w:r>
        <w:rPr>
          <w:rFonts w:hint="eastAsia" w:ascii="微软雅黑" w:hAnsi="微软雅黑" w:eastAsia="微软雅黑" w:cs="微软雅黑"/>
          <w:lang w:val="en-US" w:eastAsia="zh-CN"/>
        </w:rPr>
        <w:t>三、评标方法</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_Toc31617 \h </w:instrText>
      </w:r>
      <w:r>
        <w:rPr>
          <w:rFonts w:hint="eastAsia" w:ascii="微软雅黑" w:hAnsi="微软雅黑" w:eastAsia="微软雅黑" w:cs="微软雅黑"/>
        </w:rPr>
        <w:fldChar w:fldCharType="separate"/>
      </w:r>
      <w:r>
        <w:rPr>
          <w:rFonts w:hint="eastAsia" w:ascii="微软雅黑" w:hAnsi="微软雅黑" w:eastAsia="微软雅黑" w:cs="微软雅黑"/>
        </w:rPr>
        <w:t>- 12 -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6"/>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_Toc4739 </w:instrText>
      </w:r>
      <w:r>
        <w:rPr>
          <w:rFonts w:hint="eastAsia" w:ascii="微软雅黑" w:hAnsi="微软雅黑" w:eastAsia="微软雅黑" w:cs="微软雅黑"/>
          <w:szCs w:val="24"/>
        </w:rPr>
        <w:fldChar w:fldCharType="separate"/>
      </w:r>
      <w:r>
        <w:rPr>
          <w:rFonts w:hint="eastAsia" w:ascii="微软雅黑" w:hAnsi="微软雅黑" w:eastAsia="微软雅黑" w:cs="微软雅黑"/>
          <w:lang w:val="en-US" w:eastAsia="zh-CN"/>
        </w:rPr>
        <w:t>四、评审标准</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_Toc4739 \h </w:instrText>
      </w:r>
      <w:r>
        <w:rPr>
          <w:rFonts w:hint="eastAsia" w:ascii="微软雅黑" w:hAnsi="微软雅黑" w:eastAsia="微软雅黑" w:cs="微软雅黑"/>
        </w:rPr>
        <w:fldChar w:fldCharType="separate"/>
      </w:r>
      <w:r>
        <w:rPr>
          <w:rFonts w:hint="eastAsia" w:ascii="微软雅黑" w:hAnsi="微软雅黑" w:eastAsia="微软雅黑" w:cs="微软雅黑"/>
        </w:rPr>
        <w:t>- 12 -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6"/>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_Toc16678 </w:instrText>
      </w:r>
      <w:r>
        <w:rPr>
          <w:rFonts w:hint="eastAsia" w:ascii="微软雅黑" w:hAnsi="微软雅黑" w:eastAsia="微软雅黑" w:cs="微软雅黑"/>
          <w:szCs w:val="24"/>
        </w:rPr>
        <w:fldChar w:fldCharType="separate"/>
      </w:r>
      <w:r>
        <w:rPr>
          <w:rFonts w:hint="eastAsia" w:ascii="微软雅黑" w:hAnsi="微软雅黑" w:eastAsia="微软雅黑" w:cs="微软雅黑"/>
          <w:lang w:val="en-US" w:eastAsia="zh-CN"/>
        </w:rPr>
        <w:t>五</w:t>
      </w:r>
      <w:r>
        <w:rPr>
          <w:rFonts w:hint="eastAsia" w:ascii="微软雅黑" w:hAnsi="微软雅黑" w:eastAsia="微软雅黑" w:cs="微软雅黑"/>
        </w:rPr>
        <w:t>、无效响应</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_Toc16678 \h </w:instrText>
      </w:r>
      <w:r>
        <w:rPr>
          <w:rFonts w:hint="eastAsia" w:ascii="微软雅黑" w:hAnsi="微软雅黑" w:eastAsia="微软雅黑" w:cs="微软雅黑"/>
        </w:rPr>
        <w:fldChar w:fldCharType="separate"/>
      </w:r>
      <w:r>
        <w:rPr>
          <w:rFonts w:hint="eastAsia" w:ascii="微软雅黑" w:hAnsi="微软雅黑" w:eastAsia="微软雅黑" w:cs="微软雅黑"/>
        </w:rPr>
        <w:t>- 14 -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6"/>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_Toc8566 </w:instrText>
      </w:r>
      <w:r>
        <w:rPr>
          <w:rFonts w:hint="eastAsia" w:ascii="微软雅黑" w:hAnsi="微软雅黑" w:eastAsia="微软雅黑" w:cs="微软雅黑"/>
          <w:szCs w:val="24"/>
        </w:rPr>
        <w:fldChar w:fldCharType="separate"/>
      </w:r>
      <w:r>
        <w:rPr>
          <w:rFonts w:hint="eastAsia" w:ascii="微软雅黑" w:hAnsi="微软雅黑" w:eastAsia="微软雅黑" w:cs="微软雅黑"/>
          <w:lang w:val="en-US" w:eastAsia="zh-CN"/>
        </w:rPr>
        <w:t>六</w:t>
      </w:r>
      <w:r>
        <w:rPr>
          <w:rFonts w:hint="eastAsia" w:ascii="微软雅黑" w:hAnsi="微软雅黑" w:eastAsia="微软雅黑" w:cs="微软雅黑"/>
        </w:rPr>
        <w:t>、</w:t>
      </w:r>
      <w:r>
        <w:rPr>
          <w:rFonts w:hint="eastAsia" w:ascii="微软雅黑" w:hAnsi="微软雅黑" w:eastAsia="微软雅黑" w:cs="微软雅黑"/>
          <w:lang w:val="en-US" w:eastAsia="zh-CN"/>
        </w:rPr>
        <w:t>废标条款</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_Toc8566 \h </w:instrText>
      </w:r>
      <w:r>
        <w:rPr>
          <w:rFonts w:hint="eastAsia" w:ascii="微软雅黑" w:hAnsi="微软雅黑" w:eastAsia="微软雅黑" w:cs="微软雅黑"/>
        </w:rPr>
        <w:fldChar w:fldCharType="separate"/>
      </w:r>
      <w:r>
        <w:rPr>
          <w:rFonts w:hint="eastAsia" w:ascii="微软雅黑" w:hAnsi="微软雅黑" w:eastAsia="微软雅黑" w:cs="微软雅黑"/>
        </w:rPr>
        <w:t>- 15 -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6"/>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_Toc9806 </w:instrText>
      </w:r>
      <w:r>
        <w:rPr>
          <w:rFonts w:hint="eastAsia" w:ascii="微软雅黑" w:hAnsi="微软雅黑" w:eastAsia="微软雅黑" w:cs="微软雅黑"/>
          <w:szCs w:val="24"/>
        </w:rPr>
        <w:fldChar w:fldCharType="separate"/>
      </w:r>
      <w:r>
        <w:rPr>
          <w:rFonts w:hint="eastAsia" w:ascii="微软雅黑" w:hAnsi="微软雅黑" w:eastAsia="微软雅黑" w:cs="微软雅黑"/>
          <w:bCs w:val="0"/>
          <w:szCs w:val="20"/>
        </w:rPr>
        <w:t xml:space="preserve">第五篇  </w:t>
      </w:r>
      <w:r>
        <w:rPr>
          <w:rFonts w:hint="eastAsia" w:ascii="微软雅黑" w:hAnsi="微软雅黑" w:eastAsia="微软雅黑" w:cs="微软雅黑"/>
          <w:bCs w:val="0"/>
          <w:szCs w:val="20"/>
          <w:lang w:eastAsia="zh-CN"/>
        </w:rPr>
        <w:t>投标人</w:t>
      </w:r>
      <w:r>
        <w:rPr>
          <w:rFonts w:hint="eastAsia" w:ascii="微软雅黑" w:hAnsi="微软雅黑" w:eastAsia="微软雅黑" w:cs="微软雅黑"/>
          <w:bCs w:val="0"/>
          <w:szCs w:val="20"/>
        </w:rPr>
        <w:t>须知</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_Toc9806 \h </w:instrText>
      </w:r>
      <w:r>
        <w:rPr>
          <w:rFonts w:hint="eastAsia" w:ascii="微软雅黑" w:hAnsi="微软雅黑" w:eastAsia="微软雅黑" w:cs="微软雅黑"/>
        </w:rPr>
        <w:fldChar w:fldCharType="separate"/>
      </w:r>
      <w:r>
        <w:rPr>
          <w:rFonts w:hint="eastAsia" w:ascii="微软雅黑" w:hAnsi="微软雅黑" w:eastAsia="微软雅黑" w:cs="微软雅黑"/>
        </w:rPr>
        <w:t>- 16 -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6"/>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_Toc10013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一、</w:t>
      </w:r>
      <w:r>
        <w:rPr>
          <w:rFonts w:hint="eastAsia" w:ascii="微软雅黑" w:hAnsi="微软雅黑" w:eastAsia="微软雅黑" w:cs="微软雅黑"/>
          <w:lang w:val="en-US" w:eastAsia="zh-CN"/>
        </w:rPr>
        <w:t>公开比选</w:t>
      </w:r>
      <w:r>
        <w:rPr>
          <w:rFonts w:hint="eastAsia" w:ascii="微软雅黑" w:hAnsi="微软雅黑" w:eastAsia="微软雅黑" w:cs="微软雅黑"/>
        </w:rPr>
        <w:t>费用</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_Toc10013 \h </w:instrText>
      </w:r>
      <w:r>
        <w:rPr>
          <w:rFonts w:hint="eastAsia" w:ascii="微软雅黑" w:hAnsi="微软雅黑" w:eastAsia="微软雅黑" w:cs="微软雅黑"/>
        </w:rPr>
        <w:fldChar w:fldCharType="separate"/>
      </w:r>
      <w:r>
        <w:rPr>
          <w:rFonts w:hint="eastAsia" w:ascii="微软雅黑" w:hAnsi="微软雅黑" w:eastAsia="微软雅黑" w:cs="微软雅黑"/>
        </w:rPr>
        <w:t>- 16 -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6"/>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_Toc13469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二、</w:t>
      </w:r>
      <w:r>
        <w:rPr>
          <w:rFonts w:hint="eastAsia" w:ascii="微软雅黑" w:hAnsi="微软雅黑" w:eastAsia="微软雅黑" w:cs="微软雅黑"/>
          <w:lang w:val="en-US" w:eastAsia="zh-CN"/>
        </w:rPr>
        <w:t>公开比选采购</w:t>
      </w:r>
      <w:r>
        <w:rPr>
          <w:rFonts w:hint="eastAsia" w:ascii="微软雅黑" w:hAnsi="微软雅黑" w:eastAsia="微软雅黑" w:cs="微软雅黑"/>
        </w:rPr>
        <w:t>文件</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_Toc13469 \h </w:instrText>
      </w:r>
      <w:r>
        <w:rPr>
          <w:rFonts w:hint="eastAsia" w:ascii="微软雅黑" w:hAnsi="微软雅黑" w:eastAsia="微软雅黑" w:cs="微软雅黑"/>
        </w:rPr>
        <w:fldChar w:fldCharType="separate"/>
      </w:r>
      <w:r>
        <w:rPr>
          <w:rFonts w:hint="eastAsia" w:ascii="微软雅黑" w:hAnsi="微软雅黑" w:eastAsia="微软雅黑" w:cs="微软雅黑"/>
        </w:rPr>
        <w:t>- 16 -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6"/>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_Toc25225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三、</w:t>
      </w:r>
      <w:r>
        <w:rPr>
          <w:rFonts w:hint="eastAsia" w:ascii="微软雅黑" w:hAnsi="微软雅黑" w:eastAsia="微软雅黑" w:cs="微软雅黑"/>
          <w:lang w:val="en-US" w:eastAsia="zh-CN"/>
        </w:rPr>
        <w:t>比选</w:t>
      </w:r>
      <w:r>
        <w:rPr>
          <w:rFonts w:hint="eastAsia" w:ascii="微软雅黑" w:hAnsi="微软雅黑" w:eastAsia="微软雅黑" w:cs="微软雅黑"/>
        </w:rPr>
        <w:t>要求</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_Toc25225 \h </w:instrText>
      </w:r>
      <w:r>
        <w:rPr>
          <w:rFonts w:hint="eastAsia" w:ascii="微软雅黑" w:hAnsi="微软雅黑" w:eastAsia="微软雅黑" w:cs="微软雅黑"/>
        </w:rPr>
        <w:fldChar w:fldCharType="separate"/>
      </w:r>
      <w:r>
        <w:rPr>
          <w:rFonts w:hint="eastAsia" w:ascii="微软雅黑" w:hAnsi="微软雅黑" w:eastAsia="微软雅黑" w:cs="微软雅黑"/>
        </w:rPr>
        <w:t>- 16 -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6"/>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_Toc750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四、</w:t>
      </w:r>
      <w:r>
        <w:rPr>
          <w:rFonts w:hint="eastAsia" w:ascii="微软雅黑" w:hAnsi="微软雅黑" w:eastAsia="微软雅黑" w:cs="微软雅黑"/>
          <w:lang w:eastAsia="zh-CN"/>
        </w:rPr>
        <w:t>中标人</w:t>
      </w:r>
      <w:r>
        <w:rPr>
          <w:rFonts w:hint="eastAsia" w:ascii="微软雅黑" w:hAnsi="微软雅黑" w:eastAsia="微软雅黑" w:cs="微软雅黑"/>
        </w:rPr>
        <w:t>的确认和变更</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_Toc750 \h </w:instrText>
      </w:r>
      <w:r>
        <w:rPr>
          <w:rFonts w:hint="eastAsia" w:ascii="微软雅黑" w:hAnsi="微软雅黑" w:eastAsia="微软雅黑" w:cs="微软雅黑"/>
        </w:rPr>
        <w:fldChar w:fldCharType="separate"/>
      </w:r>
      <w:r>
        <w:rPr>
          <w:rFonts w:hint="eastAsia" w:ascii="微软雅黑" w:hAnsi="微软雅黑" w:eastAsia="微软雅黑" w:cs="微软雅黑"/>
        </w:rPr>
        <w:t>- 17 -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6"/>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_Toc23280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五、成交通知</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_Toc23280 \h </w:instrText>
      </w:r>
      <w:r>
        <w:rPr>
          <w:rFonts w:hint="eastAsia" w:ascii="微软雅黑" w:hAnsi="微软雅黑" w:eastAsia="微软雅黑" w:cs="微软雅黑"/>
        </w:rPr>
        <w:fldChar w:fldCharType="separate"/>
      </w:r>
      <w:r>
        <w:rPr>
          <w:rFonts w:hint="eastAsia" w:ascii="微软雅黑" w:hAnsi="微软雅黑" w:eastAsia="微软雅黑" w:cs="微软雅黑"/>
        </w:rPr>
        <w:t>- 17 -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6"/>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_Toc16455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六、质疑</w:t>
      </w:r>
      <w:r>
        <w:rPr>
          <w:rFonts w:hint="eastAsia" w:ascii="微软雅黑" w:hAnsi="微软雅黑" w:eastAsia="微软雅黑" w:cs="微软雅黑"/>
          <w:lang w:val="en-US" w:eastAsia="zh-CN"/>
        </w:rPr>
        <w:t>处理</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_Toc16455 \h </w:instrText>
      </w:r>
      <w:r>
        <w:rPr>
          <w:rFonts w:hint="eastAsia" w:ascii="微软雅黑" w:hAnsi="微软雅黑" w:eastAsia="微软雅黑" w:cs="微软雅黑"/>
        </w:rPr>
        <w:fldChar w:fldCharType="separate"/>
      </w:r>
      <w:r>
        <w:rPr>
          <w:rFonts w:hint="eastAsia" w:ascii="微软雅黑" w:hAnsi="微软雅黑" w:eastAsia="微软雅黑" w:cs="微软雅黑"/>
        </w:rPr>
        <w:t>- 17 -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6"/>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_Toc7979 </w:instrText>
      </w:r>
      <w:r>
        <w:rPr>
          <w:rFonts w:hint="eastAsia" w:ascii="微软雅黑" w:hAnsi="微软雅黑" w:eastAsia="微软雅黑" w:cs="微软雅黑"/>
          <w:szCs w:val="24"/>
        </w:rPr>
        <w:fldChar w:fldCharType="separate"/>
      </w:r>
      <w:r>
        <w:rPr>
          <w:rFonts w:hint="eastAsia" w:ascii="微软雅黑" w:hAnsi="微软雅黑" w:eastAsia="微软雅黑" w:cs="微软雅黑"/>
        </w:rPr>
        <w:t>七、签订合同</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_Toc7979 \h </w:instrText>
      </w:r>
      <w:r>
        <w:rPr>
          <w:rFonts w:hint="eastAsia" w:ascii="微软雅黑" w:hAnsi="微软雅黑" w:eastAsia="微软雅黑" w:cs="微软雅黑"/>
        </w:rPr>
        <w:fldChar w:fldCharType="separate"/>
      </w:r>
      <w:r>
        <w:rPr>
          <w:rFonts w:hint="eastAsia" w:ascii="微软雅黑" w:hAnsi="微软雅黑" w:eastAsia="微软雅黑" w:cs="微软雅黑"/>
        </w:rPr>
        <w:t>- 18 -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6"/>
        <w:tabs>
          <w:tab w:val="right" w:leader="dot" w:pos="9412"/>
        </w:tabs>
        <w:rPr>
          <w:rFonts w:hint="eastAsia" w:ascii="微软雅黑" w:hAnsi="微软雅黑" w:eastAsia="微软雅黑" w:cs="微软雅黑"/>
        </w:rPr>
      </w:pPr>
      <w:r>
        <w:rPr>
          <w:rFonts w:hint="eastAsia" w:ascii="微软雅黑" w:hAnsi="微软雅黑" w:eastAsia="微软雅黑" w:cs="微软雅黑"/>
          <w:szCs w:val="24"/>
        </w:rPr>
        <w:fldChar w:fldCharType="begin"/>
      </w:r>
      <w:r>
        <w:rPr>
          <w:rFonts w:hint="eastAsia" w:ascii="微软雅黑" w:hAnsi="微软雅黑" w:eastAsia="微软雅黑" w:cs="微软雅黑"/>
          <w:szCs w:val="24"/>
        </w:rPr>
        <w:instrText xml:space="preserve"> HYPERLINK \l _Toc3379 </w:instrText>
      </w:r>
      <w:r>
        <w:rPr>
          <w:rFonts w:hint="eastAsia" w:ascii="微软雅黑" w:hAnsi="微软雅黑" w:eastAsia="微软雅黑" w:cs="微软雅黑"/>
          <w:szCs w:val="24"/>
        </w:rPr>
        <w:fldChar w:fldCharType="separate"/>
      </w:r>
      <w:r>
        <w:rPr>
          <w:rFonts w:hint="eastAsia" w:ascii="微软雅黑" w:hAnsi="微软雅黑" w:eastAsia="微软雅黑" w:cs="微软雅黑"/>
          <w:szCs w:val="20"/>
        </w:rPr>
        <w:t>第六篇  响应文件编制要求</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_Toc3379 \h </w:instrText>
      </w:r>
      <w:r>
        <w:rPr>
          <w:rFonts w:hint="eastAsia" w:ascii="微软雅黑" w:hAnsi="微软雅黑" w:eastAsia="微软雅黑" w:cs="微软雅黑"/>
        </w:rPr>
        <w:fldChar w:fldCharType="separate"/>
      </w:r>
      <w:r>
        <w:rPr>
          <w:rFonts w:hint="eastAsia" w:ascii="微软雅黑" w:hAnsi="微软雅黑" w:eastAsia="微软雅黑" w:cs="微软雅黑"/>
        </w:rPr>
        <w:t>- 19 -</w:t>
      </w:r>
      <w:r>
        <w:rPr>
          <w:rFonts w:hint="eastAsia" w:ascii="微软雅黑" w:hAnsi="微软雅黑" w:eastAsia="微软雅黑" w:cs="微软雅黑"/>
        </w:rPr>
        <w:fldChar w:fldCharType="end"/>
      </w:r>
      <w:r>
        <w:rPr>
          <w:rFonts w:hint="eastAsia" w:ascii="微软雅黑" w:hAnsi="微软雅黑" w:eastAsia="微软雅黑" w:cs="微软雅黑"/>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24"/>
          <w:szCs w:val="24"/>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 w:val="24"/>
          <w:szCs w:val="24"/>
        </w:rPr>
        <w:fldChar w:fldCharType="end"/>
      </w:r>
    </w:p>
    <w:p>
      <w:pPr>
        <w:pStyle w:val="4"/>
        <w:spacing w:before="200" w:after="200" w:line="240" w:lineRule="auto"/>
        <w:jc w:val="center"/>
        <w:rPr>
          <w:rFonts w:hint="eastAsia" w:ascii="微软雅黑" w:hAnsi="微软雅黑" w:eastAsia="微软雅黑" w:cs="微软雅黑"/>
          <w:b/>
          <w:sz w:val="44"/>
          <w:szCs w:val="20"/>
        </w:rPr>
      </w:pPr>
      <w:bookmarkStart w:id="0" w:name="_Toc106030870"/>
      <w:bookmarkStart w:id="1" w:name="_Toc11641050"/>
      <w:bookmarkStart w:id="2" w:name="_Toc10131"/>
      <w:bookmarkStart w:id="3" w:name="_Toc24037"/>
      <w:bookmarkStart w:id="4" w:name="_Toc11153"/>
      <w:bookmarkStart w:id="5" w:name="_Toc76462316"/>
      <w:bookmarkStart w:id="6" w:name="_Toc12789052"/>
      <w:r>
        <w:rPr>
          <w:rFonts w:hint="eastAsia" w:ascii="微软雅黑" w:hAnsi="微软雅黑" w:eastAsia="微软雅黑" w:cs="微软雅黑"/>
          <w:b/>
          <w:sz w:val="44"/>
          <w:szCs w:val="20"/>
        </w:rPr>
        <w:t>第一篇  采购邀请书</w:t>
      </w:r>
      <w:bookmarkEnd w:id="0"/>
      <w:bookmarkEnd w:id="1"/>
      <w:bookmarkEnd w:id="2"/>
      <w:bookmarkEnd w:id="3"/>
      <w:bookmarkEnd w:id="4"/>
      <w:bookmarkEnd w:id="5"/>
      <w:bookmarkEnd w:id="6"/>
    </w:p>
    <w:p>
      <w:pPr>
        <w:snapToGrid/>
        <w:spacing w:line="240" w:lineRule="auto"/>
        <w:ind w:firstLine="0" w:firstLineChars="0"/>
        <w:rPr>
          <w:rFonts w:hint="eastAsia" w:ascii="微软雅黑" w:hAnsi="微软雅黑" w:eastAsia="微软雅黑" w:cs="微软雅黑"/>
          <w:sz w:val="28"/>
          <w:szCs w:val="20"/>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lang w:val="en-US" w:eastAsia="zh-CN"/>
        </w:rPr>
        <w:t>委托招标代理机构遴选（工程）</w:t>
      </w:r>
      <w:r>
        <w:rPr>
          <w:rFonts w:hint="eastAsia" w:ascii="微软雅黑" w:hAnsi="微软雅黑" w:eastAsia="微软雅黑" w:cs="微软雅黑"/>
          <w:sz w:val="24"/>
          <w:szCs w:val="24"/>
        </w:rPr>
        <w:t>项目进行</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采购。欢迎有资格的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前来</w:t>
      </w:r>
      <w:r>
        <w:rPr>
          <w:rFonts w:hint="eastAsia" w:ascii="微软雅黑" w:hAnsi="微软雅黑" w:eastAsia="微软雅黑" w:cs="微软雅黑"/>
          <w:sz w:val="24"/>
          <w:szCs w:val="24"/>
          <w:lang w:val="en-US" w:eastAsia="zh-CN"/>
        </w:rPr>
        <w:t>参与</w:t>
      </w:r>
      <w:r>
        <w:rPr>
          <w:rFonts w:hint="eastAsia" w:ascii="微软雅黑" w:hAnsi="微软雅黑" w:eastAsia="微软雅黑" w:cs="微软雅黑"/>
          <w:sz w:val="24"/>
          <w:szCs w:val="24"/>
        </w:rPr>
        <w:t>。</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7" w:name="_Toc313893526"/>
      <w:bookmarkStart w:id="8" w:name="_Toc317775175"/>
      <w:bookmarkStart w:id="9" w:name="_Toc106030871"/>
      <w:bookmarkStart w:id="10" w:name="_Toc3856"/>
      <w:bookmarkStart w:id="11" w:name="_Toc76462317"/>
      <w:bookmarkStart w:id="12" w:name="_Toc12721"/>
      <w:bookmarkStart w:id="13" w:name="_Toc22314"/>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内容</w:t>
      </w:r>
      <w:bookmarkEnd w:id="7"/>
      <w:bookmarkEnd w:id="8"/>
      <w:bookmarkEnd w:id="9"/>
      <w:bookmarkEnd w:id="10"/>
      <w:bookmarkEnd w:id="11"/>
      <w:bookmarkEnd w:id="12"/>
      <w:bookmarkEnd w:id="13"/>
    </w:p>
    <w:tbl>
      <w:tblPr>
        <w:tblStyle w:val="57"/>
        <w:tblW w:w="53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0"/>
        <w:gridCol w:w="2325"/>
        <w:gridCol w:w="3750"/>
        <w:gridCol w:w="990"/>
        <w:gridCol w:w="1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783" w:type="pct"/>
            <w:tcBorders>
              <w:top w:val="single" w:color="auto" w:sz="4" w:space="0"/>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bookmarkStart w:id="14" w:name="_Toc76462318"/>
            <w:bookmarkStart w:id="15" w:name="_Toc106030872"/>
            <w:bookmarkStart w:id="16" w:name="_Toc9755"/>
            <w:bookmarkStart w:id="17" w:name="_Toc30334"/>
            <w:bookmarkStart w:id="18" w:name="_Toc373860293"/>
            <w:bookmarkStart w:id="19" w:name="_Toc317775178"/>
            <w:r>
              <w:rPr>
                <w:rFonts w:hint="eastAsia" w:ascii="微软雅黑" w:hAnsi="微软雅黑" w:eastAsia="微软雅黑" w:cs="微软雅黑"/>
                <w:b/>
                <w:bCs/>
                <w:kern w:val="0"/>
                <w:sz w:val="21"/>
                <w:szCs w:val="24"/>
              </w:rPr>
              <w:t>项目编号</w:t>
            </w:r>
          </w:p>
        </w:tc>
        <w:tc>
          <w:tcPr>
            <w:tcW w:w="1167" w:type="pct"/>
            <w:tcBorders>
              <w:top w:val="single" w:color="auto" w:sz="4" w:space="0"/>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1882" w:type="pct"/>
            <w:tcBorders>
              <w:top w:val="single" w:color="auto" w:sz="4" w:space="0"/>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val="en-US" w:eastAsia="zh-CN"/>
              </w:rPr>
              <w:t>最高限价</w:t>
            </w:r>
          </w:p>
        </w:tc>
        <w:tc>
          <w:tcPr>
            <w:tcW w:w="496" w:type="pct"/>
            <w:tcBorders>
              <w:top w:val="single" w:color="auto" w:sz="4" w:space="0"/>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670" w:type="pct"/>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783"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微软雅黑" w:hAnsi="微软雅黑" w:eastAsia="微软雅黑" w:cs="微软雅黑"/>
                <w:kern w:val="0"/>
                <w:sz w:val="21"/>
                <w:szCs w:val="24"/>
                <w:lang w:val="en-US" w:eastAsia="zh-CN"/>
              </w:rPr>
            </w:pPr>
            <w:r>
              <w:rPr>
                <w:rFonts w:hint="eastAsia" w:ascii="微软雅黑" w:hAnsi="微软雅黑" w:eastAsia="微软雅黑" w:cs="微软雅黑"/>
                <w:kern w:val="0"/>
                <w:sz w:val="21"/>
                <w:szCs w:val="24"/>
                <w:lang w:val="en-US" w:eastAsia="zh-CN"/>
              </w:rPr>
              <w:t>YCG260213</w:t>
            </w:r>
          </w:p>
        </w:tc>
        <w:tc>
          <w:tcPr>
            <w:tcW w:w="1167"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b w:val="0"/>
                <w:bCs/>
                <w:sz w:val="21"/>
                <w:szCs w:val="21"/>
                <w:lang w:val="en-US" w:eastAsia="zh-CN"/>
              </w:rPr>
              <w:t>委托招标代理机构遴选（工程）</w:t>
            </w:r>
          </w:p>
        </w:tc>
        <w:tc>
          <w:tcPr>
            <w:tcW w:w="1882"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b w:val="0"/>
                <w:bCs/>
                <w:sz w:val="21"/>
                <w:szCs w:val="21"/>
                <w:lang w:val="en-US" w:eastAsia="zh-CN"/>
              </w:rPr>
            </w:pPr>
            <w:r>
              <w:rPr>
                <w:rFonts w:hint="eastAsia" w:ascii="微软雅黑" w:hAnsi="微软雅黑" w:eastAsia="微软雅黑" w:cs="微软雅黑"/>
                <w:b w:val="0"/>
                <w:bCs/>
                <w:sz w:val="21"/>
                <w:szCs w:val="21"/>
                <w:lang w:val="en-US" w:eastAsia="zh-CN"/>
              </w:rPr>
              <w:t>招标项目中标公告后由项目中标人全额支付单次代理服务费用，所有项目具体代理费收取标准均参考渝招投协〔2015〕11号重庆市招标投标协会关于印发《重庆市招标代理服务规范（试行）》的通知规定按下列标准执行，投标人按收取标准的百分比报价（无最低收费限制），最高限价60%。</w:t>
            </w:r>
          </w:p>
        </w:tc>
        <w:tc>
          <w:tcPr>
            <w:tcW w:w="496"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2000</w:t>
            </w:r>
          </w:p>
        </w:tc>
        <w:tc>
          <w:tcPr>
            <w:tcW w:w="670"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0" w:name="_Toc27154"/>
      <w:r>
        <w:rPr>
          <w:rFonts w:hint="eastAsia" w:ascii="微软雅黑" w:hAnsi="微软雅黑" w:eastAsia="微软雅黑" w:cs="微软雅黑"/>
          <w:sz w:val="24"/>
        </w:rPr>
        <w:t>二、</w:t>
      </w:r>
      <w:bookmarkEnd w:id="14"/>
      <w:bookmarkEnd w:id="15"/>
      <w:bookmarkEnd w:id="16"/>
      <w:bookmarkStart w:id="21" w:name="_Toc4480"/>
      <w:bookmarkStart w:id="22" w:name="_Toc76462319"/>
      <w:bookmarkStart w:id="23" w:name="_Toc106030873"/>
      <w:r>
        <w:rPr>
          <w:rFonts w:hint="eastAsia" w:ascii="微软雅黑" w:hAnsi="微软雅黑" w:eastAsia="微软雅黑" w:cs="微软雅黑"/>
          <w:sz w:val="24"/>
          <w:lang w:val="en-US" w:eastAsia="zh-CN"/>
        </w:rPr>
        <w:t>投标人</w:t>
      </w:r>
      <w:r>
        <w:rPr>
          <w:rFonts w:hint="eastAsia" w:ascii="微软雅黑" w:hAnsi="微软雅黑" w:eastAsia="微软雅黑" w:cs="微软雅黑"/>
          <w:sz w:val="24"/>
        </w:rPr>
        <w:t>资格条件</w:t>
      </w:r>
      <w:bookmarkEnd w:id="17"/>
      <w:bookmarkEnd w:id="20"/>
      <w:bookmarkEnd w:id="21"/>
      <w:bookmarkEnd w:id="22"/>
      <w:bookmarkEnd w:id="23"/>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（二）本项目的特定资格要求：投标人须为重庆市公共资源交易平台登记代理机构（重庆市公共资源交易网截图证明）。</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4" w:name="_Toc16756"/>
      <w:bookmarkStart w:id="25" w:name="_Toc106030874"/>
      <w:bookmarkStart w:id="26" w:name="_Toc76462320"/>
      <w:bookmarkStart w:id="27" w:name="_Toc27954"/>
      <w:bookmarkStart w:id="28" w:name="_Toc12821"/>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有关说明</w:t>
      </w:r>
      <w:bookmarkEnd w:id="18"/>
      <w:bookmarkEnd w:id="24"/>
      <w:bookmarkEnd w:id="25"/>
      <w:bookmarkEnd w:id="26"/>
      <w:bookmarkEnd w:id="27"/>
      <w:bookmarkEnd w:id="28"/>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，请在重庆医科大学附属儿童医院电子招投标平台下载本项目</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文件以及其他所有项目资料，无论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下载与否，均视为已知晓所有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w:t>
      </w:r>
      <w:r>
        <w:rPr>
          <w:rFonts w:hint="eastAsia" w:ascii="微软雅黑" w:hAnsi="微软雅黑" w:eastAsia="微软雅黑" w:cs="微软雅黑"/>
          <w:color w:val="auto"/>
          <w:sz w:val="24"/>
          <w:szCs w:val="24"/>
          <w:lang w:val="en-US" w:eastAsia="zh-CN"/>
        </w:rPr>
        <w:t>投标人须</w:t>
      </w:r>
      <w:r>
        <w:rPr>
          <w:rFonts w:hint="eastAsia" w:ascii="微软雅黑" w:hAnsi="微软雅黑" w:eastAsia="微软雅黑" w:cs="微软雅黑"/>
          <w:color w:val="auto"/>
          <w:sz w:val="24"/>
          <w:szCs w:val="24"/>
        </w:rPr>
        <w:t>在</w:t>
      </w:r>
      <w:r>
        <w:rPr>
          <w:rFonts w:hint="eastAsia" w:ascii="微软雅黑" w:hAnsi="微软雅黑" w:eastAsia="微软雅黑" w:cs="微软雅黑"/>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9" w:name="_Toc106034625"/>
      <w:bookmarkStart w:id="30" w:name="_Toc65660334"/>
      <w:bookmarkStart w:id="31" w:name="_Toc6178"/>
      <w:bookmarkStart w:id="32" w:name="_Toc525047161"/>
      <w:bookmarkStart w:id="33" w:name="_Toc29385"/>
      <w:bookmarkStart w:id="34" w:name="_Toc11956"/>
      <w:bookmarkStart w:id="35" w:name="_Toc27570"/>
      <w:bookmarkStart w:id="36" w:name="_Toc521053053"/>
      <w:bookmarkStart w:id="37" w:name="_Toc12841"/>
      <w:r>
        <w:rPr>
          <w:rFonts w:hint="eastAsia" w:ascii="微软雅黑" w:hAnsi="微软雅黑" w:eastAsia="微软雅黑" w:cs="微软雅黑"/>
          <w:sz w:val="24"/>
        </w:rPr>
        <w:t>四、保证金</w:t>
      </w:r>
      <w:bookmarkEnd w:id="29"/>
      <w:bookmarkEnd w:id="30"/>
      <w:bookmarkEnd w:id="31"/>
      <w:bookmarkEnd w:id="32"/>
      <w:bookmarkEnd w:id="33"/>
      <w:bookmarkEnd w:id="34"/>
      <w:bookmarkEnd w:id="35"/>
      <w:bookmarkEnd w:id="36"/>
      <w:bookmarkEnd w:id="37"/>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4"/>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应足额交纳保证金（保证金金额详见本篇，一、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内容），并通过银行转账的方式直接转入重庆医科大学附属儿童医院对公账户</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lang w:val="en-US" w:eastAsia="zh-CN"/>
        </w:rPr>
        <w:t>单位：重庆医科大学附属儿童医院，开户行：中国建设银行股份有限公司重庆渝中区观音岩支行，账号：50050101380000000168</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rPr>
        <w:t>并备注项目编号、项目名称（例：YXX220001服务器项目投标保证金），交纳凭据须在重庆医科大学附属儿童医院电子招投标平台报名过程中上传。</w:t>
      </w:r>
    </w:p>
    <w:p>
      <w:pPr>
        <w:pStyle w:val="34"/>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2.各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w:t>
      </w:r>
      <w:r>
        <w:rPr>
          <w:rFonts w:hint="eastAsia" w:ascii="微软雅黑" w:hAnsi="微软雅黑" w:eastAsia="微软雅黑" w:cs="微软雅黑"/>
          <w:sz w:val="24"/>
          <w:szCs w:val="24"/>
          <w:lang w:eastAsia="zh-CN"/>
        </w:rPr>
        <w:t>中标</w:t>
      </w:r>
      <w:r>
        <w:rPr>
          <w:rFonts w:hint="eastAsia" w:ascii="微软雅黑" w:hAnsi="微软雅黑" w:eastAsia="微软雅黑" w:cs="微软雅黑"/>
          <w:sz w:val="24"/>
          <w:szCs w:val="24"/>
          <w:lang w:val="en-US" w:eastAsia="zh-CN"/>
        </w:rPr>
        <w:t>公示发布</w:t>
      </w:r>
      <w:r>
        <w:rPr>
          <w:rFonts w:hint="eastAsia" w:ascii="微软雅黑" w:hAnsi="微软雅黑" w:eastAsia="微软雅黑" w:cs="微软雅黑"/>
          <w:sz w:val="24"/>
          <w:szCs w:val="24"/>
        </w:rPr>
        <w:t>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w:t>
      </w:r>
      <w:r>
        <w:rPr>
          <w:rFonts w:hint="eastAsia" w:ascii="微软雅黑" w:hAnsi="微软雅黑" w:eastAsia="微软雅黑" w:cs="微软雅黑"/>
          <w:color w:val="auto"/>
          <w:sz w:val="24"/>
          <w:szCs w:val="24"/>
        </w:rPr>
        <w:t>写</w:t>
      </w:r>
      <w:r>
        <w:rPr>
          <w:rFonts w:hint="eastAsia" w:ascii="微软雅黑" w:hAnsi="微软雅黑" w:eastAsia="微软雅黑" w:cs="微软雅黑"/>
          <w:color w:val="auto"/>
          <w:sz w:val="24"/>
          <w:szCs w:val="24"/>
          <w:lang w:val="en-US" w:eastAsia="zh-CN"/>
        </w:rPr>
        <w:t>指定的</w:t>
      </w:r>
      <w:r>
        <w:rPr>
          <w:rFonts w:hint="eastAsia" w:ascii="微软雅黑" w:hAnsi="微软雅黑" w:eastAsia="微软雅黑" w:cs="微软雅黑"/>
          <w:sz w:val="24"/>
          <w:szCs w:val="24"/>
        </w:rPr>
        <w:t>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w:t>
      </w:r>
      <w:r>
        <w:rPr>
          <w:rFonts w:hint="eastAsia" w:ascii="微软雅黑" w:hAnsi="微软雅黑" w:eastAsia="微软雅黑" w:cs="微软雅黑"/>
          <w:sz w:val="24"/>
          <w:szCs w:val="24"/>
          <w:lang w:val="en-US" w:eastAsia="zh-CN"/>
        </w:rPr>
        <w:t>内</w:t>
      </w:r>
      <w:r>
        <w:rPr>
          <w:rFonts w:hint="eastAsia" w:ascii="微软雅黑" w:hAnsi="微软雅黑" w:eastAsia="微软雅黑" w:cs="微软雅黑"/>
          <w:sz w:val="24"/>
          <w:szCs w:val="24"/>
        </w:rPr>
        <w:t>，无息退还至项目报名时所填写的投标单位对公账户。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8" w:name="_Toc2945"/>
      <w:bookmarkStart w:id="39" w:name="_Toc525047162"/>
      <w:bookmarkStart w:id="40" w:name="_Toc4355"/>
      <w:bookmarkStart w:id="41" w:name="_Toc65660335"/>
      <w:bookmarkStart w:id="42" w:name="_Toc521053054"/>
      <w:bookmarkStart w:id="43" w:name="_Toc106034626"/>
      <w:bookmarkStart w:id="44" w:name="_Toc1530"/>
      <w:bookmarkStart w:id="45" w:name="_Toc1546"/>
      <w:bookmarkStart w:id="46" w:name="_Toc21937"/>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w:t>
      </w:r>
      <w:bookmarkEnd w:id="38"/>
      <w:bookmarkEnd w:id="39"/>
      <w:bookmarkEnd w:id="40"/>
      <w:bookmarkEnd w:id="41"/>
      <w:bookmarkEnd w:id="42"/>
      <w:bookmarkEnd w:id="43"/>
      <w:bookmarkStart w:id="47" w:name="_Toc6563"/>
      <w:bookmarkStart w:id="48" w:name="_Toc521053055"/>
      <w:bookmarkStart w:id="49" w:name="_Toc525047163"/>
      <w:bookmarkStart w:id="50" w:name="_Toc65660336"/>
      <w:bookmarkStart w:id="51" w:name="_Toc106034627"/>
      <w:bookmarkStart w:id="52" w:name="_Toc16269"/>
      <w:r>
        <w:rPr>
          <w:rFonts w:hint="eastAsia" w:ascii="微软雅黑" w:hAnsi="微软雅黑" w:eastAsia="微软雅黑" w:cs="微软雅黑"/>
          <w:sz w:val="24"/>
        </w:rPr>
        <w:t>其它</w:t>
      </w:r>
      <w:bookmarkEnd w:id="44"/>
      <w:bookmarkEnd w:id="45"/>
      <w:bookmarkEnd w:id="46"/>
      <w:bookmarkEnd w:id="47"/>
      <w:bookmarkEnd w:id="48"/>
      <w:bookmarkEnd w:id="49"/>
      <w:bookmarkEnd w:id="50"/>
      <w:bookmarkEnd w:id="51"/>
      <w:bookmarkEnd w:id="52"/>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文件有任何实质性疑问，应当以书面形式向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提出质疑，并须将该质疑文件纸质版（须加盖提出质疑单位的公章确认）在</w:t>
      </w:r>
      <w:r>
        <w:rPr>
          <w:rFonts w:hint="eastAsia" w:ascii="微软雅黑" w:hAnsi="微软雅黑" w:eastAsia="微软雅黑" w:cs="微软雅黑"/>
          <w:sz w:val="24"/>
          <w:szCs w:val="24"/>
          <w:lang w:val="en-US" w:eastAsia="zh-CN"/>
        </w:rPr>
        <w:t>投标截止时间前</w:t>
      </w:r>
      <w:r>
        <w:rPr>
          <w:rFonts w:hint="eastAsia" w:ascii="微软雅黑" w:hAnsi="微软雅黑" w:eastAsia="微软雅黑" w:cs="微软雅黑"/>
          <w:sz w:val="24"/>
          <w:szCs w:val="24"/>
        </w:rPr>
        <w:t>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文件的全部内容。如发现缺页或附件不全，应及时提出，以便补齐。如有疑问，请在投标截止日前向招标单位提出，超过此时间规定，招标单位不再受理对于</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53" w:name="_Toc10415"/>
      <w:bookmarkStart w:id="54" w:name="_Toc65660337"/>
      <w:bookmarkStart w:id="55" w:name="_Toc32668"/>
      <w:bookmarkStart w:id="56" w:name="_Toc106034628"/>
      <w:bookmarkStart w:id="57" w:name="_Toc521053056"/>
      <w:bookmarkStart w:id="58" w:name="_Toc24901"/>
      <w:bookmarkStart w:id="59" w:name="_Toc1733"/>
      <w:bookmarkStart w:id="60" w:name="_Toc525047164"/>
      <w:bookmarkStart w:id="61" w:name="_Toc11660"/>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、联系方式</w:t>
      </w:r>
      <w:bookmarkEnd w:id="53"/>
      <w:bookmarkEnd w:id="54"/>
      <w:bookmarkEnd w:id="55"/>
      <w:bookmarkEnd w:id="56"/>
      <w:bookmarkEnd w:id="57"/>
      <w:bookmarkEnd w:id="58"/>
      <w:bookmarkEnd w:id="59"/>
      <w:bookmarkEnd w:id="60"/>
      <w:bookmarkEnd w:id="61"/>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9"/>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418" w:bottom="1134" w:left="1418" w:header="964" w:footer="992" w:gutter="0"/>
          <w:pgNumType w:fmt="numberInDash"/>
          <w:cols w:space="720" w:num="1"/>
          <w:docGrid w:linePitch="312" w:charSpace="0"/>
        </w:sectPr>
      </w:pPr>
    </w:p>
    <w:p>
      <w:pPr>
        <w:pStyle w:val="3"/>
        <w:tabs>
          <w:tab w:val="left" w:pos="3360"/>
        </w:tabs>
        <w:spacing w:before="0" w:after="0" w:line="360" w:lineRule="auto"/>
        <w:jc w:val="center"/>
        <w:rPr>
          <w:rFonts w:hint="eastAsia" w:ascii="微软雅黑" w:hAnsi="微软雅黑" w:eastAsia="微软雅黑" w:cs="微软雅黑"/>
          <w:b/>
          <w:kern w:val="2"/>
          <w:sz w:val="44"/>
          <w:szCs w:val="20"/>
          <w:lang w:val="en-US" w:eastAsia="zh-CN" w:bidi="ar-SA"/>
        </w:rPr>
      </w:pPr>
      <w:bookmarkStart w:id="62" w:name="_Toc11017"/>
      <w:bookmarkStart w:id="63" w:name="_Toc25639"/>
      <w:bookmarkStart w:id="64" w:name="_Toc1492"/>
      <w:bookmarkStart w:id="65" w:name="_Toc12959"/>
      <w:bookmarkStart w:id="66" w:name="_Toc19886"/>
      <w:bookmarkStart w:id="67" w:name="_Toc2422"/>
      <w:bookmarkStart w:id="68" w:name="_Toc32686"/>
      <w:bookmarkStart w:id="69" w:name="_Toc75793504"/>
      <w:bookmarkStart w:id="70" w:name="_Toc725"/>
      <w:bookmarkStart w:id="71" w:name="_Toc2070"/>
      <w:bookmarkStart w:id="72" w:name="_Toc1625"/>
      <w:bookmarkStart w:id="73" w:name="_Toc26176"/>
      <w:bookmarkStart w:id="74" w:name="_Toc8649"/>
      <w:bookmarkStart w:id="75" w:name="_Toc23143"/>
      <w:bookmarkStart w:id="76" w:name="_Toc5461"/>
      <w:bookmarkStart w:id="77" w:name="_Toc106030380"/>
      <w:bookmarkStart w:id="78" w:name="_Toc1255"/>
      <w:bookmarkStart w:id="79" w:name="_Toc20293"/>
      <w:bookmarkStart w:id="80" w:name="_Toc12789058"/>
      <w:r>
        <w:rPr>
          <w:rFonts w:hint="eastAsia" w:ascii="微软雅黑" w:hAnsi="微软雅黑" w:eastAsia="微软雅黑" w:cs="微软雅黑"/>
          <w:b/>
          <w:kern w:val="2"/>
          <w:sz w:val="44"/>
          <w:szCs w:val="20"/>
          <w:lang w:val="en-US" w:eastAsia="zh-CN" w:bidi="ar-SA"/>
        </w:rPr>
        <w:t xml:space="preserve">第二篇 </w:t>
      </w:r>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r>
        <w:rPr>
          <w:rFonts w:hint="eastAsia" w:ascii="微软雅黑" w:hAnsi="微软雅黑" w:eastAsia="微软雅黑" w:cs="微软雅黑"/>
          <w:b/>
          <w:kern w:val="2"/>
          <w:sz w:val="44"/>
          <w:szCs w:val="20"/>
          <w:lang w:val="en-US" w:eastAsia="zh-CN" w:bidi="ar-SA"/>
        </w:rPr>
        <w:t>项目技术（质量）需求</w:t>
      </w:r>
      <w:bookmarkEnd w:id="77"/>
      <w:bookmarkEnd w:id="78"/>
      <w:bookmarkEnd w:id="79"/>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81" w:name="_Toc28095"/>
      <w:bookmarkStart w:id="82" w:name="_Toc76462325"/>
      <w:bookmarkStart w:id="83" w:name="_Toc15127"/>
      <w:bookmarkStart w:id="84" w:name="_Toc1866"/>
      <w:bookmarkStart w:id="85" w:name="_Toc18470"/>
      <w:bookmarkStart w:id="86" w:name="_Toc106030879"/>
      <w:bookmarkStart w:id="87" w:name="_Toc3196"/>
      <w:bookmarkStart w:id="88" w:name="_Toc3117"/>
      <w:bookmarkStart w:id="89" w:name="_Toc32516"/>
      <w:bookmarkStart w:id="90" w:name="_Toc106030882"/>
      <w:bookmarkStart w:id="91" w:name="_Toc7791"/>
      <w:bookmarkStart w:id="92" w:name="_Toc76462327"/>
      <w:r>
        <w:rPr>
          <w:rFonts w:hint="eastAsia" w:ascii="微软雅黑" w:hAnsi="微软雅黑" w:eastAsia="微软雅黑" w:cs="微软雅黑"/>
          <w:sz w:val="24"/>
        </w:rPr>
        <w:t>一、项目基本概况介绍</w:t>
      </w:r>
      <w:bookmarkEnd w:id="81"/>
      <w:bookmarkEnd w:id="82"/>
      <w:bookmarkEnd w:id="83"/>
      <w:bookmarkEnd w:id="84"/>
      <w:bookmarkEnd w:id="85"/>
      <w:bookmarkEnd w:id="86"/>
      <w:bookmarkEnd w:id="87"/>
      <w:bookmarkEnd w:id="88"/>
      <w:bookmarkEnd w:id="89"/>
    </w:p>
    <w:tbl>
      <w:tblPr>
        <w:tblStyle w:val="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83"/>
        <w:gridCol w:w="3369"/>
        <w:gridCol w:w="1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2431" w:type="pct"/>
            <w:vAlign w:val="center"/>
          </w:tcPr>
          <w:p>
            <w:pPr>
              <w:keepNext w:val="0"/>
              <w:keepLines w:val="0"/>
              <w:suppressLineNumbers w:val="0"/>
              <w:spacing w:before="0" w:beforeAutospacing="0" w:after="0" w:afterAutospacing="0" w:line="240" w:lineRule="auto"/>
              <w:ind w:left="0" w:right="0"/>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c>
        <w:tc>
          <w:tcPr>
            <w:tcW w:w="1749" w:type="pct"/>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服务期限</w:t>
            </w:r>
          </w:p>
        </w:tc>
        <w:tc>
          <w:tcPr>
            <w:tcW w:w="818" w:type="pct"/>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pct"/>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b w:val="0"/>
                <w:bCs/>
                <w:sz w:val="21"/>
                <w:szCs w:val="21"/>
                <w:lang w:val="en-US" w:eastAsia="zh-CN"/>
              </w:rPr>
              <w:t>委托招标代理机构遴选（工程）</w:t>
            </w:r>
          </w:p>
        </w:tc>
        <w:tc>
          <w:tcPr>
            <w:tcW w:w="1749" w:type="pct"/>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合同签订生效之日起三年</w:t>
            </w:r>
          </w:p>
        </w:tc>
        <w:tc>
          <w:tcPr>
            <w:tcW w:w="818" w:type="pct"/>
            <w:vAlign w:val="center"/>
          </w:tcPr>
          <w:p>
            <w:pPr>
              <w:keepNext w:val="0"/>
              <w:keepLines w:val="0"/>
              <w:suppressLineNumbers w:val="0"/>
              <w:spacing w:before="0" w:beforeAutospacing="0" w:after="0" w:afterAutospacing="0" w:line="240" w:lineRule="auto"/>
              <w:ind w:left="0" w:right="0"/>
              <w:jc w:val="center"/>
              <w:rPr>
                <w:rFonts w:hint="default" w:ascii="微软雅黑" w:hAnsi="微软雅黑" w:eastAsia="微软雅黑" w:cs="微软雅黑"/>
                <w:sz w:val="24"/>
                <w:szCs w:val="24"/>
                <w:lang w:val="en-US" w:eastAsia="zh-CN"/>
              </w:rPr>
            </w:pPr>
          </w:p>
        </w:tc>
      </w:tr>
    </w:tbl>
    <w:p>
      <w:pPr>
        <w:numPr>
          <w:ilvl w:val="0"/>
          <w:numId w:val="14"/>
        </w:numPr>
        <w:spacing w:line="400" w:lineRule="exact"/>
        <w:ind w:firstLine="480" w:firstLineChars="200"/>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项目内容及要求</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（一）服务内容 </w:t>
      </w:r>
    </w:p>
    <w:p>
      <w:pPr>
        <w:snapToGrid w:val="0"/>
        <w:spacing w:line="400" w:lineRule="exact"/>
        <w:ind w:firstLine="540"/>
        <w:rPr>
          <w:rFonts w:hint="eastAsia" w:ascii="微软雅黑" w:hAnsi="微软雅黑" w:eastAsia="微软雅黑" w:cs="微软雅黑"/>
          <w:sz w:val="24"/>
          <w:szCs w:val="24"/>
        </w:rPr>
      </w:pPr>
      <w:r>
        <w:rPr>
          <w:rFonts w:hint="eastAsia" w:ascii="微软雅黑" w:hAnsi="微软雅黑" w:eastAsia="微软雅黑" w:cs="微软雅黑"/>
          <w:sz w:val="24"/>
          <w:szCs w:val="24"/>
        </w:rPr>
        <w:t>严格按照《中华人民共和</w:t>
      </w:r>
      <w:r>
        <w:rPr>
          <w:rFonts w:hint="eastAsia" w:ascii="微软雅黑" w:hAnsi="微软雅黑" w:eastAsia="微软雅黑" w:cs="微软雅黑"/>
          <w:sz w:val="24"/>
          <w:szCs w:val="24"/>
          <w:lang w:val="en-US" w:eastAsia="zh-CN"/>
        </w:rPr>
        <w:t>国招标投标法》及相关法律法规执业，负责招标人委托的国家规定必须招标的工程建设项目招标代理工作。</w:t>
      </w:r>
      <w:r>
        <w:rPr>
          <w:rFonts w:hint="eastAsia" w:ascii="微软雅黑" w:hAnsi="微软雅黑" w:eastAsia="微软雅黑" w:cs="微软雅黑"/>
          <w:sz w:val="24"/>
          <w:szCs w:val="24"/>
        </w:rPr>
        <w:t>主要内容有</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咨询、政策收集解读、协助</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人审查文件合法性、发布</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公告及结果公告、组织开评标、协助</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人进行质疑答复及</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档案整理。具体如下：</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1.严格执行国家的法律法规，自觉接受</w:t>
      </w:r>
      <w:r>
        <w:rPr>
          <w:rFonts w:hint="eastAsia" w:ascii="微软雅黑" w:hAnsi="微软雅黑" w:eastAsia="微软雅黑" w:cs="微软雅黑"/>
          <w:sz w:val="24"/>
          <w:szCs w:val="24"/>
          <w:lang w:val="en-US" w:eastAsia="zh-CN"/>
        </w:rPr>
        <w:t>招投标</w:t>
      </w:r>
      <w:r>
        <w:rPr>
          <w:rFonts w:hint="eastAsia" w:ascii="微软雅黑" w:hAnsi="微软雅黑" w:eastAsia="微软雅黑" w:cs="微软雅黑"/>
          <w:sz w:val="24"/>
          <w:szCs w:val="24"/>
        </w:rPr>
        <w:t>监督管理部门的管理，维护</w:t>
      </w:r>
      <w:r>
        <w:rPr>
          <w:rFonts w:hint="eastAsia" w:ascii="微软雅黑" w:hAnsi="微软雅黑" w:eastAsia="微软雅黑" w:cs="微软雅黑"/>
          <w:sz w:val="24"/>
          <w:szCs w:val="24"/>
          <w:lang w:val="en-US" w:eastAsia="zh-CN"/>
        </w:rPr>
        <w:t>招标</w:t>
      </w:r>
      <w:r>
        <w:rPr>
          <w:rFonts w:hint="eastAsia" w:ascii="微软雅黑" w:hAnsi="微软雅黑" w:eastAsia="微软雅黑" w:cs="微软雅黑"/>
          <w:sz w:val="24"/>
          <w:szCs w:val="24"/>
          <w:lang w:eastAsia="zh-CN"/>
        </w:rPr>
        <w:t>人</w:t>
      </w:r>
      <w:r>
        <w:rPr>
          <w:rFonts w:hint="eastAsia" w:ascii="微软雅黑" w:hAnsi="微软雅黑" w:eastAsia="微软雅黑" w:cs="微软雅黑"/>
          <w:sz w:val="24"/>
          <w:szCs w:val="24"/>
        </w:rPr>
        <w:t>的合法权益，运用自身的专业技能为</w:t>
      </w:r>
      <w:r>
        <w:rPr>
          <w:rFonts w:hint="eastAsia" w:ascii="微软雅黑" w:hAnsi="微软雅黑" w:eastAsia="微软雅黑" w:cs="微软雅黑"/>
          <w:sz w:val="24"/>
          <w:szCs w:val="24"/>
          <w:lang w:val="en-US" w:eastAsia="zh-CN"/>
        </w:rPr>
        <w:t>招标</w:t>
      </w:r>
      <w:r>
        <w:rPr>
          <w:rFonts w:hint="eastAsia" w:ascii="微软雅黑" w:hAnsi="微软雅黑" w:eastAsia="微软雅黑" w:cs="微软雅黑"/>
          <w:sz w:val="24"/>
          <w:szCs w:val="24"/>
          <w:lang w:eastAsia="zh-CN"/>
        </w:rPr>
        <w:t>人</w:t>
      </w:r>
      <w:r>
        <w:rPr>
          <w:rFonts w:hint="eastAsia" w:ascii="微软雅黑" w:hAnsi="微软雅黑" w:eastAsia="微软雅黑" w:cs="微软雅黑"/>
          <w:sz w:val="24"/>
          <w:szCs w:val="24"/>
        </w:rPr>
        <w:t>做好</w:t>
      </w:r>
      <w:r>
        <w:rPr>
          <w:rFonts w:hint="eastAsia" w:ascii="微软雅黑" w:hAnsi="微软雅黑" w:eastAsia="微软雅黑" w:cs="微软雅黑"/>
          <w:sz w:val="24"/>
          <w:szCs w:val="24"/>
          <w:lang w:val="en-US" w:eastAsia="zh-CN"/>
        </w:rPr>
        <w:t>招标</w:t>
      </w:r>
      <w:r>
        <w:rPr>
          <w:rFonts w:hint="eastAsia" w:ascii="微软雅黑" w:hAnsi="微软雅黑" w:eastAsia="微软雅黑" w:cs="微软雅黑"/>
          <w:sz w:val="24"/>
          <w:szCs w:val="24"/>
        </w:rPr>
        <w:t>代理工作</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.提供招标前期咨询，拟定招标方案</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并对</w:t>
      </w:r>
      <w:r>
        <w:rPr>
          <w:rFonts w:hint="eastAsia" w:ascii="微软雅黑" w:hAnsi="微软雅黑" w:eastAsia="微软雅黑" w:cs="微软雅黑"/>
          <w:sz w:val="24"/>
          <w:szCs w:val="24"/>
        </w:rPr>
        <w:t>建设工程招标报建</w:t>
      </w:r>
      <w:r>
        <w:rPr>
          <w:rFonts w:hint="eastAsia" w:ascii="微软雅黑" w:hAnsi="微软雅黑" w:eastAsia="微软雅黑" w:cs="微软雅黑"/>
          <w:sz w:val="24"/>
          <w:szCs w:val="24"/>
          <w:lang w:val="en-US" w:eastAsia="zh-CN"/>
        </w:rPr>
        <w:t>及</w:t>
      </w:r>
      <w:r>
        <w:rPr>
          <w:rFonts w:hint="eastAsia" w:ascii="微软雅黑" w:hAnsi="微软雅黑" w:eastAsia="微软雅黑" w:cs="微软雅黑"/>
          <w:sz w:val="24"/>
          <w:szCs w:val="24"/>
        </w:rPr>
        <w:t>办理交易入场登记。</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rPr>
        <w:t>编制和发布资格预审文件（如需要）</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编制资格预审报告（如需要）</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w:t>
      </w:r>
      <w:r>
        <w:rPr>
          <w:rFonts w:hint="eastAsia" w:ascii="微软雅黑" w:hAnsi="微软雅黑" w:eastAsia="微软雅黑" w:cs="微软雅黑"/>
          <w:sz w:val="24"/>
          <w:szCs w:val="24"/>
        </w:rPr>
        <w:t>发布招标公告或资格预审公告或发出投标邀请书</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rPr>
        <w:t>负责根据</w:t>
      </w:r>
      <w:r>
        <w:rPr>
          <w:rFonts w:hint="eastAsia" w:ascii="微软雅黑" w:hAnsi="微软雅黑" w:eastAsia="微软雅黑" w:cs="微软雅黑"/>
          <w:sz w:val="24"/>
          <w:szCs w:val="24"/>
          <w:lang w:eastAsia="zh-CN"/>
        </w:rPr>
        <w:t>招标人</w:t>
      </w:r>
      <w:r>
        <w:rPr>
          <w:rFonts w:hint="eastAsia" w:ascii="微软雅黑" w:hAnsi="微软雅黑" w:eastAsia="微软雅黑" w:cs="微软雅黑"/>
          <w:sz w:val="24"/>
          <w:szCs w:val="24"/>
        </w:rPr>
        <w:t>要求编制</w:t>
      </w:r>
      <w:r>
        <w:rPr>
          <w:rFonts w:hint="eastAsia" w:ascii="微软雅黑" w:hAnsi="微软雅黑" w:eastAsia="微软雅黑" w:cs="微软雅黑"/>
          <w:sz w:val="24"/>
          <w:szCs w:val="24"/>
          <w:lang w:val="en-US" w:eastAsia="zh-CN"/>
        </w:rPr>
        <w:t>招标计划、</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公告、</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文件、</w:t>
      </w:r>
      <w:r>
        <w:rPr>
          <w:rFonts w:hint="eastAsia" w:ascii="微软雅黑" w:hAnsi="微软雅黑" w:eastAsia="微软雅黑" w:cs="微软雅黑"/>
          <w:sz w:val="24"/>
          <w:szCs w:val="24"/>
          <w:lang w:val="en-US" w:eastAsia="zh-CN"/>
        </w:rPr>
        <w:t>最高限价、</w:t>
      </w:r>
      <w:r>
        <w:rPr>
          <w:rFonts w:hint="eastAsia" w:ascii="微软雅黑" w:hAnsi="微软雅黑" w:eastAsia="微软雅黑" w:cs="微软雅黑"/>
          <w:sz w:val="24"/>
          <w:szCs w:val="24"/>
        </w:rPr>
        <w:t>评标方法及标准，经</w:t>
      </w:r>
      <w:r>
        <w:rPr>
          <w:rFonts w:hint="eastAsia" w:ascii="微软雅黑" w:hAnsi="微软雅黑" w:eastAsia="微软雅黑" w:cs="微软雅黑"/>
          <w:sz w:val="24"/>
          <w:szCs w:val="24"/>
          <w:lang w:eastAsia="zh-CN"/>
        </w:rPr>
        <w:t>招标人</w:t>
      </w:r>
      <w:r>
        <w:rPr>
          <w:rFonts w:hint="eastAsia" w:ascii="微软雅黑" w:hAnsi="微软雅黑" w:eastAsia="微软雅黑" w:cs="微软雅黑"/>
          <w:sz w:val="24"/>
          <w:szCs w:val="24"/>
        </w:rPr>
        <w:t>确认后报有关监管部门</w:t>
      </w:r>
      <w:r>
        <w:rPr>
          <w:rFonts w:hint="eastAsia" w:ascii="微软雅黑" w:hAnsi="微软雅黑" w:eastAsia="微软雅黑" w:cs="微软雅黑"/>
          <w:sz w:val="24"/>
          <w:szCs w:val="24"/>
          <w:lang w:eastAsia="zh-CN"/>
        </w:rPr>
        <w:t>审核（如有）</w:t>
      </w:r>
      <w:r>
        <w:rPr>
          <w:rFonts w:hint="eastAsia" w:ascii="微软雅黑" w:hAnsi="微软雅黑" w:eastAsia="微软雅黑" w:cs="微软雅黑"/>
          <w:sz w:val="24"/>
          <w:szCs w:val="24"/>
        </w:rPr>
        <w:t>，经批准后实施。</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6.</w:t>
      </w:r>
      <w:r>
        <w:rPr>
          <w:rFonts w:hint="eastAsia" w:ascii="微软雅黑" w:hAnsi="微软雅黑" w:eastAsia="微软雅黑" w:cs="微软雅黑"/>
          <w:sz w:val="24"/>
          <w:szCs w:val="24"/>
        </w:rPr>
        <w:t>组织现场踏勘</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如需要）。</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w:t>
      </w:r>
      <w:r>
        <w:rPr>
          <w:rFonts w:hint="eastAsia" w:ascii="微软雅黑" w:hAnsi="微软雅黑" w:eastAsia="微软雅黑" w:cs="微软雅黑"/>
          <w:sz w:val="24"/>
          <w:szCs w:val="24"/>
        </w:rPr>
        <w:t>.对</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文件有澄清或者修改的，负责整理形成的澄清、修改或补遗文件，并通知所有潜在的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8.</w:t>
      </w:r>
      <w:r>
        <w:rPr>
          <w:rFonts w:hint="eastAsia" w:ascii="微软雅黑" w:hAnsi="微软雅黑" w:eastAsia="微软雅黑" w:cs="微软雅黑"/>
          <w:sz w:val="24"/>
          <w:szCs w:val="24"/>
        </w:rPr>
        <w:t>在招标项目中根据</w:t>
      </w:r>
      <w:r>
        <w:rPr>
          <w:rFonts w:hint="eastAsia" w:ascii="微软雅黑" w:hAnsi="微软雅黑" w:eastAsia="微软雅黑" w:cs="微软雅黑"/>
          <w:sz w:val="24"/>
          <w:szCs w:val="24"/>
          <w:lang w:eastAsia="zh-CN"/>
        </w:rPr>
        <w:t>招标人</w:t>
      </w:r>
      <w:r>
        <w:rPr>
          <w:rFonts w:hint="eastAsia" w:ascii="微软雅黑" w:hAnsi="微软雅黑" w:eastAsia="微软雅黑" w:cs="微软雅黑"/>
          <w:sz w:val="24"/>
          <w:szCs w:val="24"/>
        </w:rPr>
        <w:t>授权，依法协助</w:t>
      </w:r>
      <w:r>
        <w:rPr>
          <w:rFonts w:hint="eastAsia" w:ascii="微软雅黑" w:hAnsi="微软雅黑" w:eastAsia="微软雅黑" w:cs="微软雅黑"/>
          <w:sz w:val="24"/>
          <w:szCs w:val="24"/>
          <w:lang w:eastAsia="zh-CN"/>
        </w:rPr>
        <w:t>招标人</w:t>
      </w:r>
      <w:r>
        <w:rPr>
          <w:rFonts w:hint="eastAsia" w:ascii="微软雅黑" w:hAnsi="微软雅黑" w:eastAsia="微软雅黑" w:cs="微软雅黑"/>
          <w:sz w:val="24"/>
          <w:szCs w:val="24"/>
        </w:rPr>
        <w:t>对投标人的资格进行审查。</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9.</w:t>
      </w:r>
      <w:r>
        <w:rPr>
          <w:rFonts w:hint="eastAsia" w:ascii="微软雅黑" w:hAnsi="微软雅黑" w:eastAsia="微软雅黑" w:cs="微软雅黑"/>
          <w:sz w:val="24"/>
          <w:szCs w:val="24"/>
        </w:rPr>
        <w:t>按照有关规定接受投标文件，组织和主持开标会议，做好开标原始记录。</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10</w:t>
      </w:r>
      <w:r>
        <w:rPr>
          <w:rFonts w:hint="eastAsia" w:ascii="微软雅黑" w:hAnsi="微软雅黑" w:eastAsia="微软雅黑" w:cs="微软雅黑"/>
          <w:sz w:val="24"/>
          <w:szCs w:val="24"/>
        </w:rPr>
        <w:t>.负责做好</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过程中记录，整理</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过程中形成的资料；协助</w:t>
      </w:r>
      <w:r>
        <w:rPr>
          <w:rFonts w:hint="eastAsia" w:ascii="微软雅黑" w:hAnsi="微软雅黑" w:eastAsia="微软雅黑" w:cs="微软雅黑"/>
          <w:sz w:val="24"/>
          <w:szCs w:val="24"/>
          <w:lang w:val="en-US" w:eastAsia="zh-CN"/>
        </w:rPr>
        <w:t>评标小组</w:t>
      </w:r>
      <w:r>
        <w:rPr>
          <w:rFonts w:hint="eastAsia" w:ascii="微软雅黑" w:hAnsi="微软雅黑" w:eastAsia="微软雅黑" w:cs="微软雅黑"/>
          <w:sz w:val="24"/>
          <w:szCs w:val="24"/>
        </w:rPr>
        <w:t>编写评标（评审）报告或情况报告，并交由</w:t>
      </w:r>
      <w:r>
        <w:rPr>
          <w:rFonts w:hint="eastAsia" w:ascii="微软雅黑" w:hAnsi="微软雅黑" w:eastAsia="微软雅黑" w:cs="微软雅黑"/>
          <w:sz w:val="24"/>
          <w:szCs w:val="24"/>
          <w:lang w:val="en-US" w:eastAsia="zh-CN"/>
        </w:rPr>
        <w:t>评标小组</w:t>
      </w:r>
      <w:r>
        <w:rPr>
          <w:rFonts w:hint="eastAsia" w:ascii="微软雅黑" w:hAnsi="微软雅黑" w:eastAsia="微软雅黑" w:cs="微软雅黑"/>
          <w:sz w:val="24"/>
          <w:szCs w:val="24"/>
        </w:rPr>
        <w:t>审定；</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11</w:t>
      </w:r>
      <w:r>
        <w:rPr>
          <w:rFonts w:hint="eastAsia" w:ascii="微软雅黑" w:hAnsi="微软雅黑" w:eastAsia="微软雅黑" w:cs="微软雅黑"/>
          <w:sz w:val="24"/>
          <w:szCs w:val="24"/>
        </w:rPr>
        <w:t>.协助</w:t>
      </w:r>
      <w:r>
        <w:rPr>
          <w:rFonts w:hint="eastAsia" w:ascii="微软雅黑" w:hAnsi="微软雅黑" w:eastAsia="微软雅黑" w:cs="微软雅黑"/>
          <w:sz w:val="24"/>
          <w:szCs w:val="24"/>
          <w:lang w:eastAsia="zh-CN"/>
        </w:rPr>
        <w:t>招标人</w:t>
      </w:r>
      <w:r>
        <w:rPr>
          <w:rFonts w:hint="eastAsia" w:ascii="微软雅黑" w:hAnsi="微软雅黑" w:eastAsia="微软雅黑" w:cs="微软雅黑"/>
          <w:sz w:val="24"/>
          <w:szCs w:val="24"/>
        </w:rPr>
        <w:t>整理质疑答复资料，配合</w:t>
      </w:r>
      <w:r>
        <w:rPr>
          <w:rFonts w:hint="eastAsia" w:ascii="微软雅黑" w:hAnsi="微软雅黑" w:eastAsia="微软雅黑" w:cs="微软雅黑"/>
          <w:sz w:val="24"/>
          <w:szCs w:val="24"/>
          <w:lang w:eastAsia="zh-CN"/>
        </w:rPr>
        <w:t>招标人</w:t>
      </w:r>
      <w:r>
        <w:rPr>
          <w:rFonts w:hint="eastAsia" w:ascii="微软雅黑" w:hAnsi="微软雅黑" w:eastAsia="微软雅黑" w:cs="微软雅黑"/>
          <w:sz w:val="24"/>
          <w:szCs w:val="24"/>
        </w:rPr>
        <w:t>共同对</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程序、中标或成交结果的质疑进行答复，做好质疑答复工作。</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12</w:t>
      </w:r>
      <w:r>
        <w:rPr>
          <w:rFonts w:hint="eastAsia" w:ascii="微软雅黑" w:hAnsi="微软雅黑" w:eastAsia="微软雅黑" w:cs="微软雅黑"/>
          <w:sz w:val="24"/>
          <w:szCs w:val="24"/>
        </w:rPr>
        <w:t>.负责发布招标项目中标结果公告并向中标</w:t>
      </w:r>
      <w:r>
        <w:rPr>
          <w:rFonts w:hint="eastAsia" w:ascii="微软雅黑" w:hAnsi="微软雅黑" w:eastAsia="微软雅黑" w:cs="微软雅黑"/>
          <w:sz w:val="24"/>
          <w:szCs w:val="24"/>
          <w:lang w:val="en-US" w:eastAsia="zh-CN"/>
        </w:rPr>
        <w:t>供应商</w:t>
      </w:r>
      <w:r>
        <w:rPr>
          <w:rFonts w:hint="eastAsia" w:ascii="微软雅黑" w:hAnsi="微软雅黑" w:eastAsia="微软雅黑" w:cs="微软雅黑"/>
          <w:sz w:val="24"/>
          <w:szCs w:val="24"/>
        </w:rPr>
        <w:t>发出中标通知。</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13</w:t>
      </w:r>
      <w:r>
        <w:rPr>
          <w:rFonts w:hint="eastAsia" w:ascii="微软雅黑" w:hAnsi="微软雅黑" w:eastAsia="微软雅黑" w:cs="微软雅黑"/>
          <w:sz w:val="24"/>
          <w:szCs w:val="24"/>
        </w:rPr>
        <w:t>负责整理、保管委托招标</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项目档案，项目完成后须移交一份全套资料到</w:t>
      </w:r>
      <w:r>
        <w:rPr>
          <w:rFonts w:hint="eastAsia" w:ascii="微软雅黑" w:hAnsi="微软雅黑" w:eastAsia="微软雅黑" w:cs="微软雅黑"/>
          <w:sz w:val="24"/>
          <w:szCs w:val="24"/>
          <w:lang w:eastAsia="zh-CN"/>
        </w:rPr>
        <w:t>招标人</w:t>
      </w:r>
      <w:r>
        <w:rPr>
          <w:rFonts w:hint="eastAsia" w:ascii="微软雅黑" w:hAnsi="微软雅黑" w:eastAsia="微软雅黑" w:cs="微软雅黑"/>
          <w:sz w:val="24"/>
          <w:szCs w:val="24"/>
        </w:rPr>
        <w:t>，移交资料必须在项目合同签订后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个日历日内完成。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14</w:t>
      </w:r>
      <w:r>
        <w:rPr>
          <w:rFonts w:hint="eastAsia" w:ascii="微软雅黑" w:hAnsi="微软雅黑" w:eastAsia="微软雅黑" w:cs="微软雅黑"/>
          <w:sz w:val="24"/>
          <w:szCs w:val="24"/>
        </w:rPr>
        <w:t>.如</w:t>
      </w:r>
      <w:r>
        <w:rPr>
          <w:rFonts w:hint="eastAsia" w:ascii="微软雅黑" w:hAnsi="微软雅黑" w:eastAsia="微软雅黑" w:cs="微软雅黑"/>
          <w:sz w:val="24"/>
          <w:szCs w:val="24"/>
          <w:lang w:eastAsia="zh-CN"/>
        </w:rPr>
        <w:t>招标人</w:t>
      </w:r>
      <w:r>
        <w:rPr>
          <w:rFonts w:hint="eastAsia" w:ascii="微软雅黑" w:hAnsi="微软雅黑" w:eastAsia="微软雅黑" w:cs="微软雅黑"/>
          <w:sz w:val="24"/>
          <w:szCs w:val="24"/>
        </w:rPr>
        <w:t>要求，组织与中标</w:t>
      </w:r>
      <w:r>
        <w:rPr>
          <w:rFonts w:hint="eastAsia" w:ascii="微软雅黑" w:hAnsi="微软雅黑" w:eastAsia="微软雅黑" w:cs="微软雅黑"/>
          <w:sz w:val="24"/>
          <w:szCs w:val="24"/>
          <w:lang w:val="en-US" w:eastAsia="zh-CN"/>
        </w:rPr>
        <w:t>人</w:t>
      </w:r>
      <w:r>
        <w:rPr>
          <w:rFonts w:hint="eastAsia" w:ascii="微软雅黑" w:hAnsi="微软雅黑" w:eastAsia="微软雅黑" w:cs="微软雅黑"/>
          <w:sz w:val="24"/>
          <w:szCs w:val="24"/>
        </w:rPr>
        <w:t>签订</w:t>
      </w:r>
      <w:r>
        <w:rPr>
          <w:rFonts w:hint="eastAsia" w:ascii="微软雅黑" w:hAnsi="微软雅黑" w:eastAsia="微软雅黑" w:cs="微软雅黑"/>
          <w:sz w:val="24"/>
          <w:szCs w:val="24"/>
          <w:lang w:val="en-US" w:eastAsia="zh-CN"/>
        </w:rPr>
        <w:t>建设工程施工</w:t>
      </w:r>
      <w:r>
        <w:rPr>
          <w:rFonts w:hint="eastAsia" w:ascii="微软雅黑" w:hAnsi="微软雅黑" w:eastAsia="微软雅黑" w:cs="微软雅黑"/>
          <w:sz w:val="24"/>
          <w:szCs w:val="24"/>
        </w:rPr>
        <w:t>合同。</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15</w:t>
      </w:r>
      <w:r>
        <w:rPr>
          <w:rFonts w:hint="eastAsia" w:ascii="微软雅黑" w:hAnsi="微软雅黑" w:eastAsia="微软雅黑" w:cs="微软雅黑"/>
          <w:sz w:val="24"/>
          <w:szCs w:val="24"/>
        </w:rPr>
        <w:t>如</w:t>
      </w:r>
      <w:r>
        <w:rPr>
          <w:rFonts w:hint="eastAsia" w:ascii="微软雅黑" w:hAnsi="微软雅黑" w:eastAsia="微软雅黑" w:cs="微软雅黑"/>
          <w:sz w:val="24"/>
          <w:szCs w:val="24"/>
          <w:lang w:eastAsia="zh-CN"/>
        </w:rPr>
        <w:t>招标人</w:t>
      </w:r>
      <w:r>
        <w:rPr>
          <w:rFonts w:hint="eastAsia" w:ascii="微软雅黑" w:hAnsi="微软雅黑" w:eastAsia="微软雅黑" w:cs="微软雅黑"/>
          <w:sz w:val="24"/>
          <w:szCs w:val="24"/>
        </w:rPr>
        <w:t>要求，协助对</w:t>
      </w:r>
      <w:r>
        <w:rPr>
          <w:rFonts w:hint="eastAsia" w:ascii="微软雅黑" w:hAnsi="微软雅黑" w:eastAsia="微软雅黑" w:cs="微软雅黑"/>
          <w:sz w:val="24"/>
          <w:szCs w:val="24"/>
          <w:lang w:val="en-US" w:eastAsia="zh-CN"/>
        </w:rPr>
        <w:t>招标</w:t>
      </w:r>
      <w:r>
        <w:rPr>
          <w:rFonts w:hint="eastAsia" w:ascii="微软雅黑" w:hAnsi="微软雅黑" w:eastAsia="微软雅黑" w:cs="微软雅黑"/>
          <w:sz w:val="24"/>
          <w:szCs w:val="24"/>
        </w:rPr>
        <w:t>项目进行验收。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16</w:t>
      </w:r>
      <w:r>
        <w:rPr>
          <w:rFonts w:hint="eastAsia" w:ascii="微软雅黑" w:hAnsi="微软雅黑" w:eastAsia="微软雅黑" w:cs="微软雅黑"/>
          <w:sz w:val="24"/>
          <w:szCs w:val="24"/>
        </w:rPr>
        <w:t>.非</w:t>
      </w:r>
      <w:r>
        <w:rPr>
          <w:rFonts w:hint="eastAsia" w:ascii="微软雅黑" w:hAnsi="微软雅黑" w:eastAsia="微软雅黑" w:cs="微软雅黑"/>
          <w:sz w:val="24"/>
          <w:szCs w:val="24"/>
          <w:lang w:eastAsia="zh-CN"/>
        </w:rPr>
        <w:t>招标人</w:t>
      </w:r>
      <w:r>
        <w:rPr>
          <w:rFonts w:hint="eastAsia" w:ascii="微软雅黑" w:hAnsi="微软雅黑" w:eastAsia="微软雅黑" w:cs="微软雅黑"/>
          <w:sz w:val="24"/>
          <w:szCs w:val="24"/>
        </w:rPr>
        <w:t>原因，项目流标或废标需重新招标所产生的</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代理服务费由代理机构自行承担。</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17</w:t>
      </w:r>
      <w:r>
        <w:rPr>
          <w:rFonts w:hint="eastAsia" w:ascii="微软雅黑" w:hAnsi="微软雅黑" w:eastAsia="微软雅黑" w:cs="微软雅黑"/>
          <w:sz w:val="24"/>
          <w:szCs w:val="24"/>
        </w:rPr>
        <w:t>.为</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人提供</w:t>
      </w:r>
      <w:r>
        <w:rPr>
          <w:rFonts w:hint="eastAsia" w:ascii="微软雅黑" w:hAnsi="微软雅黑" w:eastAsia="微软雅黑" w:cs="微软雅黑"/>
          <w:sz w:val="24"/>
          <w:szCs w:val="24"/>
          <w:lang w:val="en-US" w:eastAsia="zh-CN"/>
        </w:rPr>
        <w:t>建设工程类项目</w:t>
      </w:r>
      <w:r>
        <w:rPr>
          <w:rFonts w:hint="eastAsia" w:ascii="微软雅黑" w:hAnsi="微软雅黑" w:eastAsia="微软雅黑" w:cs="微软雅黑"/>
          <w:sz w:val="24"/>
          <w:szCs w:val="24"/>
        </w:rPr>
        <w:t>等</w:t>
      </w:r>
      <w:r>
        <w:rPr>
          <w:rFonts w:hint="eastAsia" w:ascii="微软雅黑" w:hAnsi="微软雅黑" w:eastAsia="微软雅黑" w:cs="微软雅黑"/>
          <w:sz w:val="24"/>
          <w:szCs w:val="24"/>
          <w:lang w:val="en-US" w:eastAsia="zh-CN"/>
        </w:rPr>
        <w:t>招投标</w:t>
      </w:r>
      <w:r>
        <w:rPr>
          <w:rFonts w:hint="eastAsia" w:ascii="微软雅黑" w:hAnsi="微软雅黑" w:eastAsia="微软雅黑" w:cs="微软雅黑"/>
          <w:sz w:val="24"/>
          <w:szCs w:val="24"/>
        </w:rPr>
        <w:t>业务咨询。</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（二）服务要求</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1.代理服务中的整个</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过程须符合国家政府</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相关法律法规的要求，符合代理项目的</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流程，不得有营私舞弊的行为</w:t>
      </w:r>
      <w:r>
        <w:rPr>
          <w:rFonts w:hint="eastAsia" w:ascii="微软雅黑" w:hAnsi="微软雅黑" w:eastAsia="微软雅黑" w:cs="微软雅黑"/>
          <w:sz w:val="24"/>
          <w:szCs w:val="24"/>
          <w:lang w:val="en-US" w:eastAsia="zh-CN"/>
        </w:rPr>
        <w:t>。</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代理机构不得泄露评审文件、评审情况和评审中获悉的国家秘密、商业秘密</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代理机构向</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人移交的所有</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过程的资料，均须通过书面形式移交；</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人提出的意见建议，</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代理机构应予以审核，如与</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法规不符，</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代理机构应当提出相应意见，确保代理项目合法、合规</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代理机构须配合</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人接受财政、审计、纪检监察等部门的监督检查，如实报告有关情况，及时提供有关资料</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资料保存期限为</w:t>
      </w:r>
      <w:r>
        <w:rPr>
          <w:rFonts w:hint="eastAsia" w:ascii="微软雅黑" w:hAnsi="微软雅黑" w:eastAsia="微软雅黑" w:cs="微软雅黑"/>
          <w:sz w:val="24"/>
          <w:szCs w:val="24"/>
          <w:lang w:eastAsia="zh-CN"/>
        </w:rPr>
        <w:t>招标</w:t>
      </w:r>
      <w:r>
        <w:rPr>
          <w:rFonts w:hint="eastAsia" w:ascii="微软雅黑" w:hAnsi="微软雅黑" w:eastAsia="微软雅黑" w:cs="微软雅黑"/>
          <w:sz w:val="24"/>
          <w:szCs w:val="24"/>
        </w:rPr>
        <w:t>结束之日起至少15年。</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项目团队要求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项目负责人</w:t>
      </w:r>
      <w:r>
        <w:rPr>
          <w:rFonts w:hint="eastAsia" w:ascii="微软雅黑" w:hAnsi="微软雅黑" w:eastAsia="微软雅黑" w:cs="微软雅黑"/>
          <w:sz w:val="24"/>
          <w:szCs w:val="24"/>
          <w:lang w:val="en-US" w:eastAsia="zh-CN"/>
        </w:rPr>
        <w:t>需同时满足以下①②要求：</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①</w:t>
      </w:r>
      <w:r>
        <w:rPr>
          <w:rFonts w:hint="eastAsia" w:ascii="微软雅黑" w:hAnsi="微软雅黑" w:eastAsia="微软雅黑" w:cs="微软雅黑"/>
          <w:color w:val="auto"/>
          <w:sz w:val="24"/>
          <w:szCs w:val="24"/>
        </w:rPr>
        <w:t>须为</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lang w:val="en-US" w:eastAsia="zh-CN"/>
        </w:rPr>
        <w:t>本单位</w:t>
      </w:r>
      <w:r>
        <w:rPr>
          <w:rFonts w:hint="eastAsia" w:ascii="微软雅黑" w:hAnsi="微软雅黑" w:eastAsia="微软雅黑" w:cs="微软雅黑"/>
          <w:color w:val="auto"/>
          <w:sz w:val="24"/>
          <w:szCs w:val="24"/>
        </w:rPr>
        <w:t>职工，具有</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年及以上</w:t>
      </w:r>
      <w:r>
        <w:rPr>
          <w:rFonts w:hint="eastAsia" w:ascii="微软雅黑" w:hAnsi="微软雅黑" w:eastAsia="微软雅黑" w:cs="微软雅黑"/>
          <w:color w:val="auto"/>
          <w:sz w:val="24"/>
          <w:szCs w:val="24"/>
          <w:lang w:val="en-US" w:eastAsia="zh-CN"/>
        </w:rPr>
        <w:t>招标代理行业</w:t>
      </w:r>
      <w:r>
        <w:rPr>
          <w:rFonts w:hint="eastAsia" w:ascii="微软雅黑" w:hAnsi="微软雅黑" w:eastAsia="微软雅黑" w:cs="微软雅黑"/>
          <w:color w:val="auto"/>
          <w:sz w:val="24"/>
          <w:szCs w:val="24"/>
        </w:rPr>
        <w:t>从业经验</w:t>
      </w:r>
      <w:r>
        <w:rPr>
          <w:rFonts w:hint="eastAsia" w:ascii="微软雅黑" w:hAnsi="微软雅黑" w:eastAsia="微软雅黑" w:cs="微软雅黑"/>
          <w:color w:val="auto"/>
          <w:sz w:val="24"/>
          <w:szCs w:val="24"/>
          <w:lang w:eastAsia="zh-CN"/>
        </w:rPr>
        <w:t>。</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②</w:t>
      </w:r>
      <w:r>
        <w:rPr>
          <w:rFonts w:hint="eastAsia" w:ascii="微软雅黑" w:hAnsi="微软雅黑" w:eastAsia="微软雅黑" w:cs="微软雅黑"/>
          <w:color w:val="auto"/>
          <w:sz w:val="24"/>
          <w:szCs w:val="24"/>
        </w:rPr>
        <w:t>具备中级及以上技术职称</w:t>
      </w:r>
      <w:r>
        <w:rPr>
          <w:rFonts w:hint="eastAsia" w:ascii="微软雅黑" w:hAnsi="微软雅黑" w:eastAsia="微软雅黑" w:cs="微软雅黑"/>
          <w:color w:val="auto"/>
          <w:sz w:val="24"/>
          <w:szCs w:val="24"/>
          <w:lang w:eastAsia="zh-CN"/>
        </w:rPr>
        <w:t>。</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default" w:ascii="微软雅黑" w:hAnsi="微软雅黑" w:eastAsia="微软雅黑" w:cs="微软雅黑"/>
          <w:b w:val="0"/>
          <w:bCs w:val="0"/>
          <w:i w:val="0"/>
          <w:iCs w:val="0"/>
          <w:color w:val="auto"/>
          <w:kern w:val="2"/>
          <w:sz w:val="24"/>
          <w:szCs w:val="24"/>
          <w:highlight w:val="none"/>
          <w:vertAlign w:val="baseline"/>
          <w:lang w:val="en-US" w:eastAsia="zh-CN" w:bidi="ar-SA"/>
        </w:rPr>
        <w:t>提供含2026年4月在内至少连续三个月的社保缴费证明（若为子公司投标，则子公司与母公司提供的社保缴费证明均可作为有效证明材料）。</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提供</w:t>
      </w:r>
      <w:r>
        <w:rPr>
          <w:rFonts w:hint="eastAsia" w:ascii="微软雅黑" w:hAnsi="微软雅黑" w:eastAsia="微软雅黑" w:cs="微软雅黑"/>
          <w:color w:val="auto"/>
          <w:sz w:val="24"/>
          <w:szCs w:val="24"/>
          <w:lang w:val="en-US" w:eastAsia="zh-CN"/>
        </w:rPr>
        <w:t>劳动合同（合同须能体现五</w:t>
      </w:r>
      <w:r>
        <w:rPr>
          <w:rFonts w:hint="eastAsia" w:ascii="微软雅黑" w:hAnsi="微软雅黑" w:eastAsia="微软雅黑" w:cs="微软雅黑"/>
          <w:color w:val="auto"/>
          <w:sz w:val="24"/>
          <w:szCs w:val="24"/>
        </w:rPr>
        <w:t>年及以上</w:t>
      </w:r>
      <w:r>
        <w:rPr>
          <w:rFonts w:hint="eastAsia" w:ascii="微软雅黑" w:hAnsi="微软雅黑" w:eastAsia="微软雅黑" w:cs="微软雅黑"/>
          <w:color w:val="auto"/>
          <w:sz w:val="24"/>
          <w:szCs w:val="24"/>
          <w:lang w:val="en-US" w:eastAsia="zh-CN"/>
        </w:rPr>
        <w:t>招标代理行业</w:t>
      </w:r>
      <w:r>
        <w:rPr>
          <w:rFonts w:hint="eastAsia" w:ascii="微软雅黑" w:hAnsi="微软雅黑" w:eastAsia="微软雅黑" w:cs="微软雅黑"/>
          <w:color w:val="auto"/>
          <w:sz w:val="24"/>
          <w:szCs w:val="24"/>
        </w:rPr>
        <w:t>从业经验</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职称证</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资格证</w:t>
      </w:r>
      <w:r>
        <w:rPr>
          <w:rFonts w:hint="eastAsia" w:ascii="微软雅黑" w:hAnsi="微软雅黑" w:eastAsia="微软雅黑" w:cs="微软雅黑"/>
          <w:color w:val="auto"/>
          <w:sz w:val="24"/>
          <w:szCs w:val="24"/>
        </w:rPr>
        <w:t>复印件</w:t>
      </w:r>
      <w:r>
        <w:rPr>
          <w:rFonts w:hint="eastAsia" w:ascii="微软雅黑" w:hAnsi="微软雅黑" w:eastAsia="微软雅黑" w:cs="微软雅黑"/>
          <w:color w:val="auto"/>
          <w:sz w:val="24"/>
          <w:szCs w:val="24"/>
          <w:lang w:val="en-US" w:eastAsia="zh-CN"/>
        </w:rPr>
        <w:t>并</w:t>
      </w:r>
      <w:r>
        <w:rPr>
          <w:rFonts w:hint="eastAsia" w:ascii="微软雅黑" w:hAnsi="微软雅黑" w:eastAsia="微软雅黑" w:cs="微软雅黑"/>
          <w:color w:val="auto"/>
          <w:sz w:val="24"/>
          <w:szCs w:val="24"/>
          <w:lang w:eastAsia="zh-CN"/>
        </w:rPr>
        <w:t>加盖公章</w:t>
      </w:r>
      <w:r>
        <w:rPr>
          <w:rFonts w:hint="eastAsia" w:ascii="微软雅黑" w:hAnsi="微软雅黑" w:eastAsia="微软雅黑" w:cs="微软雅黑"/>
          <w:color w:val="auto"/>
          <w:sz w:val="24"/>
          <w:szCs w:val="24"/>
        </w:rPr>
        <w:t>，原件备查。</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rPr>
        <w:t>服务期限内若确实需要更换拟派负责人的，须征得</w:t>
      </w:r>
      <w:r>
        <w:rPr>
          <w:rFonts w:hint="eastAsia" w:ascii="微软雅黑" w:hAnsi="微软雅黑" w:eastAsia="微软雅黑" w:cs="微软雅黑"/>
          <w:color w:val="auto"/>
          <w:sz w:val="24"/>
          <w:szCs w:val="24"/>
          <w:lang w:eastAsia="zh-CN"/>
        </w:rPr>
        <w:t>招标</w:t>
      </w:r>
      <w:r>
        <w:rPr>
          <w:rFonts w:hint="eastAsia" w:ascii="微软雅黑" w:hAnsi="微软雅黑" w:eastAsia="微软雅黑" w:cs="微软雅黑"/>
          <w:color w:val="auto"/>
          <w:sz w:val="24"/>
          <w:szCs w:val="24"/>
        </w:rPr>
        <w:t>人的同意，且更换人员的技术职称和工作经验必须等于或高于拟派人员</w:t>
      </w:r>
      <w:r>
        <w:rPr>
          <w:rFonts w:hint="eastAsia" w:ascii="微软雅黑" w:hAnsi="微软雅黑" w:eastAsia="微软雅黑" w:cs="微软雅黑"/>
          <w:color w:val="auto"/>
          <w:sz w:val="24"/>
          <w:szCs w:val="24"/>
          <w:lang w:eastAsia="zh-CN"/>
        </w:rPr>
        <w:t>。</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rPr>
        <w:t>项目组成员</w:t>
      </w:r>
      <w:r>
        <w:rPr>
          <w:rFonts w:hint="eastAsia" w:ascii="微软雅黑" w:hAnsi="微软雅黑" w:eastAsia="微软雅黑" w:cs="微软雅黑"/>
          <w:color w:val="auto"/>
          <w:sz w:val="24"/>
          <w:szCs w:val="24"/>
          <w:lang w:val="en-US" w:eastAsia="zh-CN"/>
        </w:rPr>
        <w:t>要求</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rPr>
        <w:t>招标专职人员</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rPr>
        <w:t>不少于2人</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rPr>
        <w:t>须为</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本单位职工</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须提供含2026年3月在内至少连续三个月的社保缴费证明；</w:t>
      </w:r>
      <w:r>
        <w:rPr>
          <w:rFonts w:hint="default" w:ascii="微软雅黑" w:hAnsi="微软雅黑" w:eastAsia="微软雅黑" w:cs="微软雅黑"/>
          <w:b w:val="0"/>
          <w:bCs w:val="0"/>
          <w:i w:val="0"/>
          <w:iCs w:val="0"/>
          <w:color w:val="auto"/>
          <w:kern w:val="2"/>
          <w:sz w:val="24"/>
          <w:szCs w:val="24"/>
          <w:highlight w:val="none"/>
          <w:vertAlign w:val="baseline"/>
          <w:lang w:val="en-US" w:eastAsia="zh-CN" w:bidi="ar-SA"/>
        </w:rPr>
        <w:t>若为子公司投标，则子公司与母公司提供的社保缴费证明均可作为有效证明材料</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u w:val="none"/>
          <w:lang w:val="en-US" w:eastAsia="zh-CN"/>
        </w:rPr>
        <w:t>且满足至少2名</w:t>
      </w:r>
      <w:r>
        <w:rPr>
          <w:rFonts w:hint="eastAsia" w:ascii="微软雅黑" w:hAnsi="微软雅黑" w:eastAsia="微软雅黑" w:cs="微软雅黑"/>
          <w:color w:val="auto"/>
          <w:sz w:val="24"/>
          <w:szCs w:val="24"/>
          <w:u w:val="none"/>
        </w:rPr>
        <w:t>招标专职人员</w:t>
      </w:r>
      <w:r>
        <w:rPr>
          <w:rFonts w:hint="eastAsia" w:ascii="微软雅黑" w:hAnsi="微软雅黑" w:eastAsia="微软雅黑" w:cs="微软雅黑"/>
          <w:color w:val="auto"/>
          <w:sz w:val="24"/>
          <w:szCs w:val="24"/>
          <w:u w:val="none"/>
          <w:lang w:val="en-US" w:eastAsia="zh-CN"/>
        </w:rPr>
        <w:t>具有</w:t>
      </w:r>
      <w:r>
        <w:rPr>
          <w:rFonts w:hint="eastAsia" w:ascii="微软雅黑" w:hAnsi="微软雅黑" w:eastAsia="微软雅黑" w:cs="微软雅黑"/>
          <w:color w:val="auto"/>
          <w:sz w:val="24"/>
          <w:szCs w:val="24"/>
          <w:u w:val="none"/>
        </w:rPr>
        <w:t>重庆市招投标协会颁发的招投标从业人员培训证书；</w:t>
      </w:r>
      <w:r>
        <w:rPr>
          <w:rFonts w:hint="eastAsia" w:ascii="微软雅黑" w:hAnsi="微软雅黑" w:eastAsia="微软雅黑" w:cs="微软雅黑"/>
          <w:color w:val="auto"/>
          <w:sz w:val="24"/>
          <w:szCs w:val="24"/>
          <w:u w:val="none"/>
          <w:lang w:val="en-US" w:eastAsia="zh-CN"/>
        </w:rPr>
        <w:t>提供证书复印件，</w:t>
      </w:r>
      <w:r>
        <w:rPr>
          <w:rFonts w:hint="eastAsia" w:ascii="微软雅黑" w:hAnsi="微软雅黑" w:eastAsia="微软雅黑" w:cs="微软雅黑"/>
          <w:color w:val="auto"/>
          <w:sz w:val="24"/>
          <w:szCs w:val="24"/>
          <w:u w:val="none"/>
        </w:rPr>
        <w:t>原件备查。</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7.其他要求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合同有效</w:t>
      </w:r>
      <w:r>
        <w:rPr>
          <w:rFonts w:hint="eastAsia" w:ascii="微软雅黑" w:hAnsi="微软雅黑" w:eastAsia="微软雅黑" w:cs="微软雅黑"/>
          <w:sz w:val="24"/>
          <w:szCs w:val="24"/>
        </w:rPr>
        <w:t>期</w:t>
      </w:r>
      <w:r>
        <w:rPr>
          <w:rFonts w:hint="eastAsia" w:ascii="微软雅黑" w:hAnsi="微软雅黑" w:eastAsia="微软雅黑" w:cs="微软雅黑"/>
          <w:sz w:val="24"/>
          <w:szCs w:val="24"/>
          <w:lang w:val="en-US" w:eastAsia="zh-CN"/>
        </w:rPr>
        <w:t>内</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委托代理机构</w:t>
      </w:r>
      <w:r>
        <w:rPr>
          <w:rFonts w:hint="eastAsia" w:ascii="微软雅黑" w:hAnsi="微软雅黑" w:eastAsia="微软雅黑" w:cs="微软雅黑"/>
          <w:sz w:val="24"/>
          <w:szCs w:val="24"/>
        </w:rPr>
        <w:t>应完全配合</w:t>
      </w:r>
      <w:r>
        <w:rPr>
          <w:rFonts w:hint="eastAsia" w:ascii="微软雅黑" w:hAnsi="微软雅黑" w:eastAsia="微软雅黑" w:cs="微软雅黑"/>
          <w:sz w:val="24"/>
          <w:szCs w:val="24"/>
          <w:lang w:val="en-US" w:eastAsia="zh-CN"/>
        </w:rPr>
        <w:t>招标人</w:t>
      </w:r>
      <w:r>
        <w:rPr>
          <w:rFonts w:hint="eastAsia" w:ascii="微软雅黑" w:hAnsi="微软雅黑" w:eastAsia="微软雅黑" w:cs="微软雅黑"/>
          <w:sz w:val="24"/>
          <w:szCs w:val="24"/>
        </w:rPr>
        <w:t>使用</w:t>
      </w:r>
      <w:r>
        <w:rPr>
          <w:rFonts w:hint="eastAsia" w:ascii="微软雅黑" w:hAnsi="微软雅黑" w:eastAsia="微软雅黑" w:cs="微软雅黑"/>
          <w:sz w:val="24"/>
          <w:szCs w:val="24"/>
          <w:lang w:val="en-US" w:eastAsia="zh-CN"/>
        </w:rPr>
        <w:t>医院电子招投标平台</w:t>
      </w:r>
      <w:r>
        <w:rPr>
          <w:rFonts w:hint="eastAsia" w:ascii="微软雅黑" w:hAnsi="微软雅黑" w:eastAsia="微软雅黑" w:cs="微软雅黑"/>
          <w:sz w:val="24"/>
          <w:szCs w:val="24"/>
        </w:rPr>
        <w:t>做好招标全流程管理工作。</w:t>
      </w:r>
    </w:p>
    <w:p>
      <w:pPr>
        <w:rPr>
          <w:rFonts w:hint="eastAsia" w:ascii="微软雅黑" w:hAnsi="微软雅黑" w:eastAsia="微软雅黑" w:cs="微软雅黑"/>
          <w:b/>
          <w:sz w:val="44"/>
          <w:szCs w:val="20"/>
        </w:rPr>
      </w:pPr>
      <w:bookmarkStart w:id="93" w:name="_Toc6337"/>
      <w:r>
        <w:rPr>
          <w:rFonts w:hint="eastAsia" w:ascii="微软雅黑" w:hAnsi="微软雅黑" w:eastAsia="微软雅黑" w:cs="微软雅黑"/>
          <w:b/>
          <w:sz w:val="44"/>
          <w:szCs w:val="20"/>
        </w:rPr>
        <w:br w:type="page"/>
      </w:r>
    </w:p>
    <w:p>
      <w:pPr>
        <w:pStyle w:val="4"/>
        <w:spacing w:before="200" w:after="200" w:line="240" w:lineRule="auto"/>
        <w:ind w:firstLine="1761" w:firstLineChars="400"/>
        <w:jc w:val="center"/>
        <w:rPr>
          <w:rFonts w:hint="eastAsia" w:ascii="微软雅黑" w:hAnsi="微软雅黑" w:eastAsia="微软雅黑" w:cs="微软雅黑"/>
          <w:b/>
          <w:sz w:val="44"/>
          <w:szCs w:val="20"/>
        </w:rPr>
      </w:pPr>
      <w:bookmarkStart w:id="94" w:name="_Toc24722"/>
      <w:r>
        <w:rPr>
          <w:rFonts w:hint="eastAsia" w:ascii="微软雅黑" w:hAnsi="微软雅黑" w:eastAsia="微软雅黑" w:cs="微软雅黑"/>
          <w:b/>
          <w:sz w:val="44"/>
          <w:szCs w:val="20"/>
        </w:rPr>
        <w:t xml:space="preserve">第三篇  </w:t>
      </w:r>
      <w:bookmarkEnd w:id="80"/>
      <w:r>
        <w:rPr>
          <w:rFonts w:hint="eastAsia" w:ascii="微软雅黑" w:hAnsi="微软雅黑" w:eastAsia="微软雅黑" w:cs="微软雅黑"/>
          <w:b/>
          <w:sz w:val="44"/>
          <w:szCs w:val="20"/>
        </w:rPr>
        <w:t>项目商务需求</w:t>
      </w:r>
      <w:bookmarkEnd w:id="90"/>
      <w:bookmarkEnd w:id="91"/>
      <w:bookmarkEnd w:id="92"/>
      <w:bookmarkEnd w:id="93"/>
      <w:bookmarkEnd w:id="94"/>
    </w:p>
    <w:tbl>
      <w:tblPr>
        <w:tblStyle w:val="57"/>
        <w:tblW w:w="522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4"/>
        <w:gridCol w:w="8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微软雅黑" w:hAnsi="微软雅黑" w:eastAsia="微软雅黑" w:cs="微软雅黑"/>
                <w:sz w:val="24"/>
                <w:szCs w:val="24"/>
                <w:lang w:val="en-US" w:eastAsia="zh-CN"/>
              </w:rPr>
            </w:pPr>
            <w:bookmarkStart w:id="95" w:name="_Toc76462332"/>
            <w:bookmarkStart w:id="96" w:name="_Toc6692"/>
            <w:bookmarkStart w:id="97" w:name="_Toc106030887"/>
            <w:r>
              <w:rPr>
                <w:rFonts w:hint="eastAsia" w:ascii="微软雅黑" w:hAnsi="微软雅黑" w:eastAsia="微软雅黑" w:cs="微软雅黑"/>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服务期限、服务地点及考核方式</w:t>
            </w:r>
          </w:p>
        </w:tc>
        <w:tc>
          <w:tcPr>
            <w:tcW w:w="4271"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服务期限：合同签订生效之日起三年</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服务地点：重庆医科大学附属儿童医院</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考核方式：</w:t>
            </w:r>
            <w:r>
              <w:rPr>
                <w:rFonts w:hint="eastAsia" w:ascii="微软雅黑" w:hAnsi="微软雅黑" w:eastAsia="微软雅黑" w:cs="微软雅黑"/>
                <w:color w:val="0000FF"/>
                <w:sz w:val="24"/>
                <w:szCs w:val="24"/>
                <w:lang w:val="en-US" w:eastAsia="zh-CN"/>
              </w:rPr>
              <w:t>采购人对每个代理项目按《代理机构评价表》进行一次考核，每有一个项目考核分数低于90分，扣除中标人的履约保证金10%；每有一个项目考核分数低于85分或年度考核汇总低于90分，采购人有权终止协议。</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《代理机构服务评价表》、《代理机构年度考核评价表》附后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报价要求</w:t>
            </w:r>
          </w:p>
        </w:tc>
        <w:tc>
          <w:tcPr>
            <w:tcW w:w="4271"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微软雅黑" w:hAnsi="微软雅黑" w:eastAsia="微软雅黑" w:cs="微软雅黑"/>
                <w:color w:val="000000"/>
                <w:sz w:val="24"/>
                <w:szCs w:val="24"/>
                <w:lang w:val="en-US" w:eastAsia="zh-CN"/>
              </w:rPr>
            </w:pPr>
            <w:r>
              <w:rPr>
                <w:rFonts w:hint="eastAsia" w:ascii="微软雅黑" w:hAnsi="微软雅黑" w:eastAsia="微软雅黑" w:cs="微软雅黑"/>
                <w:color w:val="000000"/>
                <w:sz w:val="24"/>
                <w:szCs w:val="24"/>
                <w:lang w:val="en-US" w:eastAsia="zh-CN"/>
              </w:rPr>
              <w:t>1.本项目为一次性报价，以响应文件上的报价为最终报价，现场不再议价。</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微软雅黑" w:hAnsi="微软雅黑" w:eastAsia="微软雅黑" w:cs="微软雅黑"/>
                <w:color w:val="000000"/>
                <w:sz w:val="24"/>
                <w:szCs w:val="24"/>
                <w:lang w:val="en-US" w:eastAsia="zh-CN"/>
              </w:rPr>
            </w:pPr>
            <w:r>
              <w:rPr>
                <w:rFonts w:hint="eastAsia" w:ascii="微软雅黑" w:hAnsi="微软雅黑" w:eastAsia="微软雅黑" w:cs="微软雅黑"/>
                <w:color w:val="000000"/>
                <w:sz w:val="24"/>
                <w:szCs w:val="24"/>
                <w:lang w:val="en-US" w:eastAsia="zh-CN"/>
              </w:rPr>
              <w:t>2.本项目投标人按渝招投协〔2015〕11号重庆市招标投标协会关于印发《重庆市招标代理服务规范（试行）》的通知中规定标准的百分比报价（无最低收费限制），代理服务费包含了采购人委托的招标、采购项目依法依规在相关指定媒体（含报 纸）发布招标（采购）公告的刊登费用、评审场地使用费、交易服务费、评标（评审）费（包括但不限于专家评审费、因招标失败需邀请专家对招标文件评审是否具有不合理条款的论证意见所需费用、专家质疑评审费用、评标（评审）期间评标委员会成员的误餐费、交通费等需要抽取或邀请专家参与的费用）、资料费等其他在招标、采购过程中发生的一切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付款方式</w:t>
            </w:r>
          </w:p>
        </w:tc>
        <w:tc>
          <w:tcPr>
            <w:tcW w:w="4271"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委托招标项目中标公告后由委托招标项目中标人全额支付单次代理服务费用，所有项目具体代理费收取标准均按渝招投协〔2015〕11号重庆市招标投标协会关于印发《重庆市招标代理服务规范（试行）》的通知规定标准中标折扣率执行</w:t>
            </w:r>
            <w:r>
              <w:rPr>
                <w:rFonts w:hint="eastAsia" w:ascii="微软雅黑" w:hAnsi="微软雅黑" w:eastAsia="微软雅黑" w:cs="微软雅黑"/>
                <w:i w:val="0"/>
                <w:iCs w:val="0"/>
                <w:caps w:val="0"/>
                <w:spacing w:val="0"/>
                <w:sz w:val="24"/>
                <w:szCs w:val="24"/>
                <w:shd w:val="clear" w:color="auto" w:fill="auto"/>
              </w:rPr>
              <w:t>（无最低收费限制）</w:t>
            </w:r>
            <w:r>
              <w:rPr>
                <w:rFonts w:hint="eastAsia" w:ascii="微软雅黑" w:hAnsi="微软雅黑" w:eastAsia="微软雅黑" w:cs="微软雅黑"/>
                <w:sz w:val="24"/>
                <w:szCs w:val="24"/>
                <w:lang w:val="en-US" w:eastAsia="zh-CN"/>
              </w:rPr>
              <w:t>。</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2.本项目中标人在合同期内执行代理行为时，不得再向委托招标项目投标人收取售卖标书以外的其他任何费用。</w:t>
            </w:r>
          </w:p>
          <w:p>
            <w:pPr>
              <w:pStyle w:val="144"/>
              <w:keepNext w:val="0"/>
              <w:keepLines w:val="0"/>
              <w:widowControl/>
              <w:suppressLineNumbers w:val="0"/>
              <w:adjustRightInd w:val="0"/>
              <w:snapToGrid w:val="0"/>
              <w:spacing w:before="0" w:beforeAutospacing="0" w:after="0" w:afterAutospacing="0" w:line="400" w:lineRule="exact"/>
              <w:ind w:left="0" w:right="0"/>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3.每个项目收取代理服务费前，应将收费金额报委托人确认后，向中标人收取。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培训</w:t>
            </w:r>
          </w:p>
        </w:tc>
        <w:tc>
          <w:tcPr>
            <w:tcW w:w="4271"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本项目投标人每年须安排不少于2次招采相关法律法规、日常业务、档案管理、案例分析等培训（培训方式为采购人指定地点现场培训，培训老师和内容必须采购人提前同意）。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其他</w:t>
            </w:r>
          </w:p>
        </w:tc>
        <w:tc>
          <w:tcPr>
            <w:tcW w:w="4271" w:type="pct"/>
            <w:vAlign w:val="center"/>
          </w:tcPr>
          <w:p>
            <w:pPr>
              <w:pStyle w:val="144"/>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color w:val="0000FF"/>
                <w:sz w:val="24"/>
                <w:szCs w:val="24"/>
                <w:lang w:val="en-US" w:eastAsia="zh-CN"/>
              </w:rPr>
            </w:pPr>
            <w:r>
              <w:rPr>
                <w:rFonts w:hint="eastAsia" w:ascii="微软雅黑" w:hAnsi="微软雅黑" w:eastAsia="微软雅黑" w:cs="微软雅黑"/>
                <w:color w:val="0000FF"/>
                <w:sz w:val="24"/>
                <w:szCs w:val="24"/>
                <w:lang w:val="en-US" w:eastAsia="zh-CN"/>
              </w:rPr>
              <w:t>1.中标人须在本项目中标公示发布之后10个工作日内向采购人提交</w:t>
            </w:r>
            <w:r>
              <w:rPr>
                <w:rFonts w:hint="eastAsia" w:ascii="微软雅黑" w:hAnsi="微软雅黑" w:eastAsia="微软雅黑" w:cs="微软雅黑"/>
                <w:color w:val="0000FF"/>
                <w:sz w:val="24"/>
                <w:szCs w:val="24"/>
              </w:rPr>
              <w:t>真实有效的</w:t>
            </w:r>
            <w:r>
              <w:rPr>
                <w:rFonts w:hint="eastAsia" w:ascii="微软雅黑" w:hAnsi="微软雅黑" w:eastAsia="微软雅黑" w:cs="微软雅黑"/>
                <w:color w:val="0000FF"/>
                <w:sz w:val="24"/>
                <w:szCs w:val="24"/>
                <w:lang w:val="en-US" w:eastAsia="zh-CN"/>
              </w:rPr>
              <w:t>履约</w:t>
            </w:r>
            <w:r>
              <w:rPr>
                <w:rFonts w:hint="eastAsia" w:ascii="微软雅黑" w:hAnsi="微软雅黑" w:eastAsia="微软雅黑" w:cs="微软雅黑"/>
                <w:color w:val="0000FF"/>
                <w:sz w:val="24"/>
                <w:szCs w:val="24"/>
              </w:rPr>
              <w:t>保证金保函（电子保函提供复印件，纸质保函提供原件），</w:t>
            </w:r>
            <w:r>
              <w:rPr>
                <w:rFonts w:hint="eastAsia" w:ascii="微软雅黑" w:hAnsi="微软雅黑" w:eastAsia="微软雅黑" w:cs="微软雅黑"/>
                <w:color w:val="0000FF"/>
                <w:sz w:val="24"/>
                <w:szCs w:val="24"/>
                <w:lang w:val="en-US" w:eastAsia="zh-CN"/>
              </w:rPr>
              <w:t>履约</w:t>
            </w:r>
            <w:r>
              <w:rPr>
                <w:rFonts w:hint="eastAsia" w:ascii="微软雅黑" w:hAnsi="微软雅黑" w:eastAsia="微软雅黑" w:cs="微软雅黑"/>
                <w:color w:val="0000FF"/>
                <w:sz w:val="24"/>
                <w:szCs w:val="24"/>
              </w:rPr>
              <w:t>保证金的保函担保金额应不低于</w:t>
            </w:r>
            <w:r>
              <w:rPr>
                <w:rFonts w:hint="eastAsia" w:ascii="微软雅黑" w:hAnsi="微软雅黑" w:eastAsia="微软雅黑" w:cs="微软雅黑"/>
                <w:color w:val="0000FF"/>
                <w:sz w:val="24"/>
                <w:szCs w:val="24"/>
                <w:lang w:val="en-US" w:eastAsia="zh-CN"/>
              </w:rPr>
              <w:t>10000元人民币</w:t>
            </w:r>
            <w:r>
              <w:rPr>
                <w:rFonts w:hint="eastAsia" w:ascii="微软雅黑" w:hAnsi="微软雅黑" w:eastAsia="微软雅黑" w:cs="微软雅黑"/>
                <w:color w:val="0000FF"/>
                <w:sz w:val="24"/>
                <w:szCs w:val="24"/>
              </w:rPr>
              <w:t>，担保方应为中华人民共和国境内注册的可开展非融资担保类业务的银行、保险公司、担保公司等金融机构，保函受益人须为本项目采购人。</w:t>
            </w:r>
          </w:p>
          <w:p>
            <w:pPr>
              <w:pStyle w:val="144"/>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必须在响应文件中对以上条款和服务承诺明确列出，承诺内容必须达到本篇及</w:t>
            </w:r>
            <w:r>
              <w:rPr>
                <w:rFonts w:hint="eastAsia" w:ascii="微软雅黑" w:hAnsi="微软雅黑" w:eastAsia="微软雅黑" w:cs="微软雅黑"/>
                <w:sz w:val="24"/>
                <w:szCs w:val="24"/>
                <w:lang w:val="en-US" w:eastAsia="zh-CN"/>
              </w:rPr>
              <w:t>协商</w:t>
            </w:r>
            <w:r>
              <w:rPr>
                <w:rFonts w:hint="eastAsia" w:ascii="微软雅黑" w:hAnsi="微软雅黑" w:eastAsia="微软雅黑" w:cs="微软雅黑"/>
                <w:sz w:val="24"/>
                <w:szCs w:val="24"/>
              </w:rPr>
              <w:t>文件其他条款的要求。</w:t>
            </w:r>
          </w:p>
          <w:p>
            <w:pPr>
              <w:pStyle w:val="144"/>
              <w:keepNext w:val="0"/>
              <w:keepLines w:val="0"/>
              <w:suppressLineNumbers w:val="0"/>
              <w:snapToGrid w:val="0"/>
              <w:spacing w:before="0" w:beforeAutospacing="0" w:after="0" w:afterAutospacing="0" w:line="400" w:lineRule="exact"/>
              <w:ind w:left="0" w:right="0"/>
              <w:rPr>
                <w:rFonts w:hint="eastAsia" w:ascii="微软雅黑" w:hAnsi="微软雅黑" w:eastAsia="微软雅黑" w:cs="微软雅黑"/>
                <w:b w:val="0"/>
                <w:bCs w:val="0"/>
                <w:kern w:val="2"/>
                <w:sz w:val="24"/>
                <w:szCs w:val="24"/>
                <w:lang w:val="en-US" w:eastAsia="zh-CN" w:bidi="ar-SA"/>
              </w:rPr>
            </w:pPr>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rPr>
              <w:t>其他未尽事宜由供需双方在采购合同中详细约定。</w:t>
            </w:r>
          </w:p>
        </w:tc>
      </w:tr>
    </w:tbl>
    <w:p>
      <w:pPr>
        <w:rPr>
          <w:rFonts w:hint="eastAsia" w:ascii="微软雅黑" w:hAnsi="微软雅黑" w:eastAsia="微软雅黑" w:cs="微软雅黑"/>
          <w:b/>
          <w:sz w:val="44"/>
          <w:szCs w:val="20"/>
        </w:rPr>
      </w:pPr>
      <w:r>
        <w:rPr>
          <w:rFonts w:hint="eastAsia" w:ascii="微软雅黑" w:hAnsi="微软雅黑" w:eastAsia="微软雅黑" w:cs="微软雅黑"/>
          <w:b/>
          <w:sz w:val="44"/>
          <w:szCs w:val="20"/>
        </w:rPr>
        <w:br w:type="page"/>
      </w:r>
    </w:p>
    <w:p>
      <w:pPr>
        <w:pStyle w:val="23"/>
        <w:rPr>
          <w:rFonts w:hint="eastAsia" w:ascii="微软雅黑" w:hAnsi="微软雅黑" w:eastAsia="微软雅黑" w:cs="微软雅黑"/>
          <w:b w:val="0"/>
          <w:bCs/>
          <w:sz w:val="44"/>
          <w:szCs w:val="20"/>
          <w:lang w:val="en-US" w:eastAsia="zh-CN"/>
        </w:rPr>
      </w:pPr>
      <w:r>
        <w:rPr>
          <w:rFonts w:hint="eastAsia" w:ascii="微软雅黑" w:hAnsi="微软雅黑" w:eastAsia="微软雅黑" w:cs="微软雅黑"/>
          <w:b w:val="0"/>
          <w:bCs/>
          <w:sz w:val="24"/>
          <w:szCs w:val="24"/>
          <w:lang w:val="en-US" w:eastAsia="zh-CN"/>
        </w:rPr>
        <w:t>附表</w:t>
      </w:r>
    </w:p>
    <w:tbl>
      <w:tblPr>
        <w:tblStyle w:val="57"/>
        <w:tblW w:w="8540" w:type="dxa"/>
        <w:tblInd w:w="108" w:type="dxa"/>
        <w:tblLayout w:type="autofit"/>
        <w:tblCellMar>
          <w:top w:w="0" w:type="dxa"/>
          <w:left w:w="108" w:type="dxa"/>
          <w:bottom w:w="0" w:type="dxa"/>
          <w:right w:w="108" w:type="dxa"/>
        </w:tblCellMar>
      </w:tblPr>
      <w:tblGrid>
        <w:gridCol w:w="1699"/>
        <w:gridCol w:w="5311"/>
        <w:gridCol w:w="765"/>
        <w:gridCol w:w="765"/>
      </w:tblGrid>
      <w:tr>
        <w:tblPrEx>
          <w:tblCellMar>
            <w:top w:w="0" w:type="dxa"/>
            <w:left w:w="108" w:type="dxa"/>
            <w:bottom w:w="0" w:type="dxa"/>
            <w:right w:w="108" w:type="dxa"/>
          </w:tblCellMar>
        </w:tblPrEx>
        <w:trPr>
          <w:trHeight w:val="450" w:hRule="atLeast"/>
        </w:trPr>
        <w:tc>
          <w:tcPr>
            <w:tcW w:w="8540" w:type="dxa"/>
            <w:gridSpan w:val="4"/>
            <w:tcBorders>
              <w:top w:val="nil"/>
              <w:left w:val="nil"/>
              <w:bottom w:val="nil"/>
              <w:right w:val="nil"/>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36"/>
                <w:szCs w:val="36"/>
              </w:rPr>
            </w:pPr>
            <w:r>
              <w:rPr>
                <w:rFonts w:hint="eastAsia" w:ascii="微软雅黑" w:hAnsi="微软雅黑" w:eastAsia="微软雅黑" w:cs="微软雅黑"/>
                <w:color w:val="000000"/>
                <w:kern w:val="0"/>
                <w:sz w:val="36"/>
                <w:szCs w:val="36"/>
              </w:rPr>
              <w:t>代理机构评价表(100 分)</w:t>
            </w:r>
          </w:p>
        </w:tc>
      </w:tr>
      <w:tr>
        <w:tblPrEx>
          <w:tblCellMar>
            <w:top w:w="0" w:type="dxa"/>
            <w:left w:w="108" w:type="dxa"/>
            <w:bottom w:w="0" w:type="dxa"/>
            <w:right w:w="108" w:type="dxa"/>
          </w:tblCellMar>
        </w:tblPrEx>
        <w:trPr>
          <w:trHeight w:val="255" w:hRule="atLeast"/>
        </w:trPr>
        <w:tc>
          <w:tcPr>
            <w:tcW w:w="8540" w:type="dxa"/>
            <w:gridSpan w:val="4"/>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xml:space="preserve">项目名称：                      项目号： </w:t>
            </w:r>
          </w:p>
        </w:tc>
      </w:tr>
      <w:tr>
        <w:tblPrEx>
          <w:tblCellMar>
            <w:top w:w="0" w:type="dxa"/>
            <w:left w:w="108" w:type="dxa"/>
            <w:bottom w:w="0" w:type="dxa"/>
            <w:right w:w="108" w:type="dxa"/>
          </w:tblCellMar>
        </w:tblPrEx>
        <w:trPr>
          <w:trHeight w:val="255" w:hRule="atLeast"/>
        </w:trPr>
        <w:tc>
          <w:tcPr>
            <w:tcW w:w="8540" w:type="dxa"/>
            <w:gridSpan w:val="4"/>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xml:space="preserve">预算金额：                      项目代理机构负责人：  </w:t>
            </w:r>
          </w:p>
        </w:tc>
      </w:tr>
      <w:tr>
        <w:tblPrEx>
          <w:tblCellMar>
            <w:top w:w="0" w:type="dxa"/>
            <w:left w:w="108" w:type="dxa"/>
            <w:bottom w:w="0" w:type="dxa"/>
            <w:right w:w="108" w:type="dxa"/>
          </w:tblCellMar>
        </w:tblPrEx>
        <w:trPr>
          <w:trHeight w:val="2265" w:hRule="atLeast"/>
        </w:trPr>
        <w:tc>
          <w:tcPr>
            <w:tcW w:w="8540" w:type="dxa"/>
            <w:gridSpan w:val="4"/>
            <w:tcBorders>
              <w:top w:val="single" w:color="auto" w:sz="4" w:space="0"/>
              <w:left w:val="single" w:color="auto" w:sz="4" w:space="0"/>
              <w:bottom w:val="single" w:color="auto" w:sz="4" w:space="0"/>
              <w:right w:val="single" w:color="auto" w:sz="4" w:space="0"/>
            </w:tcBorders>
            <w:shd w:val="clear" w:color="auto" w:fill="auto"/>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代理机构出现下列不良行为考核评价直接为 0 分，不再进行其他项目评价：</w:t>
            </w:r>
            <w:r>
              <w:rPr>
                <w:rFonts w:hint="eastAsia" w:ascii="微软雅黑" w:hAnsi="微软雅黑" w:eastAsia="微软雅黑" w:cs="微软雅黑"/>
                <w:color w:val="000000"/>
                <w:kern w:val="0"/>
                <w:sz w:val="20"/>
                <w:szCs w:val="20"/>
              </w:rPr>
              <w:br w:type="textWrapping"/>
            </w:r>
            <w:r>
              <w:rPr>
                <w:rFonts w:hint="eastAsia" w:ascii="微软雅黑" w:hAnsi="微软雅黑" w:eastAsia="微软雅黑" w:cs="微软雅黑"/>
                <w:color w:val="000000"/>
                <w:kern w:val="0"/>
                <w:sz w:val="20"/>
                <w:szCs w:val="20"/>
              </w:rPr>
              <w:t>1.采购公告、变更公告及中标公示等公示</w:t>
            </w:r>
            <w:r>
              <w:rPr>
                <w:rFonts w:hint="eastAsia" w:ascii="微软雅黑" w:hAnsi="微软雅黑" w:eastAsia="微软雅黑" w:cs="微软雅黑"/>
                <w:color w:val="000000"/>
                <w:kern w:val="0"/>
                <w:sz w:val="20"/>
                <w:szCs w:val="20"/>
                <w:lang w:eastAsia="zh-CN"/>
              </w:rPr>
              <w:t>、</w:t>
            </w:r>
            <w:r>
              <w:rPr>
                <w:rFonts w:hint="eastAsia" w:ascii="微软雅黑" w:hAnsi="微软雅黑" w:eastAsia="微软雅黑" w:cs="微软雅黑"/>
                <w:color w:val="000000"/>
                <w:kern w:val="0"/>
                <w:sz w:val="20"/>
                <w:szCs w:val="20"/>
              </w:rPr>
              <w:t xml:space="preserve">公告信息未得到采购单位确认擅自发布或因业务生疏导 致公告内容违背相关政策法规； </w:t>
            </w:r>
            <w:r>
              <w:rPr>
                <w:rFonts w:hint="eastAsia" w:ascii="微软雅黑" w:hAnsi="微软雅黑" w:eastAsia="微软雅黑" w:cs="微软雅黑"/>
                <w:color w:val="000000"/>
                <w:kern w:val="0"/>
                <w:sz w:val="20"/>
                <w:szCs w:val="20"/>
              </w:rPr>
              <w:br w:type="textWrapping"/>
            </w:r>
            <w:r>
              <w:rPr>
                <w:rFonts w:hint="eastAsia" w:ascii="微软雅黑" w:hAnsi="微软雅黑" w:eastAsia="微软雅黑" w:cs="微软雅黑"/>
                <w:color w:val="000000"/>
                <w:kern w:val="0"/>
                <w:sz w:val="20"/>
                <w:szCs w:val="20"/>
              </w:rPr>
              <w:t>2.采购文件发售、澄清、修改、延长投标截止期或调整开标日期未按规定时间执行</w:t>
            </w:r>
            <w:r>
              <w:rPr>
                <w:rFonts w:hint="eastAsia" w:ascii="微软雅黑" w:hAnsi="微软雅黑" w:eastAsia="微软雅黑" w:cs="微软雅黑"/>
                <w:color w:val="000000"/>
                <w:kern w:val="0"/>
                <w:sz w:val="20"/>
                <w:szCs w:val="20"/>
                <w:lang w:eastAsia="zh-CN"/>
              </w:rPr>
              <w:t>，</w:t>
            </w:r>
            <w:r>
              <w:rPr>
                <w:rFonts w:hint="eastAsia" w:ascii="微软雅黑" w:hAnsi="微软雅黑" w:eastAsia="微软雅黑" w:cs="微软雅黑"/>
                <w:color w:val="000000"/>
                <w:kern w:val="0"/>
                <w:sz w:val="20"/>
                <w:szCs w:val="20"/>
              </w:rPr>
              <w:t>给采购单位</w:t>
            </w:r>
            <w:r>
              <w:rPr>
                <w:rFonts w:hint="eastAsia" w:ascii="微软雅黑" w:hAnsi="微软雅黑" w:eastAsia="微软雅黑" w:cs="微软雅黑"/>
                <w:color w:val="000000"/>
                <w:kern w:val="0"/>
                <w:sz w:val="20"/>
                <w:szCs w:val="20"/>
                <w:lang w:val="en-US" w:eastAsia="zh-CN"/>
              </w:rPr>
              <w:t>造成</w:t>
            </w:r>
            <w:r>
              <w:rPr>
                <w:rFonts w:hint="eastAsia" w:ascii="微软雅黑" w:hAnsi="微软雅黑" w:eastAsia="微软雅黑" w:cs="微软雅黑"/>
                <w:color w:val="000000"/>
                <w:kern w:val="0"/>
                <w:sz w:val="20"/>
                <w:szCs w:val="20"/>
              </w:rPr>
              <w:t>不良影响；</w:t>
            </w:r>
            <w:r>
              <w:rPr>
                <w:rFonts w:hint="eastAsia" w:ascii="微软雅黑" w:hAnsi="微软雅黑" w:eastAsia="微软雅黑" w:cs="微软雅黑"/>
                <w:color w:val="000000"/>
                <w:kern w:val="0"/>
                <w:sz w:val="20"/>
                <w:szCs w:val="20"/>
              </w:rPr>
              <w:br w:type="textWrapping"/>
            </w:r>
            <w:r>
              <w:rPr>
                <w:rFonts w:hint="eastAsia" w:ascii="微软雅黑" w:hAnsi="微软雅黑" w:eastAsia="微软雅黑" w:cs="微软雅黑"/>
                <w:color w:val="000000"/>
                <w:kern w:val="0"/>
                <w:sz w:val="20"/>
                <w:szCs w:val="20"/>
              </w:rPr>
              <w:t>3.因采购代理机构原因泄露应当保密的</w:t>
            </w:r>
            <w:r>
              <w:rPr>
                <w:rFonts w:hint="eastAsia" w:ascii="微软雅黑" w:hAnsi="微软雅黑" w:eastAsia="微软雅黑" w:cs="微软雅黑"/>
                <w:color w:val="000000"/>
                <w:kern w:val="0"/>
                <w:sz w:val="20"/>
                <w:szCs w:val="20"/>
                <w:lang w:eastAsia="zh-CN"/>
              </w:rPr>
              <w:t>内容（提前泄露与</w:t>
            </w:r>
            <w:r>
              <w:rPr>
                <w:rFonts w:hint="eastAsia" w:ascii="微软雅黑" w:hAnsi="微软雅黑" w:eastAsia="微软雅黑" w:cs="微软雅黑"/>
                <w:color w:val="000000"/>
                <w:kern w:val="0"/>
                <w:sz w:val="20"/>
                <w:szCs w:val="20"/>
              </w:rPr>
              <w:t>采购活动有关</w:t>
            </w:r>
            <w:r>
              <w:rPr>
                <w:rFonts w:hint="eastAsia" w:ascii="微软雅黑" w:hAnsi="微软雅黑" w:eastAsia="微软雅黑" w:cs="微软雅黑"/>
                <w:color w:val="000000"/>
                <w:kern w:val="0"/>
                <w:sz w:val="20"/>
                <w:szCs w:val="20"/>
                <w:lang w:eastAsia="zh-CN"/>
              </w:rPr>
              <w:t>的资料、评标专家信息、报价等）</w:t>
            </w:r>
            <w:r>
              <w:rPr>
                <w:rFonts w:hint="eastAsia" w:ascii="微软雅黑" w:hAnsi="微软雅黑" w:eastAsia="微软雅黑" w:cs="微软雅黑"/>
                <w:color w:val="000000"/>
                <w:kern w:val="0"/>
                <w:sz w:val="20"/>
                <w:szCs w:val="20"/>
              </w:rPr>
              <w:t>，给采购单位造成不良影响；</w:t>
            </w:r>
            <w:r>
              <w:rPr>
                <w:rFonts w:hint="eastAsia" w:ascii="微软雅黑" w:hAnsi="微软雅黑" w:eastAsia="微软雅黑" w:cs="微软雅黑"/>
                <w:color w:val="000000"/>
                <w:kern w:val="0"/>
                <w:sz w:val="20"/>
                <w:szCs w:val="20"/>
              </w:rPr>
              <w:br w:type="textWrapping"/>
            </w:r>
            <w:r>
              <w:rPr>
                <w:rFonts w:hint="eastAsia" w:ascii="微软雅黑" w:hAnsi="微软雅黑" w:eastAsia="微软雅黑" w:cs="微软雅黑"/>
                <w:color w:val="000000"/>
                <w:kern w:val="0"/>
                <w:sz w:val="20"/>
                <w:szCs w:val="20"/>
              </w:rPr>
              <w:t>4.违反规定向采购单位或投标人索取合同约定以外的酬金或其它财物；</w:t>
            </w:r>
          </w:p>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lang w:eastAsia="zh-CN"/>
              </w:rPr>
            </w:pPr>
            <w:r>
              <w:rPr>
                <w:rFonts w:hint="eastAsia" w:ascii="微软雅黑" w:hAnsi="微软雅黑" w:eastAsia="微软雅黑" w:cs="微软雅黑"/>
                <w:color w:val="000000"/>
                <w:kern w:val="0"/>
                <w:sz w:val="20"/>
                <w:szCs w:val="20"/>
              </w:rPr>
              <w:t>5.代理机构出现违反法律法规等其他不良行为</w:t>
            </w:r>
            <w:r>
              <w:rPr>
                <w:rFonts w:hint="eastAsia" w:ascii="微软雅黑" w:hAnsi="微软雅黑" w:eastAsia="微软雅黑" w:cs="微软雅黑"/>
                <w:color w:val="000000"/>
                <w:kern w:val="0"/>
                <w:sz w:val="20"/>
                <w:szCs w:val="20"/>
                <w:lang w:eastAsia="zh-CN"/>
              </w:rPr>
              <w:t>。</w:t>
            </w:r>
          </w:p>
        </w:tc>
      </w:tr>
      <w:tr>
        <w:tblPrEx>
          <w:tblCellMar>
            <w:top w:w="0" w:type="dxa"/>
            <w:left w:w="108" w:type="dxa"/>
            <w:bottom w:w="0" w:type="dxa"/>
            <w:right w:w="108" w:type="dxa"/>
          </w:tblCellMar>
        </w:tblPrEx>
        <w:trPr>
          <w:trHeight w:val="255" w:hRule="atLeast"/>
        </w:trPr>
        <w:tc>
          <w:tcPr>
            <w:tcW w:w="1699"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xml:space="preserve">阶段 </w:t>
            </w:r>
          </w:p>
        </w:tc>
        <w:tc>
          <w:tcPr>
            <w:tcW w:w="5311"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xml:space="preserve">评价内容 </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xml:space="preserve">分值 </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得分</w:t>
            </w:r>
          </w:p>
        </w:tc>
      </w:tr>
      <w:tr>
        <w:tblPrEx>
          <w:tblCellMar>
            <w:top w:w="0" w:type="dxa"/>
            <w:left w:w="108" w:type="dxa"/>
            <w:bottom w:w="0" w:type="dxa"/>
            <w:right w:w="108" w:type="dxa"/>
          </w:tblCellMar>
        </w:tblPrEx>
        <w:trPr>
          <w:trHeight w:val="480" w:hRule="atLeast"/>
        </w:trPr>
        <w:tc>
          <w:tcPr>
            <w:tcW w:w="1699"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采购前准备</w:t>
            </w: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lang w:eastAsia="zh-CN"/>
              </w:rPr>
              <w:t>是否存在</w:t>
            </w:r>
            <w:r>
              <w:rPr>
                <w:rFonts w:hint="eastAsia" w:ascii="微软雅黑" w:hAnsi="微软雅黑" w:eastAsia="微软雅黑" w:cs="微软雅黑"/>
                <w:color w:val="000000"/>
                <w:kern w:val="0"/>
                <w:sz w:val="20"/>
                <w:szCs w:val="20"/>
                <w:highlight w:val="none"/>
              </w:rPr>
              <w:t>代理协议中内容不完善给采购人造成不良影响或未按照代理协议提供服务</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5</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495"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lang w:eastAsia="zh-CN"/>
              </w:rPr>
              <w:t>是否存在</w:t>
            </w:r>
            <w:r>
              <w:rPr>
                <w:rFonts w:hint="eastAsia" w:ascii="微软雅黑" w:hAnsi="微软雅黑" w:eastAsia="微软雅黑" w:cs="微软雅黑"/>
                <w:color w:val="000000"/>
                <w:kern w:val="0"/>
                <w:sz w:val="20"/>
                <w:szCs w:val="20"/>
                <w:highlight w:val="none"/>
              </w:rPr>
              <w:t>采购代理机构工作人员业务水平不专业</w:t>
            </w:r>
            <w:r>
              <w:rPr>
                <w:rFonts w:hint="eastAsia" w:ascii="微软雅黑" w:hAnsi="微软雅黑" w:eastAsia="微软雅黑" w:cs="微软雅黑"/>
                <w:color w:val="000000"/>
                <w:kern w:val="0"/>
                <w:sz w:val="20"/>
                <w:szCs w:val="20"/>
                <w:highlight w:val="none"/>
                <w:lang w:eastAsia="zh-CN"/>
              </w:rPr>
              <w:t>，</w:t>
            </w:r>
            <w:r>
              <w:rPr>
                <w:rFonts w:hint="eastAsia" w:ascii="微软雅黑" w:hAnsi="微软雅黑" w:eastAsia="微软雅黑" w:cs="微软雅黑"/>
                <w:color w:val="0000FF"/>
                <w:kern w:val="0"/>
                <w:sz w:val="20"/>
                <w:szCs w:val="20"/>
                <w:highlight w:val="none"/>
                <w:lang w:eastAsia="zh-CN"/>
              </w:rPr>
              <w:t>对采购相关法律法规不熟悉</w:t>
            </w:r>
            <w:r>
              <w:rPr>
                <w:rFonts w:hint="eastAsia" w:ascii="微软雅黑" w:hAnsi="微软雅黑" w:eastAsia="微软雅黑" w:cs="微软雅黑"/>
                <w:color w:val="0000FF"/>
                <w:kern w:val="0"/>
                <w:sz w:val="20"/>
                <w:szCs w:val="20"/>
                <w:highlight w:val="none"/>
              </w:rPr>
              <w:t>，</w:t>
            </w:r>
            <w:r>
              <w:rPr>
                <w:rFonts w:hint="eastAsia" w:ascii="微软雅黑" w:hAnsi="微软雅黑" w:eastAsia="微软雅黑" w:cs="微软雅黑"/>
                <w:color w:val="000000"/>
                <w:kern w:val="0"/>
                <w:sz w:val="20"/>
                <w:szCs w:val="20"/>
                <w:highlight w:val="none"/>
              </w:rPr>
              <w:t>没有相应专业团队负责该项目</w:t>
            </w:r>
            <w:r>
              <w:rPr>
                <w:rFonts w:hint="eastAsia" w:ascii="微软雅黑" w:hAnsi="微软雅黑" w:eastAsia="微软雅黑" w:cs="微软雅黑"/>
                <w:color w:val="000000"/>
                <w:kern w:val="0"/>
                <w:sz w:val="20"/>
                <w:szCs w:val="20"/>
                <w:highlight w:val="none"/>
                <w:lang w:eastAsia="zh-CN"/>
              </w:rPr>
              <w:t>的</w:t>
            </w:r>
            <w:r>
              <w:rPr>
                <w:rFonts w:hint="eastAsia" w:ascii="微软雅黑" w:hAnsi="微软雅黑" w:eastAsia="微软雅黑" w:cs="微软雅黑"/>
                <w:color w:val="000000"/>
                <w:kern w:val="0"/>
                <w:sz w:val="20"/>
                <w:szCs w:val="20"/>
                <w:highlight w:val="none"/>
              </w:rPr>
              <w:t>代理服务工作，了解采购单位需求</w:t>
            </w:r>
            <w:r>
              <w:rPr>
                <w:rFonts w:hint="eastAsia" w:ascii="微软雅黑" w:hAnsi="微软雅黑" w:eastAsia="微软雅黑" w:cs="微软雅黑"/>
                <w:color w:val="000000"/>
                <w:kern w:val="0"/>
                <w:sz w:val="20"/>
                <w:szCs w:val="20"/>
                <w:highlight w:val="none"/>
                <w:lang w:eastAsia="zh-CN"/>
              </w:rPr>
              <w:t>不</w:t>
            </w:r>
            <w:r>
              <w:rPr>
                <w:rFonts w:hint="eastAsia" w:ascii="微软雅黑" w:hAnsi="微软雅黑" w:eastAsia="微软雅黑" w:cs="微软雅黑"/>
                <w:color w:val="000000"/>
                <w:kern w:val="0"/>
                <w:sz w:val="20"/>
                <w:szCs w:val="20"/>
                <w:highlight w:val="none"/>
              </w:rPr>
              <w:t>充分</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10</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735"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在代理过程中</w:t>
            </w:r>
            <w:r>
              <w:rPr>
                <w:rFonts w:hint="eastAsia" w:ascii="微软雅黑" w:hAnsi="微软雅黑" w:eastAsia="微软雅黑" w:cs="微软雅黑"/>
                <w:color w:val="000000"/>
                <w:kern w:val="0"/>
                <w:sz w:val="20"/>
                <w:szCs w:val="20"/>
                <w:highlight w:val="none"/>
                <w:lang w:eastAsia="zh-CN"/>
              </w:rPr>
              <w:t>是否存在</w:t>
            </w:r>
            <w:r>
              <w:rPr>
                <w:rFonts w:hint="eastAsia" w:ascii="微软雅黑" w:hAnsi="微软雅黑" w:eastAsia="微软雅黑" w:cs="微软雅黑"/>
                <w:color w:val="000000"/>
                <w:kern w:val="0"/>
                <w:sz w:val="20"/>
                <w:szCs w:val="20"/>
                <w:highlight w:val="none"/>
              </w:rPr>
              <w:t>没有与采购单位及时沟通确定招标（采购）文件中的内容编制工作，没有与采购单位及时通报采购项目进度情况及相关信息</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5</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495"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在代理过程中</w:t>
            </w:r>
            <w:r>
              <w:rPr>
                <w:rFonts w:hint="eastAsia" w:ascii="微软雅黑" w:hAnsi="微软雅黑" w:eastAsia="微软雅黑" w:cs="微软雅黑"/>
                <w:color w:val="000000"/>
                <w:kern w:val="0"/>
                <w:sz w:val="20"/>
                <w:szCs w:val="20"/>
                <w:highlight w:val="none"/>
                <w:lang w:eastAsia="zh-CN"/>
              </w:rPr>
              <w:t>是否存在</w:t>
            </w:r>
            <w:r>
              <w:rPr>
                <w:rFonts w:hint="eastAsia" w:ascii="微软雅黑" w:hAnsi="微软雅黑" w:eastAsia="微软雅黑" w:cs="微软雅黑"/>
                <w:color w:val="000000"/>
                <w:kern w:val="0"/>
                <w:sz w:val="20"/>
                <w:szCs w:val="20"/>
                <w:highlight w:val="none"/>
              </w:rPr>
              <w:t>没有按照采购单位要求的合法合理时间节点上完成相应的代理服务工作</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5</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255"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代理机构招标文件制作过程中发现问题及解决问题的能力</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5</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990" w:hRule="atLeast"/>
        </w:trPr>
        <w:tc>
          <w:tcPr>
            <w:tcW w:w="1699"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采购过程服务工作</w:t>
            </w: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lang w:eastAsia="zh-CN"/>
              </w:rPr>
              <w:t>是否存在</w:t>
            </w:r>
            <w:r>
              <w:rPr>
                <w:rFonts w:hint="eastAsia" w:ascii="微软雅黑" w:hAnsi="微软雅黑" w:eastAsia="微软雅黑" w:cs="微软雅黑"/>
                <w:color w:val="000000"/>
                <w:kern w:val="0"/>
                <w:sz w:val="20"/>
                <w:szCs w:val="20"/>
                <w:highlight w:val="none"/>
              </w:rPr>
              <w:t>因项目招标（采购）文件编制文件格式不规范、文件内容违反相关规定， 主要合同条款、评标办法和技术性指标缺失或存在重大偏差和失误等原因导致采购项目时间延误，给采购单位造成不良影响</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10</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750"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lang w:eastAsia="zh-CN"/>
              </w:rPr>
              <w:t>是否存在</w:t>
            </w:r>
            <w:r>
              <w:rPr>
                <w:rFonts w:hint="eastAsia" w:ascii="微软雅黑" w:hAnsi="微软雅黑" w:eastAsia="微软雅黑" w:cs="微软雅黑"/>
                <w:color w:val="000000"/>
                <w:kern w:val="0"/>
                <w:sz w:val="20"/>
                <w:szCs w:val="20"/>
                <w:highlight w:val="none"/>
              </w:rPr>
              <w:t>未在规定时间内为采购单位对供应商质疑进行答复，或业务水平低，不能对有关法律法规、技术规范作出正确理解和解释，质疑答复满意度较低</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lang w:eastAsia="zh-CN"/>
              </w:rPr>
            </w:pPr>
            <w:r>
              <w:rPr>
                <w:rFonts w:hint="eastAsia" w:ascii="微软雅黑" w:hAnsi="微软雅黑" w:eastAsia="微软雅黑" w:cs="微软雅黑"/>
                <w:color w:val="000000"/>
                <w:kern w:val="0"/>
                <w:sz w:val="20"/>
                <w:szCs w:val="20"/>
                <w:lang w:val="en-US" w:eastAsia="zh-CN"/>
              </w:rPr>
              <w:t>5</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495"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lang w:eastAsia="zh-CN"/>
              </w:rPr>
              <w:t>是否存在</w:t>
            </w:r>
            <w:r>
              <w:rPr>
                <w:rFonts w:hint="eastAsia" w:ascii="微软雅黑" w:hAnsi="微软雅黑" w:eastAsia="微软雅黑" w:cs="微软雅黑"/>
                <w:color w:val="000000"/>
                <w:kern w:val="0"/>
                <w:sz w:val="20"/>
                <w:szCs w:val="20"/>
                <w:highlight w:val="none"/>
              </w:rPr>
              <w:t>代理机构工作人员联系方式不畅通，有关事项不能及时处理，给采购单位造成不良影响</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lang w:eastAsia="zh-CN"/>
              </w:rPr>
            </w:pPr>
            <w:r>
              <w:rPr>
                <w:rFonts w:hint="eastAsia" w:ascii="微软雅黑" w:hAnsi="微软雅黑" w:eastAsia="微软雅黑" w:cs="微软雅黑"/>
                <w:color w:val="000000"/>
                <w:kern w:val="0"/>
                <w:sz w:val="20"/>
                <w:szCs w:val="20"/>
                <w:lang w:val="en-US" w:eastAsia="zh-CN"/>
              </w:rPr>
              <w:t>5</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495"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lang w:eastAsia="zh-CN"/>
              </w:rPr>
              <w:t>是否存在</w:t>
            </w:r>
            <w:r>
              <w:rPr>
                <w:rFonts w:hint="eastAsia" w:ascii="微软雅黑" w:hAnsi="微软雅黑" w:eastAsia="微软雅黑" w:cs="微软雅黑"/>
                <w:color w:val="000000"/>
                <w:kern w:val="0"/>
                <w:sz w:val="20"/>
                <w:szCs w:val="20"/>
                <w:highlight w:val="none"/>
              </w:rPr>
              <w:t>因代理机构原因未向采购单位明确抽取专家注意事项及权责，影响到评审工作正常开展或给采购单位造成不良影响</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lang w:eastAsia="zh-CN"/>
              </w:rPr>
            </w:pPr>
            <w:r>
              <w:rPr>
                <w:rFonts w:hint="eastAsia" w:ascii="微软雅黑" w:hAnsi="微软雅黑" w:eastAsia="微软雅黑" w:cs="微软雅黑"/>
                <w:color w:val="000000"/>
                <w:kern w:val="0"/>
                <w:sz w:val="20"/>
                <w:szCs w:val="20"/>
                <w:lang w:val="en-US" w:eastAsia="zh-CN"/>
              </w:rPr>
              <w:t>5</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495"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lang w:eastAsia="zh-CN"/>
              </w:rPr>
              <w:t>是否存在</w:t>
            </w:r>
            <w:r>
              <w:rPr>
                <w:rFonts w:hint="eastAsia" w:ascii="微软雅黑" w:hAnsi="微软雅黑" w:eastAsia="微软雅黑" w:cs="微软雅黑"/>
                <w:color w:val="000000"/>
                <w:kern w:val="0"/>
                <w:sz w:val="20"/>
                <w:szCs w:val="20"/>
                <w:highlight w:val="none"/>
              </w:rPr>
              <w:t>采购会议前未和采购单位沟通确定参会人员、会议流程，介绍注意事项及采购单位权责</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lang w:eastAsia="zh-CN"/>
              </w:rPr>
            </w:pPr>
            <w:r>
              <w:rPr>
                <w:rFonts w:hint="eastAsia" w:ascii="微软雅黑" w:hAnsi="微软雅黑" w:eastAsia="微软雅黑" w:cs="微软雅黑"/>
                <w:color w:val="000000"/>
                <w:kern w:val="0"/>
                <w:sz w:val="20"/>
                <w:szCs w:val="20"/>
                <w:lang w:val="en-US" w:eastAsia="zh-CN"/>
              </w:rPr>
              <w:t>5</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495"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主持人和相关人员</w:t>
            </w:r>
            <w:r>
              <w:rPr>
                <w:rFonts w:hint="eastAsia" w:ascii="微软雅黑" w:hAnsi="微软雅黑" w:eastAsia="微软雅黑" w:cs="微软雅黑"/>
                <w:color w:val="000000"/>
                <w:kern w:val="0"/>
                <w:sz w:val="20"/>
                <w:szCs w:val="20"/>
                <w:highlight w:val="none"/>
                <w:lang w:eastAsia="zh-CN"/>
              </w:rPr>
              <w:t>是否</w:t>
            </w:r>
            <w:r>
              <w:rPr>
                <w:rFonts w:hint="eastAsia" w:ascii="微软雅黑" w:hAnsi="微软雅黑" w:eastAsia="微软雅黑" w:cs="微软雅黑"/>
                <w:color w:val="000000"/>
                <w:kern w:val="0"/>
                <w:sz w:val="20"/>
                <w:szCs w:val="20"/>
                <w:highlight w:val="none"/>
              </w:rPr>
              <w:t>做到吐字清晰准确，组织干练流畅，现场应变能力强等素养</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lang w:eastAsia="zh-CN"/>
              </w:rPr>
            </w:pPr>
            <w:r>
              <w:rPr>
                <w:rFonts w:hint="eastAsia" w:ascii="微软雅黑" w:hAnsi="微软雅黑" w:eastAsia="微软雅黑" w:cs="微软雅黑"/>
                <w:color w:val="000000"/>
                <w:kern w:val="0"/>
                <w:sz w:val="20"/>
                <w:szCs w:val="20"/>
                <w:lang w:val="en-US" w:eastAsia="zh-CN"/>
              </w:rPr>
              <w:t>4</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480"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default" w:ascii="微软雅黑" w:hAnsi="微软雅黑" w:eastAsia="微软雅黑" w:cs="微软雅黑"/>
                <w:color w:val="0070C0"/>
                <w:kern w:val="0"/>
                <w:sz w:val="20"/>
                <w:szCs w:val="20"/>
                <w:lang w:val="en-US" w:eastAsia="zh-CN"/>
              </w:rPr>
            </w:pPr>
            <w:r>
              <w:rPr>
                <w:rFonts w:hint="eastAsia" w:ascii="微软雅黑" w:hAnsi="微软雅黑" w:eastAsia="微软雅黑" w:cs="微软雅黑"/>
                <w:color w:val="0000FF"/>
                <w:kern w:val="0"/>
                <w:sz w:val="20"/>
                <w:szCs w:val="20"/>
                <w:lang w:val="en-US" w:eastAsia="zh-CN"/>
              </w:rPr>
              <w:t>采购过程中是否存在未仔细核对相关文件（包括采购记录），导致采购相关文件出现明显差错</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微软雅黑" w:hAnsi="微软雅黑" w:eastAsia="微软雅黑" w:cs="微软雅黑"/>
                <w:color w:val="0070C0"/>
                <w:kern w:val="0"/>
                <w:sz w:val="20"/>
                <w:szCs w:val="20"/>
                <w:lang w:val="en-US" w:eastAsia="zh-CN"/>
              </w:rPr>
            </w:pPr>
            <w:r>
              <w:rPr>
                <w:rFonts w:hint="eastAsia" w:ascii="微软雅黑" w:hAnsi="微软雅黑" w:eastAsia="微软雅黑" w:cs="微软雅黑"/>
                <w:color w:val="0000FF"/>
                <w:kern w:val="0"/>
                <w:sz w:val="20"/>
                <w:szCs w:val="20"/>
                <w:lang w:val="en-US" w:eastAsia="zh-CN"/>
              </w:rPr>
              <w:t>10</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r>
      <w:tr>
        <w:tblPrEx>
          <w:tblCellMar>
            <w:top w:w="0" w:type="dxa"/>
            <w:left w:w="108" w:type="dxa"/>
            <w:bottom w:w="0" w:type="dxa"/>
            <w:right w:w="108" w:type="dxa"/>
          </w:tblCellMar>
        </w:tblPrEx>
        <w:trPr>
          <w:trHeight w:val="480"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采购会议过程中发现违法违规问题不及时向采购单位或监管部门报告</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lang w:eastAsia="zh-CN"/>
              </w:rPr>
            </w:pPr>
            <w:r>
              <w:rPr>
                <w:rFonts w:hint="eastAsia" w:ascii="微软雅黑" w:hAnsi="微软雅黑" w:eastAsia="微软雅黑" w:cs="微软雅黑"/>
                <w:color w:val="000000"/>
                <w:kern w:val="0"/>
                <w:sz w:val="20"/>
                <w:szCs w:val="20"/>
                <w:lang w:val="en-US" w:eastAsia="zh-CN"/>
              </w:rPr>
              <w:t>5</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480"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采用招标方式的，</w:t>
            </w:r>
            <w:r>
              <w:rPr>
                <w:rFonts w:hint="eastAsia" w:ascii="微软雅黑" w:hAnsi="微软雅黑" w:eastAsia="微软雅黑" w:cs="微软雅黑"/>
                <w:color w:val="000000"/>
                <w:kern w:val="0"/>
                <w:sz w:val="20"/>
                <w:szCs w:val="20"/>
                <w:highlight w:val="none"/>
                <w:lang w:eastAsia="zh-CN"/>
              </w:rPr>
              <w:t>是否存在</w:t>
            </w:r>
            <w:r>
              <w:rPr>
                <w:rFonts w:hint="eastAsia" w:ascii="微软雅黑" w:hAnsi="微软雅黑" w:eastAsia="微软雅黑" w:cs="微软雅黑"/>
                <w:color w:val="000000"/>
                <w:kern w:val="0"/>
                <w:sz w:val="20"/>
                <w:szCs w:val="20"/>
                <w:highlight w:val="none"/>
              </w:rPr>
              <w:t>开标后未按委托协议中委托事项与采购单位共同审查投标人资格</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lang w:eastAsia="zh-CN"/>
              </w:rPr>
            </w:pPr>
            <w:r>
              <w:rPr>
                <w:rFonts w:hint="eastAsia" w:ascii="微软雅黑" w:hAnsi="微软雅黑" w:eastAsia="微软雅黑" w:cs="微软雅黑"/>
                <w:color w:val="000000"/>
                <w:kern w:val="0"/>
                <w:sz w:val="20"/>
                <w:szCs w:val="20"/>
                <w:lang w:val="en-US" w:eastAsia="zh-CN"/>
              </w:rPr>
              <w:t>5</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750" w:hRule="atLeast"/>
        </w:trPr>
        <w:tc>
          <w:tcPr>
            <w:tcW w:w="1699"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采购后续服务工作</w:t>
            </w: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未制订、执行政府采购档案管理制度或项目归档资料不完整、不及时进行编制汇总交给采购单位的；违反规定隐匿、销毁应当保存的采购文件 或者伪造、变造</w:t>
            </w:r>
            <w:r>
              <w:rPr>
                <w:rFonts w:hint="eastAsia" w:ascii="微软雅黑" w:hAnsi="微软雅黑" w:eastAsia="微软雅黑" w:cs="微软雅黑"/>
                <w:color w:val="000000"/>
                <w:kern w:val="0"/>
                <w:sz w:val="20"/>
                <w:szCs w:val="20"/>
                <w:highlight w:val="none"/>
                <w:lang w:eastAsia="zh-CN"/>
              </w:rPr>
              <w:t>？</w:t>
            </w:r>
            <w:r>
              <w:rPr>
                <w:rFonts w:hint="eastAsia" w:ascii="微软雅黑" w:hAnsi="微软雅黑" w:eastAsia="微软雅黑" w:cs="微软雅黑"/>
                <w:color w:val="000000"/>
                <w:kern w:val="0"/>
                <w:sz w:val="20"/>
                <w:szCs w:val="20"/>
                <w:highlight w:val="none"/>
              </w:rPr>
              <w:t>采购文件</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lang w:eastAsia="zh-CN"/>
              </w:rPr>
            </w:pPr>
            <w:r>
              <w:rPr>
                <w:rFonts w:hint="eastAsia" w:ascii="微软雅黑" w:hAnsi="微软雅黑" w:eastAsia="微软雅黑" w:cs="微软雅黑"/>
                <w:color w:val="000000"/>
                <w:kern w:val="0"/>
                <w:sz w:val="20"/>
                <w:szCs w:val="20"/>
                <w:lang w:val="en-US" w:eastAsia="zh-CN"/>
              </w:rPr>
              <w:t>5</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990"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未履行委托代理协议中明确的后续工作，如协助</w:t>
            </w:r>
            <w:r>
              <w:rPr>
                <w:rFonts w:hint="eastAsia" w:ascii="微软雅黑" w:hAnsi="微软雅黑" w:eastAsia="微软雅黑" w:cs="微软雅黑"/>
                <w:color w:val="000000"/>
                <w:kern w:val="0"/>
                <w:sz w:val="20"/>
                <w:szCs w:val="20"/>
                <w:highlight w:val="none"/>
                <w:lang w:eastAsia="zh-CN"/>
              </w:rPr>
              <w:t>采购方</w:t>
            </w:r>
            <w:r>
              <w:rPr>
                <w:rFonts w:hint="eastAsia" w:ascii="微软雅黑" w:hAnsi="微软雅黑" w:eastAsia="微软雅黑" w:cs="微软雅黑"/>
                <w:color w:val="000000"/>
                <w:kern w:val="0"/>
                <w:sz w:val="20"/>
                <w:szCs w:val="20"/>
                <w:highlight w:val="none"/>
              </w:rPr>
              <w:t>与中标供应商签订合同；采购单位在项目进度上遇到的问题和困难进行有效答复和帮助</w:t>
            </w:r>
            <w:r>
              <w:rPr>
                <w:rFonts w:hint="eastAsia" w:ascii="微软雅黑" w:hAnsi="微软雅黑" w:eastAsia="微软雅黑" w:cs="微软雅黑"/>
                <w:color w:val="000000"/>
                <w:kern w:val="0"/>
                <w:sz w:val="20"/>
                <w:szCs w:val="20"/>
                <w:highlight w:val="none"/>
                <w:lang w:eastAsia="zh-CN"/>
              </w:rPr>
              <w:t>，</w:t>
            </w:r>
            <w:r>
              <w:rPr>
                <w:rFonts w:hint="eastAsia" w:ascii="微软雅黑" w:hAnsi="微软雅黑" w:eastAsia="微软雅黑" w:cs="微软雅黑"/>
                <w:color w:val="000000"/>
                <w:kern w:val="0"/>
                <w:sz w:val="20"/>
                <w:szCs w:val="20"/>
                <w:highlight w:val="none"/>
              </w:rPr>
              <w:t>组织或协助单位组织项目完成的履约验收工作</w:t>
            </w:r>
            <w:r>
              <w:rPr>
                <w:rFonts w:hint="eastAsia" w:ascii="微软雅黑" w:hAnsi="微软雅黑" w:eastAsia="微软雅黑" w:cs="微软雅黑"/>
                <w:color w:val="000000"/>
                <w:kern w:val="0"/>
                <w:sz w:val="20"/>
                <w:szCs w:val="20"/>
                <w:highlight w:val="none"/>
                <w:lang w:eastAsia="zh-CN"/>
              </w:rPr>
              <w:t>；是否存在结果公示后，</w:t>
            </w:r>
            <w:r>
              <w:rPr>
                <w:rFonts w:hint="eastAsia" w:ascii="微软雅黑" w:hAnsi="微软雅黑" w:eastAsia="微软雅黑" w:cs="微软雅黑"/>
                <w:color w:val="000000"/>
                <w:kern w:val="0"/>
                <w:sz w:val="20"/>
                <w:szCs w:val="20"/>
                <w:highlight w:val="none"/>
              </w:rPr>
              <w:t>未在规定时间内为采购</w:t>
            </w:r>
            <w:r>
              <w:rPr>
                <w:rFonts w:hint="eastAsia" w:ascii="微软雅黑" w:hAnsi="微软雅黑" w:eastAsia="微软雅黑" w:cs="微软雅黑"/>
                <w:color w:val="000000"/>
                <w:kern w:val="0"/>
                <w:sz w:val="20"/>
                <w:szCs w:val="20"/>
                <w:highlight w:val="none"/>
                <w:lang w:eastAsia="zh-CN"/>
              </w:rPr>
              <w:t>方</w:t>
            </w:r>
            <w:r>
              <w:rPr>
                <w:rFonts w:hint="eastAsia" w:ascii="微软雅黑" w:hAnsi="微软雅黑" w:eastAsia="微软雅黑" w:cs="微软雅黑"/>
                <w:color w:val="000000"/>
                <w:kern w:val="0"/>
                <w:sz w:val="20"/>
                <w:szCs w:val="20"/>
                <w:highlight w:val="none"/>
              </w:rPr>
              <w:t>对供应商质疑</w:t>
            </w:r>
            <w:r>
              <w:rPr>
                <w:rFonts w:hint="eastAsia" w:ascii="微软雅黑" w:hAnsi="微软雅黑" w:eastAsia="微软雅黑" w:cs="微软雅黑"/>
                <w:color w:val="000000"/>
                <w:kern w:val="0"/>
                <w:sz w:val="20"/>
                <w:szCs w:val="20"/>
                <w:highlight w:val="none"/>
                <w:lang w:eastAsia="zh-CN"/>
              </w:rPr>
              <w:t>或投诉</w:t>
            </w:r>
            <w:r>
              <w:rPr>
                <w:rFonts w:hint="eastAsia" w:ascii="微软雅黑" w:hAnsi="微软雅黑" w:eastAsia="微软雅黑" w:cs="微软雅黑"/>
                <w:color w:val="000000"/>
                <w:kern w:val="0"/>
                <w:sz w:val="20"/>
                <w:szCs w:val="20"/>
                <w:highlight w:val="none"/>
              </w:rPr>
              <w:t>进行答复，或业务水平低，不能对有关法律法规、技术规范作出正确理解和解释，答复满意度较低</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lang w:eastAsia="zh-CN"/>
              </w:rPr>
            </w:pPr>
            <w:r>
              <w:rPr>
                <w:rFonts w:hint="eastAsia" w:ascii="微软雅黑" w:hAnsi="微软雅黑" w:eastAsia="微软雅黑" w:cs="微软雅黑"/>
                <w:color w:val="000000"/>
                <w:kern w:val="0"/>
                <w:sz w:val="20"/>
                <w:szCs w:val="20"/>
                <w:lang w:val="en-US" w:eastAsia="zh-CN"/>
              </w:rPr>
              <w:t>5</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255" w:hRule="atLeast"/>
        </w:trPr>
        <w:tc>
          <w:tcPr>
            <w:tcW w:w="169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p>
        </w:tc>
        <w:tc>
          <w:tcPr>
            <w:tcW w:w="5311"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因代理机构其他行为对采购单位造成不良影响的情形</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6</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285" w:hRule="atLeast"/>
        </w:trPr>
        <w:tc>
          <w:tcPr>
            <w:tcW w:w="7775"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4"/>
                <w:szCs w:val="20"/>
              </w:rPr>
            </w:pPr>
            <w:r>
              <w:rPr>
                <w:rFonts w:hint="eastAsia" w:ascii="微软雅黑" w:hAnsi="微软雅黑" w:eastAsia="微软雅黑" w:cs="微软雅黑"/>
                <w:color w:val="000000"/>
                <w:kern w:val="0"/>
                <w:sz w:val="24"/>
                <w:szCs w:val="20"/>
              </w:rPr>
              <w:t xml:space="preserve">合计 </w:t>
            </w:r>
          </w:p>
        </w:tc>
        <w:tc>
          <w:tcPr>
            <w:tcW w:w="765"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rPr>
            </w:pPr>
            <w:r>
              <w:rPr>
                <w:rFonts w:hint="eastAsia" w:ascii="微软雅黑" w:hAnsi="微软雅黑" w:eastAsia="微软雅黑" w:cs="微软雅黑"/>
                <w:color w:val="000000"/>
                <w:kern w:val="0"/>
                <w:sz w:val="20"/>
                <w:szCs w:val="20"/>
              </w:rPr>
              <w:t>　</w:t>
            </w:r>
          </w:p>
        </w:tc>
      </w:tr>
      <w:tr>
        <w:tblPrEx>
          <w:tblCellMar>
            <w:top w:w="0" w:type="dxa"/>
            <w:left w:w="108" w:type="dxa"/>
            <w:bottom w:w="0" w:type="dxa"/>
            <w:right w:w="108" w:type="dxa"/>
          </w:tblCellMar>
        </w:tblPrEx>
        <w:trPr>
          <w:trHeight w:val="285" w:hRule="atLeast"/>
        </w:trPr>
        <w:tc>
          <w:tcPr>
            <w:tcW w:w="8540" w:type="dxa"/>
            <w:gridSpan w:val="4"/>
            <w:tcBorders>
              <w:top w:val="single" w:color="auto" w:sz="4" w:space="0"/>
              <w:left w:val="single" w:color="auto" w:sz="4" w:space="0"/>
              <w:bottom w:val="single" w:color="auto"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4"/>
                <w:szCs w:val="20"/>
              </w:rPr>
            </w:pPr>
            <w:r>
              <w:rPr>
                <w:rFonts w:hint="eastAsia" w:ascii="微软雅黑" w:hAnsi="微软雅黑" w:eastAsia="微软雅黑" w:cs="微软雅黑"/>
                <w:color w:val="000000"/>
                <w:kern w:val="0"/>
                <w:sz w:val="24"/>
                <w:szCs w:val="20"/>
              </w:rPr>
              <w:t xml:space="preserve">考核人：                                      考核时间：  </w:t>
            </w:r>
          </w:p>
        </w:tc>
      </w:tr>
    </w:tbl>
    <w:p>
      <w:pPr>
        <w:widowControl/>
        <w:adjustRightInd w:val="0"/>
        <w:snapToGrid w:val="0"/>
        <w:spacing w:after="200" w:line="220" w:lineRule="atLeast"/>
        <w:jc w:val="left"/>
        <w:rPr>
          <w:sz w:val="28"/>
          <w:szCs w:val="28"/>
        </w:rPr>
      </w:pPr>
      <w:bookmarkStart w:id="203" w:name="_GoBack"/>
      <w:bookmarkEnd w:id="203"/>
    </w:p>
    <w:tbl>
      <w:tblPr>
        <w:tblStyle w:val="57"/>
        <w:tblW w:w="8640" w:type="dxa"/>
        <w:tblInd w:w="108" w:type="dxa"/>
        <w:tblLayout w:type="autofit"/>
        <w:tblCellMar>
          <w:top w:w="0" w:type="dxa"/>
          <w:left w:w="108" w:type="dxa"/>
          <w:bottom w:w="0" w:type="dxa"/>
          <w:right w:w="108" w:type="dxa"/>
        </w:tblCellMar>
      </w:tblPr>
      <w:tblGrid>
        <w:gridCol w:w="1333"/>
        <w:gridCol w:w="5859"/>
        <w:gridCol w:w="724"/>
        <w:gridCol w:w="724"/>
      </w:tblGrid>
      <w:tr>
        <w:tblPrEx>
          <w:tblCellMar>
            <w:top w:w="0" w:type="dxa"/>
            <w:left w:w="108" w:type="dxa"/>
            <w:bottom w:w="0" w:type="dxa"/>
            <w:right w:w="108" w:type="dxa"/>
          </w:tblCellMar>
        </w:tblPrEx>
        <w:trPr>
          <w:trHeight w:val="450" w:hRule="atLeast"/>
        </w:trPr>
        <w:tc>
          <w:tcPr>
            <w:tcW w:w="8640" w:type="dxa"/>
            <w:gridSpan w:val="4"/>
            <w:tcBorders>
              <w:top w:val="nil"/>
              <w:left w:val="nil"/>
              <w:bottom w:val="nil"/>
              <w:right w:val="nil"/>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36"/>
                <w:szCs w:val="36"/>
                <w:highlight w:val="none"/>
              </w:rPr>
            </w:pPr>
            <w:r>
              <w:rPr>
                <w:rFonts w:hint="eastAsia" w:ascii="微软雅黑" w:hAnsi="微软雅黑" w:eastAsia="微软雅黑" w:cs="微软雅黑"/>
                <w:color w:val="000000"/>
                <w:kern w:val="0"/>
                <w:sz w:val="36"/>
                <w:szCs w:val="36"/>
                <w:highlight w:val="none"/>
              </w:rPr>
              <w:t>代理机构年度考核评价表(100分)</w:t>
            </w:r>
          </w:p>
        </w:tc>
      </w:tr>
      <w:tr>
        <w:tblPrEx>
          <w:tblCellMar>
            <w:top w:w="0" w:type="dxa"/>
            <w:left w:w="108" w:type="dxa"/>
            <w:bottom w:w="0" w:type="dxa"/>
            <w:right w:w="108" w:type="dxa"/>
          </w:tblCellMar>
        </w:tblPrEx>
        <w:trPr>
          <w:trHeight w:val="480" w:hRule="atLeast"/>
        </w:trPr>
        <w:tc>
          <w:tcPr>
            <w:tcW w:w="8640" w:type="dxa"/>
            <w:gridSpan w:val="4"/>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代理公司： 服务期：</w:t>
            </w:r>
          </w:p>
        </w:tc>
      </w:tr>
      <w:tr>
        <w:tblPrEx>
          <w:tblCellMar>
            <w:top w:w="0" w:type="dxa"/>
            <w:left w:w="108" w:type="dxa"/>
            <w:bottom w:w="0" w:type="dxa"/>
            <w:right w:w="108" w:type="dxa"/>
          </w:tblCellMar>
        </w:tblPrEx>
        <w:trPr>
          <w:trHeight w:val="420" w:hRule="atLeast"/>
        </w:trPr>
        <w:tc>
          <w:tcPr>
            <w:tcW w:w="8640" w:type="dxa"/>
            <w:gridSpan w:val="4"/>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代理项目数量： 代理机构负责人：</w:t>
            </w:r>
          </w:p>
        </w:tc>
      </w:tr>
      <w:tr>
        <w:tblPrEx>
          <w:tblCellMar>
            <w:top w:w="0" w:type="dxa"/>
            <w:left w:w="108" w:type="dxa"/>
            <w:bottom w:w="0" w:type="dxa"/>
            <w:right w:w="108" w:type="dxa"/>
          </w:tblCellMar>
        </w:tblPrEx>
        <w:trPr>
          <w:trHeight w:val="2265" w:hRule="atLeast"/>
        </w:trPr>
        <w:tc>
          <w:tcPr>
            <w:tcW w:w="8640" w:type="dxa"/>
            <w:gridSpan w:val="4"/>
            <w:tcBorders>
              <w:top w:val="single" w:color="auto" w:sz="4" w:space="0"/>
              <w:left w:val="single" w:color="auto" w:sz="4" w:space="0"/>
              <w:bottom w:val="single" w:color="auto" w:sz="4" w:space="0"/>
              <w:right w:val="single" w:color="auto" w:sz="4" w:space="0"/>
            </w:tcBorders>
            <w:shd w:val="clear" w:color="auto" w:fill="auto"/>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代理机构出现下列不良行为考核评价直接为 0 分，不再进行其他项目评价：</w:t>
            </w:r>
            <w:r>
              <w:rPr>
                <w:rFonts w:hint="eastAsia" w:ascii="微软雅黑" w:hAnsi="微软雅黑" w:eastAsia="微软雅黑" w:cs="微软雅黑"/>
                <w:color w:val="000000"/>
                <w:kern w:val="0"/>
                <w:sz w:val="20"/>
                <w:szCs w:val="20"/>
                <w:highlight w:val="none"/>
              </w:rPr>
              <w:br w:type="textWrapping"/>
            </w:r>
            <w:r>
              <w:rPr>
                <w:rFonts w:hint="eastAsia" w:ascii="微软雅黑" w:hAnsi="微软雅黑" w:eastAsia="微软雅黑" w:cs="微软雅黑"/>
                <w:color w:val="000000"/>
                <w:kern w:val="0"/>
                <w:sz w:val="20"/>
                <w:szCs w:val="20"/>
                <w:highlight w:val="none"/>
              </w:rPr>
              <w:t>1.采购公告、变更公告及中标公示等公示</w:t>
            </w:r>
            <w:r>
              <w:rPr>
                <w:rFonts w:hint="eastAsia" w:ascii="微软雅黑" w:hAnsi="微软雅黑" w:eastAsia="微软雅黑" w:cs="微软雅黑"/>
                <w:color w:val="000000"/>
                <w:kern w:val="0"/>
                <w:sz w:val="20"/>
                <w:szCs w:val="20"/>
                <w:highlight w:val="none"/>
                <w:lang w:eastAsia="zh-CN"/>
              </w:rPr>
              <w:t>、</w:t>
            </w:r>
            <w:r>
              <w:rPr>
                <w:rFonts w:hint="eastAsia" w:ascii="微软雅黑" w:hAnsi="微软雅黑" w:eastAsia="微软雅黑" w:cs="微软雅黑"/>
                <w:color w:val="000000"/>
                <w:kern w:val="0"/>
                <w:sz w:val="20"/>
                <w:szCs w:val="20"/>
                <w:highlight w:val="none"/>
              </w:rPr>
              <w:t xml:space="preserve">公告信息未得到采购单位确认擅自发布或因业务生疏导致公告内容违背相关政策法规； </w:t>
            </w:r>
            <w:r>
              <w:rPr>
                <w:rFonts w:hint="eastAsia" w:ascii="微软雅黑" w:hAnsi="微软雅黑" w:eastAsia="微软雅黑" w:cs="微软雅黑"/>
                <w:color w:val="000000"/>
                <w:kern w:val="0"/>
                <w:sz w:val="20"/>
                <w:szCs w:val="20"/>
                <w:highlight w:val="none"/>
              </w:rPr>
              <w:br w:type="textWrapping"/>
            </w:r>
            <w:r>
              <w:rPr>
                <w:rFonts w:hint="eastAsia" w:ascii="微软雅黑" w:hAnsi="微软雅黑" w:eastAsia="微软雅黑" w:cs="微软雅黑"/>
                <w:color w:val="000000"/>
                <w:kern w:val="0"/>
                <w:sz w:val="20"/>
                <w:szCs w:val="20"/>
                <w:highlight w:val="none"/>
              </w:rPr>
              <w:t>2.采购文件发售、澄清、修改、延长投标截止期或调整开标日期未按规定时间执行</w:t>
            </w:r>
            <w:r>
              <w:rPr>
                <w:rFonts w:hint="eastAsia" w:ascii="微软雅黑" w:hAnsi="微软雅黑" w:eastAsia="微软雅黑" w:cs="微软雅黑"/>
                <w:color w:val="000000"/>
                <w:kern w:val="0"/>
                <w:sz w:val="20"/>
                <w:szCs w:val="20"/>
                <w:highlight w:val="none"/>
                <w:lang w:eastAsia="zh-CN"/>
              </w:rPr>
              <w:t>，</w:t>
            </w:r>
            <w:r>
              <w:rPr>
                <w:rFonts w:hint="eastAsia" w:ascii="微软雅黑" w:hAnsi="微软雅黑" w:eastAsia="微软雅黑" w:cs="微软雅黑"/>
                <w:color w:val="000000"/>
                <w:kern w:val="0"/>
                <w:sz w:val="20"/>
                <w:szCs w:val="20"/>
                <w:highlight w:val="none"/>
              </w:rPr>
              <w:t>给采购单位</w:t>
            </w:r>
            <w:r>
              <w:rPr>
                <w:rFonts w:hint="eastAsia" w:ascii="微软雅黑" w:hAnsi="微软雅黑" w:eastAsia="微软雅黑" w:cs="微软雅黑"/>
                <w:color w:val="000000"/>
                <w:kern w:val="0"/>
                <w:sz w:val="20"/>
                <w:szCs w:val="20"/>
                <w:highlight w:val="none"/>
                <w:lang w:eastAsia="zh-CN"/>
              </w:rPr>
              <w:t>造成</w:t>
            </w:r>
            <w:r>
              <w:rPr>
                <w:rFonts w:hint="eastAsia" w:ascii="微软雅黑" w:hAnsi="微软雅黑" w:eastAsia="微软雅黑" w:cs="微软雅黑"/>
                <w:color w:val="000000"/>
                <w:kern w:val="0"/>
                <w:sz w:val="20"/>
                <w:szCs w:val="20"/>
                <w:highlight w:val="none"/>
              </w:rPr>
              <w:t>不良影响；</w:t>
            </w:r>
            <w:r>
              <w:rPr>
                <w:rFonts w:hint="eastAsia" w:ascii="微软雅黑" w:hAnsi="微软雅黑" w:eastAsia="微软雅黑" w:cs="微软雅黑"/>
                <w:color w:val="000000"/>
                <w:kern w:val="0"/>
                <w:sz w:val="20"/>
                <w:szCs w:val="20"/>
                <w:highlight w:val="none"/>
              </w:rPr>
              <w:br w:type="textWrapping"/>
            </w:r>
            <w:r>
              <w:rPr>
                <w:rFonts w:hint="eastAsia" w:ascii="微软雅黑" w:hAnsi="微软雅黑" w:eastAsia="微软雅黑" w:cs="微软雅黑"/>
                <w:color w:val="000000"/>
                <w:kern w:val="0"/>
                <w:sz w:val="20"/>
                <w:szCs w:val="20"/>
                <w:highlight w:val="none"/>
              </w:rPr>
              <w:t>3.因采购代理机构原因泄露应当保密的</w:t>
            </w:r>
            <w:r>
              <w:rPr>
                <w:rFonts w:hint="eastAsia" w:ascii="微软雅黑" w:hAnsi="微软雅黑" w:eastAsia="微软雅黑" w:cs="微软雅黑"/>
                <w:color w:val="000000"/>
                <w:kern w:val="0"/>
                <w:sz w:val="20"/>
                <w:szCs w:val="20"/>
                <w:highlight w:val="none"/>
                <w:lang w:eastAsia="zh-CN"/>
              </w:rPr>
              <w:t>内容（提前泄露与</w:t>
            </w:r>
            <w:r>
              <w:rPr>
                <w:rFonts w:hint="eastAsia" w:ascii="微软雅黑" w:hAnsi="微软雅黑" w:eastAsia="微软雅黑" w:cs="微软雅黑"/>
                <w:color w:val="000000"/>
                <w:kern w:val="0"/>
                <w:sz w:val="20"/>
                <w:szCs w:val="20"/>
                <w:highlight w:val="none"/>
              </w:rPr>
              <w:t>采购活动有关</w:t>
            </w:r>
            <w:r>
              <w:rPr>
                <w:rFonts w:hint="eastAsia" w:ascii="微软雅黑" w:hAnsi="微软雅黑" w:eastAsia="微软雅黑" w:cs="微软雅黑"/>
                <w:color w:val="000000"/>
                <w:kern w:val="0"/>
                <w:sz w:val="20"/>
                <w:szCs w:val="20"/>
                <w:highlight w:val="none"/>
                <w:lang w:eastAsia="zh-CN"/>
              </w:rPr>
              <w:t>的资料、评标专家信息、报价等）</w:t>
            </w:r>
            <w:r>
              <w:rPr>
                <w:rFonts w:hint="eastAsia" w:ascii="微软雅黑" w:hAnsi="微软雅黑" w:eastAsia="微软雅黑" w:cs="微软雅黑"/>
                <w:color w:val="000000"/>
                <w:kern w:val="0"/>
                <w:sz w:val="20"/>
                <w:szCs w:val="20"/>
                <w:highlight w:val="none"/>
              </w:rPr>
              <w:t>，给采购单位造成不良影响；</w:t>
            </w:r>
            <w:r>
              <w:rPr>
                <w:rFonts w:hint="eastAsia" w:ascii="微软雅黑" w:hAnsi="微软雅黑" w:eastAsia="微软雅黑" w:cs="微软雅黑"/>
                <w:color w:val="000000"/>
                <w:kern w:val="0"/>
                <w:sz w:val="20"/>
                <w:szCs w:val="20"/>
                <w:highlight w:val="none"/>
              </w:rPr>
              <w:br w:type="textWrapping"/>
            </w:r>
            <w:r>
              <w:rPr>
                <w:rFonts w:hint="eastAsia" w:ascii="微软雅黑" w:hAnsi="微软雅黑" w:eastAsia="微软雅黑" w:cs="微软雅黑"/>
                <w:color w:val="000000"/>
                <w:kern w:val="0"/>
                <w:sz w:val="20"/>
                <w:szCs w:val="20"/>
                <w:highlight w:val="none"/>
              </w:rPr>
              <w:t>4.违反规定向采购单位或投标人索取合同约定以外的酬金或其它财物；</w:t>
            </w:r>
          </w:p>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5.代理机构出现违反法律法规等其他不良行为</w:t>
            </w:r>
            <w:r>
              <w:rPr>
                <w:rFonts w:hint="eastAsia" w:ascii="微软雅黑" w:hAnsi="微软雅黑" w:eastAsia="微软雅黑" w:cs="微软雅黑"/>
                <w:color w:val="000000"/>
                <w:kern w:val="0"/>
                <w:sz w:val="20"/>
                <w:szCs w:val="20"/>
                <w:highlight w:val="none"/>
                <w:lang w:eastAsia="zh-CN"/>
              </w:rPr>
              <w:t>。</w:t>
            </w:r>
          </w:p>
        </w:tc>
      </w:tr>
      <w:tr>
        <w:tblPrEx>
          <w:tblCellMar>
            <w:top w:w="0" w:type="dxa"/>
            <w:left w:w="108" w:type="dxa"/>
            <w:bottom w:w="0" w:type="dxa"/>
            <w:right w:w="108" w:type="dxa"/>
          </w:tblCellMar>
        </w:tblPrEx>
        <w:trPr>
          <w:trHeight w:val="705" w:hRule="atLeast"/>
        </w:trPr>
        <w:tc>
          <w:tcPr>
            <w:tcW w:w="1333"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color w:val="000000"/>
                <w:kern w:val="0"/>
                <w:sz w:val="20"/>
                <w:szCs w:val="20"/>
                <w:highlight w:val="none"/>
              </w:rPr>
            </w:pPr>
            <w:r>
              <w:rPr>
                <w:rFonts w:hint="eastAsia" w:ascii="微软雅黑" w:hAnsi="微软雅黑" w:eastAsia="微软雅黑" w:cs="微软雅黑"/>
                <w:b/>
                <w:bCs/>
                <w:color w:val="000000"/>
                <w:kern w:val="0"/>
                <w:sz w:val="20"/>
                <w:szCs w:val="20"/>
                <w:highlight w:val="none"/>
              </w:rPr>
              <w:t>序号</w:t>
            </w:r>
          </w:p>
        </w:tc>
        <w:tc>
          <w:tcPr>
            <w:tcW w:w="5859"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color w:val="000000"/>
                <w:kern w:val="0"/>
                <w:sz w:val="20"/>
                <w:szCs w:val="20"/>
                <w:highlight w:val="none"/>
              </w:rPr>
            </w:pPr>
            <w:r>
              <w:rPr>
                <w:rFonts w:hint="eastAsia" w:ascii="微软雅黑" w:hAnsi="微软雅黑" w:eastAsia="微软雅黑" w:cs="微软雅黑"/>
                <w:b/>
                <w:bCs/>
                <w:color w:val="000000"/>
                <w:kern w:val="0"/>
                <w:sz w:val="20"/>
                <w:szCs w:val="20"/>
                <w:highlight w:val="none"/>
              </w:rPr>
              <w:t>评分内容及占比</w:t>
            </w:r>
          </w:p>
        </w:tc>
        <w:tc>
          <w:tcPr>
            <w:tcW w:w="724"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color w:val="000000"/>
                <w:kern w:val="0"/>
                <w:sz w:val="20"/>
                <w:szCs w:val="20"/>
                <w:highlight w:val="none"/>
              </w:rPr>
            </w:pPr>
            <w:r>
              <w:rPr>
                <w:rFonts w:hint="eastAsia" w:ascii="微软雅黑" w:hAnsi="微软雅黑" w:eastAsia="微软雅黑" w:cs="微软雅黑"/>
                <w:b/>
                <w:bCs/>
                <w:color w:val="000000"/>
                <w:kern w:val="0"/>
                <w:sz w:val="20"/>
                <w:szCs w:val="20"/>
                <w:highlight w:val="none"/>
              </w:rPr>
              <w:t xml:space="preserve">分值 </w:t>
            </w:r>
          </w:p>
        </w:tc>
        <w:tc>
          <w:tcPr>
            <w:tcW w:w="724"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color w:val="000000"/>
                <w:kern w:val="0"/>
                <w:sz w:val="20"/>
                <w:szCs w:val="20"/>
                <w:highlight w:val="none"/>
              </w:rPr>
            </w:pPr>
            <w:r>
              <w:rPr>
                <w:rFonts w:hint="eastAsia" w:ascii="微软雅黑" w:hAnsi="微软雅黑" w:eastAsia="微软雅黑" w:cs="微软雅黑"/>
                <w:b/>
                <w:bCs/>
                <w:color w:val="000000"/>
                <w:kern w:val="0"/>
                <w:sz w:val="20"/>
                <w:szCs w:val="20"/>
                <w:highlight w:val="none"/>
              </w:rPr>
              <w:t>得分</w:t>
            </w:r>
          </w:p>
        </w:tc>
      </w:tr>
      <w:tr>
        <w:tblPrEx>
          <w:tblCellMar>
            <w:top w:w="0" w:type="dxa"/>
            <w:left w:w="108" w:type="dxa"/>
            <w:bottom w:w="0" w:type="dxa"/>
            <w:right w:w="108" w:type="dxa"/>
          </w:tblCellMar>
        </w:tblPrEx>
        <w:trPr>
          <w:trHeight w:val="615" w:hRule="atLeast"/>
        </w:trPr>
        <w:tc>
          <w:tcPr>
            <w:tcW w:w="1333"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1</w:t>
            </w:r>
          </w:p>
        </w:tc>
        <w:tc>
          <w:tcPr>
            <w:tcW w:w="585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代理项目评价平均得分（每个代理项目评标得分合计/代理项目数）*90%</w:t>
            </w:r>
          </w:p>
        </w:tc>
        <w:tc>
          <w:tcPr>
            <w:tcW w:w="724"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90</w:t>
            </w:r>
          </w:p>
        </w:tc>
        <w:tc>
          <w:tcPr>
            <w:tcW w:w="724"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　</w:t>
            </w:r>
          </w:p>
        </w:tc>
      </w:tr>
      <w:tr>
        <w:trPr>
          <w:trHeight w:val="690" w:hRule="atLeast"/>
        </w:trPr>
        <w:tc>
          <w:tcPr>
            <w:tcW w:w="1333"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2</w:t>
            </w:r>
          </w:p>
        </w:tc>
        <w:tc>
          <w:tcPr>
            <w:tcW w:w="5859"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其他代理协议要求服务内容（培训、协助整理采购人档案整理等）</w:t>
            </w:r>
          </w:p>
        </w:tc>
        <w:tc>
          <w:tcPr>
            <w:tcW w:w="724"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10</w:t>
            </w:r>
          </w:p>
        </w:tc>
        <w:tc>
          <w:tcPr>
            <w:tcW w:w="724"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　</w:t>
            </w:r>
          </w:p>
        </w:tc>
      </w:tr>
      <w:tr>
        <w:tblPrEx>
          <w:tblCellMar>
            <w:top w:w="0" w:type="dxa"/>
            <w:left w:w="108" w:type="dxa"/>
            <w:bottom w:w="0" w:type="dxa"/>
            <w:right w:w="108" w:type="dxa"/>
          </w:tblCellMar>
        </w:tblPrEx>
        <w:trPr>
          <w:trHeight w:val="585" w:hRule="atLeast"/>
        </w:trPr>
        <w:tc>
          <w:tcPr>
            <w:tcW w:w="7916"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000000"/>
                <w:kern w:val="0"/>
                <w:sz w:val="24"/>
                <w:szCs w:val="20"/>
                <w:highlight w:val="none"/>
              </w:rPr>
            </w:pPr>
            <w:r>
              <w:rPr>
                <w:rFonts w:hint="eastAsia" w:ascii="微软雅黑" w:hAnsi="微软雅黑" w:eastAsia="微软雅黑" w:cs="微软雅黑"/>
                <w:color w:val="000000"/>
                <w:kern w:val="0"/>
                <w:sz w:val="24"/>
                <w:szCs w:val="20"/>
                <w:highlight w:val="none"/>
              </w:rPr>
              <w:t xml:space="preserve">合计 </w:t>
            </w:r>
          </w:p>
        </w:tc>
        <w:tc>
          <w:tcPr>
            <w:tcW w:w="724"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0"/>
                <w:szCs w:val="20"/>
                <w:highlight w:val="none"/>
              </w:rPr>
            </w:pPr>
            <w:r>
              <w:rPr>
                <w:rFonts w:hint="eastAsia" w:ascii="微软雅黑" w:hAnsi="微软雅黑" w:eastAsia="微软雅黑" w:cs="微软雅黑"/>
                <w:color w:val="000000"/>
                <w:kern w:val="0"/>
                <w:sz w:val="20"/>
                <w:szCs w:val="20"/>
                <w:highlight w:val="none"/>
              </w:rPr>
              <w:t>　</w:t>
            </w:r>
          </w:p>
        </w:tc>
      </w:tr>
      <w:tr>
        <w:tblPrEx>
          <w:tblCellMar>
            <w:top w:w="0" w:type="dxa"/>
            <w:left w:w="108" w:type="dxa"/>
            <w:bottom w:w="0" w:type="dxa"/>
            <w:right w:w="108" w:type="dxa"/>
          </w:tblCellMar>
        </w:tblPrEx>
        <w:trPr>
          <w:trHeight w:val="915" w:hRule="atLeast"/>
        </w:trPr>
        <w:tc>
          <w:tcPr>
            <w:tcW w:w="8640" w:type="dxa"/>
            <w:gridSpan w:val="4"/>
            <w:tcBorders>
              <w:top w:val="single" w:color="auto" w:sz="4" w:space="0"/>
              <w:left w:val="single" w:color="auto" w:sz="4" w:space="0"/>
              <w:bottom w:val="single" w:color="auto"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000000"/>
                <w:kern w:val="0"/>
                <w:sz w:val="24"/>
                <w:szCs w:val="20"/>
                <w:highlight w:val="none"/>
              </w:rPr>
            </w:pPr>
            <w:r>
              <w:rPr>
                <w:rFonts w:hint="eastAsia" w:ascii="微软雅黑" w:hAnsi="微软雅黑" w:eastAsia="微软雅黑" w:cs="微软雅黑"/>
                <w:color w:val="000000"/>
                <w:kern w:val="0"/>
                <w:sz w:val="24"/>
                <w:szCs w:val="20"/>
                <w:highlight w:val="none"/>
              </w:rPr>
              <w:t xml:space="preserve">考核人：                                      考核时间：  </w:t>
            </w:r>
          </w:p>
        </w:tc>
      </w:tr>
    </w:tbl>
    <w:p>
      <w:pPr>
        <w:pStyle w:val="23"/>
        <w:rPr>
          <w:rFonts w:hint="eastAsia"/>
        </w:rPr>
      </w:pPr>
    </w:p>
    <w:bookmarkEnd w:id="95"/>
    <w:bookmarkEnd w:id="96"/>
    <w:bookmarkEnd w:id="97"/>
    <w:p>
      <w:pPr>
        <w:rPr>
          <w:rFonts w:hint="eastAsia" w:ascii="微软雅黑" w:hAnsi="微软雅黑" w:eastAsia="微软雅黑" w:cs="微软雅黑"/>
          <w:b/>
          <w:sz w:val="44"/>
          <w:szCs w:val="20"/>
        </w:rPr>
      </w:pPr>
      <w:bookmarkStart w:id="98" w:name="_Toc18371"/>
      <w:bookmarkStart w:id="99" w:name="_Toc12791"/>
      <w:bookmarkStart w:id="100" w:name="_Toc641"/>
      <w:r>
        <w:rPr>
          <w:rFonts w:hint="eastAsia" w:ascii="微软雅黑" w:hAnsi="微软雅黑" w:eastAsia="微软雅黑" w:cs="微软雅黑"/>
          <w:b/>
          <w:sz w:val="44"/>
          <w:szCs w:val="20"/>
        </w:rPr>
        <w:br w:type="page"/>
      </w:r>
    </w:p>
    <w:p>
      <w:pPr>
        <w:pStyle w:val="4"/>
        <w:pageBreakBefore w:val="0"/>
        <w:spacing w:before="200" w:after="200" w:line="240" w:lineRule="auto"/>
        <w:jc w:val="center"/>
        <w:rPr>
          <w:rFonts w:hint="eastAsia" w:ascii="微软雅黑" w:hAnsi="微软雅黑" w:eastAsia="微软雅黑" w:cs="微软雅黑"/>
          <w:b/>
          <w:sz w:val="44"/>
          <w:szCs w:val="20"/>
        </w:rPr>
      </w:pPr>
      <w:bookmarkStart w:id="101" w:name="_Toc20931"/>
      <w:r>
        <w:rPr>
          <w:rFonts w:hint="eastAsia" w:ascii="微软雅黑" w:hAnsi="微软雅黑" w:eastAsia="微软雅黑" w:cs="微软雅黑"/>
          <w:b/>
          <w:sz w:val="44"/>
          <w:szCs w:val="20"/>
        </w:rPr>
        <w:t xml:space="preserve">第四篇  </w:t>
      </w:r>
      <w:r>
        <w:rPr>
          <w:rFonts w:hint="eastAsia" w:ascii="微软雅黑" w:hAnsi="微软雅黑" w:eastAsia="微软雅黑" w:cs="微软雅黑"/>
          <w:b/>
          <w:sz w:val="44"/>
          <w:szCs w:val="20"/>
          <w:lang w:val="en-US" w:eastAsia="zh-CN"/>
        </w:rPr>
        <w:t>公开比选采购</w:t>
      </w:r>
      <w:r>
        <w:rPr>
          <w:rFonts w:hint="eastAsia" w:ascii="微软雅黑" w:hAnsi="微软雅黑" w:eastAsia="微软雅黑" w:cs="微软雅黑"/>
          <w:b/>
          <w:sz w:val="44"/>
          <w:szCs w:val="20"/>
        </w:rPr>
        <w:t>程序及方法、评审标准、无效响应和采购终止</w:t>
      </w:r>
      <w:bookmarkEnd w:id="98"/>
      <w:bookmarkEnd w:id="99"/>
      <w:bookmarkEnd w:id="100"/>
      <w:bookmarkEnd w:id="101"/>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02" w:name="_Toc18603"/>
      <w:bookmarkStart w:id="103" w:name="_Toc106030888"/>
      <w:bookmarkStart w:id="104" w:name="_Toc17381"/>
      <w:bookmarkStart w:id="105" w:name="_Toc5379"/>
      <w:bookmarkStart w:id="106" w:name="_Toc76462333"/>
      <w:bookmarkStart w:id="107" w:name="_Toc14958"/>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程序</w:t>
      </w:r>
      <w:bookmarkEnd w:id="102"/>
      <w:bookmarkEnd w:id="103"/>
      <w:bookmarkEnd w:id="104"/>
      <w:bookmarkEnd w:id="105"/>
      <w:bookmarkEnd w:id="106"/>
      <w:bookmarkEnd w:id="107"/>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文件规定的时间和地点进行，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小组对各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的资格条件进行审查。各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只有在完全符合要求的前提下，才能参与正式</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val="en-US" w:eastAsia="zh-CN"/>
        </w:rPr>
        <w:t>公开比选采购</w:t>
      </w:r>
      <w:r>
        <w:rPr>
          <w:rFonts w:hint="eastAsia" w:ascii="微软雅黑" w:hAnsi="微软雅黑" w:eastAsia="微软雅黑" w:cs="微软雅黑"/>
          <w:kern w:val="0"/>
          <w:sz w:val="24"/>
          <w:szCs w:val="24"/>
        </w:rPr>
        <w:t>文件的规定，对响应文件中的资格证明等进行审查，以确定</w:t>
      </w:r>
      <w:r>
        <w:rPr>
          <w:rFonts w:hint="eastAsia" w:ascii="微软雅黑" w:hAnsi="微软雅黑" w:eastAsia="微软雅黑" w:cs="微软雅黑"/>
          <w:kern w:val="0"/>
          <w:sz w:val="24"/>
          <w:szCs w:val="24"/>
          <w:lang w:val="en-US" w:eastAsia="zh-CN"/>
        </w:rPr>
        <w:t>投标人</w:t>
      </w:r>
      <w:r>
        <w:rPr>
          <w:rFonts w:hint="eastAsia" w:ascii="微软雅黑" w:hAnsi="微软雅黑" w:eastAsia="微软雅黑" w:cs="微软雅黑"/>
          <w:kern w:val="0"/>
          <w:sz w:val="24"/>
          <w:szCs w:val="24"/>
        </w:rPr>
        <w:t>是否具备</w:t>
      </w:r>
      <w:r>
        <w:rPr>
          <w:rFonts w:hint="eastAsia" w:ascii="微软雅黑" w:hAnsi="微软雅黑" w:eastAsia="微软雅黑" w:cs="微软雅黑"/>
          <w:kern w:val="0"/>
          <w:sz w:val="24"/>
          <w:szCs w:val="24"/>
          <w:lang w:val="en-US" w:eastAsia="zh-CN"/>
        </w:rPr>
        <w:t>比选</w:t>
      </w:r>
      <w:r>
        <w:rPr>
          <w:rFonts w:hint="eastAsia" w:ascii="微软雅黑" w:hAnsi="微软雅黑" w:eastAsia="微软雅黑" w:cs="微软雅黑"/>
          <w:kern w:val="0"/>
          <w:sz w:val="24"/>
          <w:szCs w:val="24"/>
        </w:rPr>
        <w:t>资格。资格性审查资料表如下：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（一）</w:t>
            </w:r>
          </w:p>
        </w:tc>
        <w:tc>
          <w:tcPr>
            <w:tcW w:w="891"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《中华人民共和国政府采购法》第二十二条规定</w:t>
            </w: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1.具有独立承担民事责任的能力</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 xml:space="preserve">营业执照（副本）或事业单位证书（副本）或个体工商户营业执照或有效的自然人身份证明或社会团体法人登记证书（提供复印件）。 </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r>
              <w:rPr>
                <w:rFonts w:hint="eastAsia" w:ascii="微软雅黑" w:hAnsi="微软雅黑" w:eastAsia="微软雅黑" w:cs="微软雅黑"/>
                <w:sz w:val="21"/>
                <w:szCs w:val="21"/>
                <w:lang w:val="en-US" w:eastAsia="zh-CN"/>
              </w:rPr>
              <w:t>投标人单位负责人</w:t>
            </w:r>
            <w:r>
              <w:rPr>
                <w:rFonts w:hint="eastAsia" w:ascii="微软雅黑" w:hAnsi="微软雅黑" w:eastAsia="微软雅黑" w:cs="微软雅黑"/>
                <w:sz w:val="21"/>
                <w:szCs w:val="21"/>
              </w:rPr>
              <w:t>身份证明和</w:t>
            </w:r>
            <w:r>
              <w:rPr>
                <w:rFonts w:hint="eastAsia" w:ascii="微软雅黑" w:hAnsi="微软雅黑" w:eastAsia="微软雅黑" w:cs="微软雅黑"/>
                <w:sz w:val="21"/>
                <w:szCs w:val="21"/>
                <w:lang w:val="en-US" w:eastAsia="zh-CN"/>
              </w:rPr>
              <w:t>负责人</w:t>
            </w:r>
            <w:r>
              <w:rPr>
                <w:rFonts w:hint="eastAsia" w:ascii="微软雅黑" w:hAnsi="微软雅黑" w:eastAsia="微软雅黑" w:cs="微软雅黑"/>
                <w:sz w:val="21"/>
                <w:szCs w:val="21"/>
              </w:rPr>
              <w:t>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zh-CN"/>
              </w:rPr>
              <w:t>2.</w:t>
            </w:r>
            <w:r>
              <w:rPr>
                <w:rFonts w:hint="eastAsia" w:ascii="微软雅黑" w:hAnsi="微软雅黑" w:eastAsia="微软雅黑" w:cs="微软雅黑"/>
                <w:sz w:val="21"/>
                <w:szCs w:val="21"/>
              </w:rPr>
              <w:t>具有良好的商业信誉和健全的财务会计制度</w:t>
            </w:r>
          </w:p>
        </w:tc>
        <w:tc>
          <w:tcPr>
            <w:tcW w:w="5105"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提供“基本资格条件承诺函”（格式详见第</w:t>
            </w:r>
            <w:r>
              <w:rPr>
                <w:rFonts w:hint="eastAsia" w:ascii="微软雅黑" w:hAnsi="微软雅黑" w:eastAsia="微软雅黑" w:cs="微软雅黑"/>
                <w:sz w:val="21"/>
                <w:szCs w:val="21"/>
                <w:lang w:val="en-US" w:eastAsia="zh-CN"/>
              </w:rPr>
              <w:t>六</w:t>
            </w:r>
            <w:r>
              <w:rPr>
                <w:rFonts w:hint="eastAsia" w:ascii="微软雅黑" w:hAnsi="微软雅黑" w:eastAsia="微软雅黑" w:cs="微软雅黑"/>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3.具有履行合同所必需的设备和专业技术能力</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4.有依法缴纳税收和社会保障金的良好记录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rPr>
              <w:t>5.参加政府采购活动前三年内，在经营活动中没有重大违法记录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6.法律、行政法规规定的其他条件</w:t>
            </w:r>
          </w:p>
        </w:tc>
        <w:tc>
          <w:tcPr>
            <w:tcW w:w="5105" w:type="dxa"/>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7.本项目的特定资格要求</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按“第一篇</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资格要求（</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保证金</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按照</w:t>
            </w:r>
            <w:r>
              <w:rPr>
                <w:rFonts w:hint="eastAsia" w:ascii="微软雅黑" w:hAnsi="微软雅黑" w:eastAsia="微软雅黑" w:cs="微软雅黑"/>
                <w:sz w:val="21"/>
                <w:szCs w:val="21"/>
                <w:lang w:val="en-US" w:eastAsia="zh-CN"/>
              </w:rPr>
              <w:t>比选</w:t>
            </w:r>
            <w:r>
              <w:rPr>
                <w:rFonts w:hint="eastAsia" w:ascii="微软雅黑" w:hAnsi="微软雅黑" w:eastAsia="微软雅黑" w:cs="微软雅黑"/>
                <w:sz w:val="21"/>
                <w:szCs w:val="21"/>
              </w:rPr>
              <w:t>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lang w:val="en-US" w:eastAsia="zh-CN"/>
              </w:rPr>
              <w:t>三</w:t>
            </w:r>
            <w:r>
              <w:rPr>
                <w:rFonts w:hint="eastAsia" w:ascii="微软雅黑" w:hAnsi="微软雅黑" w:eastAsia="微软雅黑" w:cs="微软雅黑"/>
                <w:sz w:val="21"/>
                <w:szCs w:val="21"/>
                <w:lang w:eastAsia="zh-CN"/>
              </w:rPr>
              <w:t>）</w:t>
            </w:r>
          </w:p>
        </w:tc>
        <w:tc>
          <w:tcPr>
            <w:tcW w:w="891" w:type="dxa"/>
          </w:tcPr>
          <w:p>
            <w:pPr>
              <w:pStyle w:val="144"/>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IP地址</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tcPr>
          <w:p>
            <w:pPr>
              <w:pStyle w:val="144"/>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rPr>
            </w:pPr>
            <w:r>
              <w:rPr>
                <w:rFonts w:hint="eastAsia" w:ascii="微软雅黑" w:hAnsi="微软雅黑" w:eastAsia="微软雅黑" w:cs="微软雅黑"/>
                <w:sz w:val="21"/>
                <w:szCs w:val="21"/>
                <w:lang w:val="en-US" w:eastAsia="zh-CN"/>
              </w:rPr>
              <w:t>投标人在采购人指定招标平台进行报名或提交响应文件时，是否出现与其他投标人IP地址重复的情况。如果有则视为存在围标和串标风险，取消所有IP地址重复的投标人的投标资格。</w:t>
            </w:r>
          </w:p>
        </w:tc>
      </w:tr>
    </w:tbl>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w:t>
      </w:r>
      <w:r>
        <w:rPr>
          <w:rFonts w:hint="eastAsia" w:ascii="微软雅黑" w:hAnsi="微软雅黑" w:eastAsia="微软雅黑" w:cs="微软雅黑"/>
          <w:kern w:val="0"/>
          <w:sz w:val="24"/>
          <w:szCs w:val="24"/>
          <w:lang w:val="en-US" w:eastAsia="zh-CN"/>
        </w:rPr>
        <w:t>投标人</w:t>
      </w:r>
      <w:r>
        <w:rPr>
          <w:rFonts w:hint="eastAsia" w:ascii="微软雅黑" w:hAnsi="微软雅黑" w:eastAsia="微软雅黑" w:cs="微软雅黑"/>
          <w:kern w:val="0"/>
          <w:sz w:val="24"/>
          <w:szCs w:val="24"/>
        </w:rPr>
        <w:t>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w:t>
      </w:r>
      <w:r>
        <w:rPr>
          <w:rFonts w:hint="eastAsia" w:ascii="微软雅黑" w:hAnsi="微软雅黑" w:eastAsia="微软雅黑" w:cs="微软雅黑"/>
          <w:kern w:val="0"/>
          <w:sz w:val="24"/>
          <w:szCs w:val="24"/>
          <w:lang w:eastAsia="zh-CN"/>
        </w:rPr>
        <w:t>投标人</w:t>
      </w:r>
      <w:r>
        <w:rPr>
          <w:rFonts w:hint="eastAsia" w:ascii="微软雅黑" w:hAnsi="微软雅黑" w:eastAsia="微软雅黑" w:cs="微软雅黑"/>
          <w:kern w:val="0"/>
          <w:sz w:val="24"/>
          <w:szCs w:val="24"/>
        </w:rPr>
        <w:t>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lang w:val="en-US" w:eastAsia="zh-CN"/>
        </w:rPr>
      </w:pPr>
      <w:bookmarkStart w:id="108" w:name="_Toc4495"/>
      <w:bookmarkStart w:id="109" w:name="_Toc29775"/>
      <w:bookmarkStart w:id="110" w:name="_Toc10843"/>
      <w:bookmarkStart w:id="111" w:name="_Toc25824"/>
      <w:bookmarkStart w:id="112" w:name="_Toc76462335"/>
      <w:bookmarkStart w:id="113" w:name="_Toc31497"/>
      <w:bookmarkStart w:id="114" w:name="_Toc106030890"/>
      <w:bookmarkStart w:id="115" w:name="_Toc342913394"/>
      <w:bookmarkStart w:id="116" w:name="_Toc102227320"/>
      <w:r>
        <w:rPr>
          <w:rFonts w:hint="eastAsia" w:ascii="微软雅黑" w:hAnsi="微软雅黑" w:eastAsia="微软雅黑" w:cs="微软雅黑"/>
          <w:color w:val="auto"/>
          <w:sz w:val="24"/>
          <w:lang w:val="en-US" w:eastAsia="zh-CN"/>
        </w:rPr>
        <w:t>二、报价方式</w:t>
      </w:r>
      <w:bookmarkEnd w:id="108"/>
      <w:bookmarkEnd w:id="109"/>
      <w:bookmarkEnd w:id="110"/>
    </w:p>
    <w:p>
      <w:pPr>
        <w:pStyle w:val="4"/>
        <w:adjustRightInd w:val="0"/>
        <w:snapToGrid w:val="0"/>
        <w:spacing w:before="0" w:after="0" w:line="400" w:lineRule="exact"/>
        <w:ind w:firstLine="480" w:firstLineChars="200"/>
        <w:rPr>
          <w:rFonts w:hint="eastAsia" w:ascii="微软雅黑" w:hAnsi="微软雅黑" w:eastAsia="微软雅黑" w:cs="微软雅黑"/>
          <w:color w:val="000000"/>
          <w:sz w:val="24"/>
        </w:rPr>
      </w:pPr>
      <w:bookmarkStart w:id="117" w:name="_Toc1743"/>
      <w:bookmarkStart w:id="118" w:name="_Toc27394"/>
      <w:bookmarkStart w:id="119" w:name="_Toc27607"/>
      <w:r>
        <w:rPr>
          <w:rFonts w:hint="eastAsia" w:ascii="微软雅黑" w:hAnsi="微软雅黑" w:eastAsia="微软雅黑" w:cs="微软雅黑"/>
          <w:color w:val="000000"/>
          <w:sz w:val="24"/>
          <w:szCs w:val="24"/>
          <w:lang w:val="en-US" w:eastAsia="zh-CN"/>
        </w:rPr>
        <w:t>1.本项目为一次性报价，以响应文件上的报价为最终报价，现场不再议价。</w:t>
      </w:r>
      <w:bookmarkEnd w:id="117"/>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20" w:name="_Toc31617"/>
      <w:r>
        <w:rPr>
          <w:rFonts w:hint="eastAsia" w:ascii="微软雅黑" w:hAnsi="微软雅黑" w:eastAsia="微软雅黑" w:cs="微软雅黑"/>
          <w:color w:val="auto"/>
          <w:sz w:val="24"/>
          <w:lang w:val="en-US" w:eastAsia="zh-CN"/>
        </w:rPr>
        <w:t>三、评标方法</w:t>
      </w:r>
      <w:bookmarkEnd w:id="111"/>
      <w:bookmarkEnd w:id="118"/>
      <w:bookmarkEnd w:id="119"/>
      <w:bookmarkEnd w:id="120"/>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本项目采用综合评分法进行评标。</w:t>
      </w:r>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综合评分法，是指</w:t>
      </w:r>
      <w:r>
        <w:rPr>
          <w:rFonts w:hint="eastAsia" w:ascii="微软雅黑" w:hAnsi="微软雅黑" w:eastAsia="微软雅黑" w:cs="微软雅黑"/>
          <w:color w:val="auto"/>
          <w:kern w:val="0"/>
          <w:sz w:val="24"/>
          <w:szCs w:val="24"/>
          <w:lang w:eastAsia="zh-CN"/>
        </w:rPr>
        <w:t>响应文件</w:t>
      </w:r>
      <w:r>
        <w:rPr>
          <w:rFonts w:hint="eastAsia" w:ascii="微软雅黑" w:hAnsi="微软雅黑" w:eastAsia="微软雅黑" w:cs="微软雅黑"/>
          <w:color w:val="auto"/>
          <w:kern w:val="0"/>
          <w:sz w:val="24"/>
          <w:szCs w:val="24"/>
        </w:rPr>
        <w:t>满足招标文件全部实质性要求且按照评审因素的量化指标评审得分最高的投标人为中标候选人的评标方法。投标人总得分为价格、商务、技术（质量）等评定因素分别按照相应权重值计算分项得分后相加，满分为100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（一）比较与评价。按招标文件中规定的评标方法和标准，对资格审查和符合性审查合格的</w:t>
      </w:r>
      <w:r>
        <w:rPr>
          <w:rFonts w:hint="eastAsia" w:ascii="微软雅黑" w:hAnsi="微软雅黑" w:eastAsia="微软雅黑" w:cs="微软雅黑"/>
          <w:color w:val="auto"/>
          <w:sz w:val="24"/>
          <w:szCs w:val="24"/>
          <w:lang w:eastAsia="zh-CN"/>
        </w:rPr>
        <w:t>响应文件</w:t>
      </w:r>
      <w:r>
        <w:rPr>
          <w:rFonts w:hint="eastAsia" w:ascii="微软雅黑" w:hAnsi="微软雅黑" w:eastAsia="微软雅黑" w:cs="微软雅黑"/>
          <w:color w:val="auto"/>
          <w:sz w:val="24"/>
          <w:szCs w:val="24"/>
        </w:rPr>
        <w:t>进行商务和技术评估。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评审得分相同的，由采购人委托评标委员会按照招标文件规定的方式确定一个投标人获得</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 xml:space="preserve">推荐资格，招标文件未规定的采取随机抽取方式确定，其他同品牌投标人不作为中标候选人。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评标委员会各成员独立对每个有效投标人（通过资格审查、符合性审查的投标人）的</w:t>
      </w:r>
      <w:r>
        <w:rPr>
          <w:rFonts w:hint="eastAsia" w:ascii="微软雅黑" w:hAnsi="微软雅黑" w:eastAsia="微软雅黑" w:cs="微软雅黑"/>
          <w:color w:val="auto"/>
          <w:sz w:val="24"/>
          <w:szCs w:val="24"/>
          <w:lang w:eastAsia="zh-CN"/>
        </w:rPr>
        <w:t>响应文件</w:t>
      </w:r>
      <w:r>
        <w:rPr>
          <w:rFonts w:hint="eastAsia" w:ascii="微软雅黑" w:hAnsi="微软雅黑" w:eastAsia="微软雅黑" w:cs="微软雅黑"/>
          <w:color w:val="auto"/>
          <w:sz w:val="24"/>
          <w:szCs w:val="24"/>
        </w:rPr>
        <w:t>进行评价、打分，然后由评标委员会对各成员打分情况进行核查及复核，个别成员对同一投标人同一评分项的打分偏离较大的，应对投标人的</w:t>
      </w:r>
      <w:r>
        <w:rPr>
          <w:rFonts w:hint="eastAsia" w:ascii="微软雅黑" w:hAnsi="微软雅黑" w:eastAsia="微软雅黑" w:cs="微软雅黑"/>
          <w:color w:val="auto"/>
          <w:sz w:val="24"/>
          <w:szCs w:val="24"/>
          <w:lang w:eastAsia="zh-CN"/>
        </w:rPr>
        <w:t>响应文件</w:t>
      </w:r>
      <w:r>
        <w:rPr>
          <w:rFonts w:hint="eastAsia" w:ascii="微软雅黑" w:hAnsi="微软雅黑" w:eastAsia="微软雅黑" w:cs="微软雅黑"/>
          <w:color w:val="auto"/>
          <w:sz w:val="24"/>
          <w:szCs w:val="24"/>
        </w:rPr>
        <w:t>进行再次核对，确属打分有误的，应及时进行修正。</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复核后，评标委员会汇总每个投标人每项评分因素的得分。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（二）推荐中标候选人名单。</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按评审后得分由高到低的排列顺序推荐综合得分排名前三的投标人为本包（项目）中标候选人，排名第一的为第一中标候选人。得分相同的，按投标报价由低到高顺序排列。得分且投标报价相同的并列。</w:t>
      </w:r>
    </w:p>
    <w:p>
      <w:pPr>
        <w:pStyle w:val="4"/>
        <w:numPr>
          <w:ilvl w:val="0"/>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lang w:val="en-US" w:eastAsia="zh-CN"/>
        </w:rPr>
      </w:pPr>
      <w:bookmarkStart w:id="121" w:name="_Toc30944"/>
      <w:bookmarkStart w:id="122" w:name="_Toc5973"/>
      <w:bookmarkStart w:id="123" w:name="_Toc76462334"/>
      <w:bookmarkStart w:id="124" w:name="_Toc18577"/>
      <w:bookmarkStart w:id="125" w:name="_Toc24201"/>
      <w:bookmarkStart w:id="126" w:name="_Toc4739"/>
      <w:bookmarkStart w:id="127" w:name="_Toc106030889"/>
      <w:r>
        <w:rPr>
          <w:rFonts w:hint="eastAsia" w:ascii="微软雅黑" w:hAnsi="微软雅黑" w:eastAsia="微软雅黑" w:cs="微软雅黑"/>
          <w:color w:val="auto"/>
          <w:sz w:val="24"/>
          <w:lang w:val="en-US" w:eastAsia="zh-CN"/>
        </w:rPr>
        <w:t>四、评审标准</w:t>
      </w:r>
      <w:bookmarkEnd w:id="121"/>
      <w:bookmarkEnd w:id="122"/>
      <w:bookmarkEnd w:id="123"/>
      <w:bookmarkEnd w:id="124"/>
      <w:bookmarkEnd w:id="125"/>
      <w:bookmarkEnd w:id="126"/>
      <w:bookmarkEnd w:id="127"/>
    </w:p>
    <w:tbl>
      <w:tblPr>
        <w:tblStyle w:val="57"/>
        <w:tblW w:w="10069" w:type="dxa"/>
        <w:tblInd w:w="0" w:type="dxa"/>
        <w:tblLayout w:type="fixed"/>
        <w:tblCellMar>
          <w:top w:w="0" w:type="dxa"/>
          <w:left w:w="108" w:type="dxa"/>
          <w:bottom w:w="0" w:type="dxa"/>
          <w:right w:w="108" w:type="dxa"/>
        </w:tblCellMar>
      </w:tblPr>
      <w:tblGrid>
        <w:gridCol w:w="734"/>
        <w:gridCol w:w="1098"/>
        <w:gridCol w:w="832"/>
        <w:gridCol w:w="5875"/>
        <w:gridCol w:w="1530"/>
      </w:tblGrid>
      <w:tr>
        <w:tblPrEx>
          <w:tblCellMar>
            <w:top w:w="0" w:type="dxa"/>
            <w:left w:w="108" w:type="dxa"/>
            <w:bottom w:w="0" w:type="dxa"/>
            <w:right w:w="108" w:type="dxa"/>
          </w:tblCellMar>
        </w:tblPrEx>
        <w:trPr>
          <w:trHeight w:val="500" w:hRule="atLeast"/>
        </w:trPr>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bookmarkStart w:id="128" w:name="_Toc15660"/>
            <w:bookmarkStart w:id="129" w:name="_Toc29489"/>
            <w:r>
              <w:rPr>
                <w:rFonts w:hint="eastAsia" w:ascii="微软雅黑" w:hAnsi="微软雅黑" w:eastAsia="微软雅黑" w:cs="微软雅黑"/>
                <w:color w:val="auto"/>
                <w:sz w:val="21"/>
                <w:szCs w:val="21"/>
              </w:rPr>
              <w:t>序号</w:t>
            </w: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评价要素及权重</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分值</w:t>
            </w:r>
          </w:p>
        </w:tc>
        <w:tc>
          <w:tcPr>
            <w:tcW w:w="58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评价标准</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说明</w:t>
            </w:r>
          </w:p>
        </w:tc>
      </w:tr>
      <w:tr>
        <w:tblPrEx>
          <w:tblCellMar>
            <w:top w:w="0" w:type="dxa"/>
            <w:left w:w="108" w:type="dxa"/>
            <w:bottom w:w="0" w:type="dxa"/>
            <w:right w:w="108" w:type="dxa"/>
          </w:tblCellMar>
        </w:tblPrEx>
        <w:trPr>
          <w:trHeight w:val="90" w:hRule="atLeast"/>
        </w:trPr>
        <w:tc>
          <w:tcPr>
            <w:tcW w:w="734"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w:t>
            </w:r>
          </w:p>
        </w:tc>
        <w:tc>
          <w:tcPr>
            <w:tcW w:w="1098"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价格部分（</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0%）</w:t>
            </w:r>
          </w:p>
        </w:tc>
        <w:tc>
          <w:tcPr>
            <w:tcW w:w="832"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0分</w:t>
            </w:r>
          </w:p>
        </w:tc>
        <w:tc>
          <w:tcPr>
            <w:tcW w:w="5875" w:type="dxa"/>
            <w:tcBorders>
              <w:top w:val="nil"/>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highlight w:val="none"/>
              </w:rPr>
              <w:t>有效的投标报价中的最低价（收取标准百分比）</w:t>
            </w:r>
            <w:r>
              <w:rPr>
                <w:rFonts w:hint="eastAsia" w:ascii="微软雅黑" w:hAnsi="微软雅黑" w:eastAsia="微软雅黑" w:cs="微软雅黑"/>
                <w:color w:val="auto"/>
                <w:sz w:val="21"/>
                <w:szCs w:val="21"/>
              </w:rPr>
              <w:t>为评标基准价，其价格分为满分。其他投标人的价格分统一按照下列公式计算：投标报价得分＝（评标基准价/投标报价）×价格权重×100。</w:t>
            </w:r>
          </w:p>
        </w:tc>
        <w:tc>
          <w:tcPr>
            <w:tcW w:w="1530"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得分采用四舍五入法保留小数点后两位。</w:t>
            </w:r>
          </w:p>
        </w:tc>
      </w:tr>
      <w:tr>
        <w:tblPrEx>
          <w:tblCellMar>
            <w:top w:w="0" w:type="dxa"/>
            <w:left w:w="108" w:type="dxa"/>
            <w:bottom w:w="0" w:type="dxa"/>
            <w:right w:w="108" w:type="dxa"/>
          </w:tblCellMar>
        </w:tblPrEx>
        <w:trPr>
          <w:trHeight w:val="495" w:hRule="atLeast"/>
        </w:trPr>
        <w:tc>
          <w:tcPr>
            <w:tcW w:w="734"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2</w:t>
            </w:r>
          </w:p>
        </w:tc>
        <w:tc>
          <w:tcPr>
            <w:tcW w:w="109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服务部分（50%）</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1D41D5"/>
                <w:sz w:val="21"/>
                <w:szCs w:val="21"/>
                <w:lang w:val="en-US" w:eastAsia="zh-CN"/>
              </w:rPr>
            </w:pPr>
            <w:r>
              <w:rPr>
                <w:rFonts w:hint="eastAsia" w:ascii="微软雅黑" w:hAnsi="微软雅黑" w:eastAsia="微软雅黑" w:cs="微软雅黑"/>
                <w:color w:val="1D41D5"/>
                <w:sz w:val="21"/>
                <w:szCs w:val="21"/>
                <w:lang w:val="en-US" w:eastAsia="zh-CN"/>
              </w:rPr>
              <w:t>服务方案</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1D41D5"/>
                <w:sz w:val="21"/>
                <w:szCs w:val="21"/>
                <w:lang w:val="en-US" w:eastAsia="zh-CN"/>
              </w:rPr>
              <w:t>25</w:t>
            </w:r>
            <w:r>
              <w:rPr>
                <w:rFonts w:hint="eastAsia" w:ascii="微软雅黑" w:hAnsi="微软雅黑" w:eastAsia="微软雅黑" w:cs="微软雅黑"/>
                <w:color w:val="1D41D5"/>
                <w:sz w:val="21"/>
                <w:szCs w:val="21"/>
              </w:rPr>
              <w:t>分</w:t>
            </w:r>
          </w:p>
        </w:tc>
        <w:tc>
          <w:tcPr>
            <w:tcW w:w="5875"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服务方案包括：服务质量的保障措施，本项目人员配置，监督反馈机制，防治违规行为的保障措施，追究机制等方面的方案进行横向比较评审，</w:t>
            </w:r>
            <w:r>
              <w:rPr>
                <w:rFonts w:hint="eastAsia" w:ascii="微软雅黑" w:hAnsi="微软雅黑" w:eastAsia="微软雅黑" w:cs="微软雅黑"/>
                <w:color w:val="1D41D5"/>
                <w:sz w:val="21"/>
                <w:szCs w:val="21"/>
              </w:rPr>
              <w:t>优得</w:t>
            </w:r>
            <w:r>
              <w:rPr>
                <w:rFonts w:hint="eastAsia" w:ascii="微软雅黑" w:hAnsi="微软雅黑" w:eastAsia="微软雅黑" w:cs="微软雅黑"/>
                <w:color w:val="1D41D5"/>
                <w:sz w:val="21"/>
                <w:szCs w:val="21"/>
                <w:lang w:val="en-US" w:eastAsia="zh-CN"/>
              </w:rPr>
              <w:t>20-25</w:t>
            </w:r>
            <w:r>
              <w:rPr>
                <w:rFonts w:hint="eastAsia" w:ascii="微软雅黑" w:hAnsi="微软雅黑" w:eastAsia="微软雅黑" w:cs="微软雅黑"/>
                <w:color w:val="1D41D5"/>
                <w:sz w:val="21"/>
                <w:szCs w:val="21"/>
              </w:rPr>
              <w:t>分，良得</w:t>
            </w:r>
            <w:r>
              <w:rPr>
                <w:rFonts w:hint="eastAsia" w:ascii="微软雅黑" w:hAnsi="微软雅黑" w:eastAsia="微软雅黑" w:cs="微软雅黑"/>
                <w:color w:val="1D41D5"/>
                <w:sz w:val="21"/>
                <w:szCs w:val="21"/>
                <w:lang w:val="en-US" w:eastAsia="zh-CN"/>
              </w:rPr>
              <w:t>12-19</w:t>
            </w:r>
            <w:r>
              <w:rPr>
                <w:rFonts w:hint="eastAsia" w:ascii="微软雅黑" w:hAnsi="微软雅黑" w:eastAsia="微软雅黑" w:cs="微软雅黑"/>
                <w:color w:val="1D41D5"/>
                <w:sz w:val="21"/>
                <w:szCs w:val="21"/>
              </w:rPr>
              <w:t>分，</w:t>
            </w:r>
            <w:r>
              <w:rPr>
                <w:rFonts w:hint="eastAsia" w:ascii="微软雅黑" w:hAnsi="微软雅黑" w:eastAsia="微软雅黑" w:cs="微软雅黑"/>
                <w:color w:val="1D41D5"/>
                <w:sz w:val="21"/>
                <w:szCs w:val="21"/>
                <w:lang w:val="en-US" w:eastAsia="zh-CN"/>
              </w:rPr>
              <w:t>一般得6-11，</w:t>
            </w:r>
            <w:r>
              <w:rPr>
                <w:rFonts w:hint="eastAsia" w:ascii="微软雅黑" w:hAnsi="微软雅黑" w:eastAsia="微软雅黑" w:cs="微软雅黑"/>
                <w:color w:val="1D41D5"/>
                <w:sz w:val="21"/>
                <w:szCs w:val="21"/>
              </w:rPr>
              <w:t>差得</w:t>
            </w:r>
            <w:r>
              <w:rPr>
                <w:rFonts w:hint="eastAsia" w:ascii="微软雅黑" w:hAnsi="微软雅黑" w:eastAsia="微软雅黑" w:cs="微软雅黑"/>
                <w:color w:val="1D41D5"/>
                <w:sz w:val="21"/>
                <w:szCs w:val="21"/>
                <w:lang w:val="en-US" w:eastAsia="zh-CN"/>
              </w:rPr>
              <w:t>1-5</w:t>
            </w:r>
            <w:r>
              <w:rPr>
                <w:rFonts w:hint="eastAsia" w:ascii="微软雅黑" w:hAnsi="微软雅黑" w:eastAsia="微软雅黑" w:cs="微软雅黑"/>
                <w:color w:val="1D41D5"/>
                <w:sz w:val="21"/>
                <w:szCs w:val="21"/>
              </w:rPr>
              <w:t>分，未提供不得分。</w:t>
            </w: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格式内容自拟</w:t>
            </w:r>
          </w:p>
        </w:tc>
      </w:tr>
      <w:tr>
        <w:tblPrEx>
          <w:tblCellMar>
            <w:top w:w="0" w:type="dxa"/>
            <w:left w:w="108" w:type="dxa"/>
            <w:bottom w:w="0" w:type="dxa"/>
            <w:right w:w="108" w:type="dxa"/>
          </w:tblCellMar>
        </w:tblPrEx>
        <w:trPr>
          <w:trHeight w:val="1728" w:hRule="atLeast"/>
        </w:trPr>
        <w:tc>
          <w:tcPr>
            <w:tcW w:w="734"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lang w:eastAsia="zh-CN"/>
              </w:rPr>
            </w:pPr>
          </w:p>
        </w:tc>
        <w:tc>
          <w:tcPr>
            <w:tcW w:w="109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p>
        </w:tc>
        <w:tc>
          <w:tcPr>
            <w:tcW w:w="832"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项目团队</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lang w:val="en-US" w:eastAsia="zh-CN"/>
              </w:rPr>
              <w:t>30</w:t>
            </w:r>
            <w:r>
              <w:rPr>
                <w:rFonts w:hint="eastAsia" w:ascii="微软雅黑" w:hAnsi="微软雅黑" w:eastAsia="微软雅黑" w:cs="微软雅黑"/>
                <w:color w:val="auto"/>
                <w:sz w:val="21"/>
                <w:szCs w:val="21"/>
              </w:rPr>
              <w:t>分</w:t>
            </w:r>
          </w:p>
        </w:tc>
        <w:tc>
          <w:tcPr>
            <w:tcW w:w="5875"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numPr>
                <w:ilvl w:val="-1"/>
                <w:numId w:val="0"/>
              </w:numPr>
              <w:suppressLineNumbers w:val="0"/>
              <w:spacing w:before="0" w:beforeAutospacing="0" w:after="0" w:afterAutospacing="0"/>
              <w:ind w:left="0" w:right="0" w:rightChars="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r>
              <w:rPr>
                <w:rFonts w:hint="eastAsia" w:ascii="微软雅黑" w:hAnsi="微软雅黑" w:eastAsia="微软雅黑" w:cs="微软雅黑"/>
                <w:color w:val="auto"/>
                <w:sz w:val="21"/>
                <w:szCs w:val="21"/>
                <w:lang w:eastAsia="zh-CN"/>
              </w:rPr>
              <w:t>在满足资格要求的基础上，</w:t>
            </w:r>
            <w:r>
              <w:rPr>
                <w:rFonts w:hint="eastAsia" w:ascii="微软雅黑" w:hAnsi="微软雅黑" w:eastAsia="微软雅黑" w:cs="微软雅黑"/>
                <w:color w:val="auto"/>
                <w:sz w:val="21"/>
                <w:szCs w:val="21"/>
              </w:rPr>
              <w:t>项目</w:t>
            </w:r>
            <w:r>
              <w:rPr>
                <w:rFonts w:hint="eastAsia" w:ascii="微软雅黑" w:hAnsi="微软雅黑" w:eastAsia="微软雅黑" w:cs="微软雅黑"/>
                <w:color w:val="auto"/>
                <w:sz w:val="21"/>
                <w:szCs w:val="21"/>
                <w:lang w:val="en-US" w:eastAsia="zh-CN"/>
              </w:rPr>
              <w:t>团队</w:t>
            </w:r>
            <w:r>
              <w:rPr>
                <w:rFonts w:hint="eastAsia" w:ascii="微软雅黑" w:hAnsi="微软雅黑" w:eastAsia="微软雅黑" w:cs="微软雅黑"/>
                <w:color w:val="auto"/>
                <w:sz w:val="21"/>
                <w:szCs w:val="21"/>
              </w:rPr>
              <w:t>负责人从业</w:t>
            </w:r>
            <w:r>
              <w:rPr>
                <w:rFonts w:hint="eastAsia" w:ascii="微软雅黑" w:hAnsi="微软雅黑" w:eastAsia="微软雅黑" w:cs="微软雅黑"/>
                <w:color w:val="auto"/>
                <w:sz w:val="21"/>
                <w:szCs w:val="21"/>
                <w:lang w:val="en-US" w:eastAsia="zh-CN"/>
              </w:rPr>
              <w:t>10</w:t>
            </w:r>
            <w:r>
              <w:rPr>
                <w:rFonts w:hint="eastAsia" w:ascii="微软雅黑" w:hAnsi="微软雅黑" w:eastAsia="微软雅黑" w:cs="微软雅黑"/>
                <w:color w:val="auto"/>
                <w:sz w:val="21"/>
                <w:szCs w:val="21"/>
              </w:rPr>
              <w:t>年</w:t>
            </w:r>
            <w:r>
              <w:rPr>
                <w:rFonts w:hint="eastAsia" w:ascii="微软雅黑" w:hAnsi="微软雅黑" w:eastAsia="微软雅黑" w:cs="微软雅黑"/>
                <w:color w:val="auto"/>
                <w:sz w:val="21"/>
                <w:szCs w:val="21"/>
                <w:lang w:val="en-US" w:eastAsia="zh-CN"/>
              </w:rPr>
              <w:t>及以上并：</w:t>
            </w:r>
          </w:p>
          <w:p>
            <w:pPr>
              <w:keepNext w:val="0"/>
              <w:keepLines w:val="0"/>
              <w:numPr>
                <w:ilvl w:val="-1"/>
                <w:numId w:val="0"/>
              </w:numPr>
              <w:suppressLineNumbers w:val="0"/>
              <w:spacing w:before="0" w:beforeAutospacing="0" w:after="0" w:afterAutospacing="0"/>
              <w:ind w:left="0" w:right="0" w:rightChars="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kern w:val="0"/>
                <w:sz w:val="21"/>
                <w:szCs w:val="21"/>
                <w:lang w:val="en-US" w:eastAsia="zh-CN"/>
              </w:rPr>
              <w:t>（1）具有高级职称的</w:t>
            </w:r>
            <w:r>
              <w:rPr>
                <w:rFonts w:hint="eastAsia" w:ascii="微软雅黑" w:hAnsi="微软雅黑" w:eastAsia="微软雅黑" w:cs="微软雅黑"/>
                <w:color w:val="auto"/>
                <w:kern w:val="0"/>
                <w:sz w:val="21"/>
                <w:szCs w:val="21"/>
              </w:rPr>
              <w:t>得</w:t>
            </w:r>
            <w:r>
              <w:rPr>
                <w:rFonts w:hint="eastAsia" w:ascii="微软雅黑" w:hAnsi="微软雅黑" w:eastAsia="微软雅黑" w:cs="微软雅黑"/>
                <w:color w:val="auto"/>
                <w:kern w:val="0"/>
                <w:sz w:val="21"/>
                <w:szCs w:val="21"/>
                <w:lang w:val="en-US" w:eastAsia="zh-CN"/>
              </w:rPr>
              <w:t>6</w:t>
            </w:r>
            <w:r>
              <w:rPr>
                <w:rFonts w:hint="eastAsia" w:ascii="微软雅黑" w:hAnsi="微软雅黑" w:eastAsia="微软雅黑" w:cs="微软雅黑"/>
                <w:color w:val="auto"/>
                <w:kern w:val="0"/>
                <w:sz w:val="21"/>
                <w:szCs w:val="21"/>
              </w:rPr>
              <w:t>分</w:t>
            </w:r>
            <w:r>
              <w:rPr>
                <w:rFonts w:hint="eastAsia" w:ascii="微软雅黑" w:hAnsi="微软雅黑" w:eastAsia="微软雅黑" w:cs="微软雅黑"/>
                <w:color w:val="auto"/>
                <w:kern w:val="0"/>
                <w:sz w:val="21"/>
                <w:szCs w:val="21"/>
                <w:lang w:eastAsia="zh-CN"/>
              </w:rPr>
              <w:t>；</w:t>
            </w:r>
          </w:p>
          <w:p>
            <w:pPr>
              <w:keepNext w:val="0"/>
              <w:keepLines w:val="0"/>
              <w:numPr>
                <w:ilvl w:val="-1"/>
                <w:numId w:val="0"/>
              </w:numPr>
              <w:suppressLineNumbers w:val="0"/>
              <w:spacing w:before="0" w:beforeAutospacing="0" w:after="0" w:afterAutospacing="0"/>
              <w:ind w:left="0" w:right="0" w:rightChars="0"/>
              <w:rPr>
                <w:rFonts w:hint="eastAsia" w:ascii="微软雅黑" w:hAnsi="微软雅黑" w:eastAsia="微软雅黑" w:cs="微软雅黑"/>
                <w:color w:val="auto"/>
                <w:kern w:val="0"/>
                <w:sz w:val="21"/>
                <w:szCs w:val="21"/>
                <w:lang w:eastAsia="zh-CN"/>
              </w:rPr>
            </w:pPr>
            <w:r>
              <w:rPr>
                <w:rFonts w:hint="eastAsia" w:ascii="微软雅黑" w:hAnsi="微软雅黑" w:eastAsia="微软雅黑" w:cs="微软雅黑"/>
                <w:color w:val="auto"/>
                <w:kern w:val="0"/>
                <w:sz w:val="21"/>
                <w:szCs w:val="21"/>
                <w:lang w:val="en-US" w:eastAsia="zh-CN"/>
              </w:rPr>
              <w:t>（2）获得的高级职称包含工程类、会计类及审计类职称的得3分；</w:t>
            </w:r>
          </w:p>
          <w:p>
            <w:pPr>
              <w:keepNext w:val="0"/>
              <w:keepLines w:val="0"/>
              <w:numPr>
                <w:ilvl w:val="-1"/>
                <w:numId w:val="0"/>
              </w:numPr>
              <w:suppressLineNumbers w:val="0"/>
              <w:spacing w:before="0" w:beforeAutospacing="0" w:after="0" w:afterAutospacing="0"/>
              <w:ind w:left="0" w:right="0" w:rightChars="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kern w:val="0"/>
                <w:sz w:val="21"/>
                <w:szCs w:val="21"/>
                <w:lang w:val="en-US" w:eastAsia="zh-CN"/>
              </w:rPr>
              <w:t>（3）具有</w:t>
            </w:r>
            <w:r>
              <w:rPr>
                <w:rFonts w:hint="eastAsia" w:ascii="微软雅黑" w:hAnsi="微软雅黑" w:eastAsia="微软雅黑" w:cs="微软雅黑"/>
                <w:color w:val="auto"/>
                <w:sz w:val="21"/>
                <w:szCs w:val="21"/>
                <w:u w:val="none"/>
                <w:lang w:val="en-US" w:eastAsia="zh-CN"/>
              </w:rPr>
              <w:t>中国招标投标</w:t>
            </w:r>
            <w:r>
              <w:rPr>
                <w:rFonts w:hint="eastAsia" w:ascii="微软雅黑" w:hAnsi="微软雅黑" w:eastAsia="微软雅黑" w:cs="微软雅黑"/>
                <w:color w:val="auto"/>
                <w:kern w:val="0"/>
                <w:sz w:val="21"/>
                <w:szCs w:val="21"/>
                <w:u w:val="none"/>
                <w:lang w:val="en-US" w:eastAsia="zh-CN"/>
              </w:rPr>
              <w:t>协会颁发的</w:t>
            </w:r>
            <w:r>
              <w:rPr>
                <w:rFonts w:hint="eastAsia" w:ascii="微软雅黑" w:hAnsi="微软雅黑" w:eastAsia="微软雅黑" w:cs="微软雅黑"/>
                <w:color w:val="auto"/>
                <w:kern w:val="0"/>
                <w:sz w:val="21"/>
                <w:szCs w:val="21"/>
              </w:rPr>
              <w:t>招标采购人员专业能力评价证书</w:t>
            </w:r>
            <w:r>
              <w:rPr>
                <w:rFonts w:hint="eastAsia" w:ascii="微软雅黑" w:hAnsi="微软雅黑" w:eastAsia="微软雅黑" w:cs="微软雅黑"/>
                <w:color w:val="auto"/>
                <w:kern w:val="0"/>
                <w:sz w:val="21"/>
                <w:szCs w:val="21"/>
                <w:u w:val="none"/>
                <w:lang w:eastAsia="zh-CN"/>
              </w:rPr>
              <w:t>（</w:t>
            </w:r>
            <w:r>
              <w:rPr>
                <w:rFonts w:hint="eastAsia" w:ascii="微软雅黑" w:hAnsi="微软雅黑" w:eastAsia="微软雅黑" w:cs="微软雅黑"/>
                <w:color w:val="auto"/>
                <w:kern w:val="0"/>
                <w:sz w:val="21"/>
                <w:szCs w:val="21"/>
                <w:u w:val="none"/>
                <w:lang w:val="en-US" w:eastAsia="zh-CN"/>
              </w:rPr>
              <w:t>高级）</w:t>
            </w:r>
            <w:r>
              <w:rPr>
                <w:rFonts w:hint="eastAsia" w:ascii="微软雅黑" w:hAnsi="微软雅黑" w:eastAsia="微软雅黑" w:cs="微软雅黑"/>
                <w:color w:val="auto"/>
                <w:sz w:val="21"/>
                <w:szCs w:val="21"/>
                <w:lang w:val="en-US" w:eastAsia="zh-CN"/>
              </w:rPr>
              <w:t>的</w:t>
            </w:r>
            <w:r>
              <w:rPr>
                <w:rFonts w:hint="eastAsia" w:ascii="微软雅黑" w:hAnsi="微软雅黑" w:eastAsia="微软雅黑" w:cs="微软雅黑"/>
                <w:color w:val="auto"/>
                <w:kern w:val="0"/>
                <w:sz w:val="21"/>
                <w:szCs w:val="21"/>
              </w:rPr>
              <w:t>得</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kern w:val="0"/>
                <w:sz w:val="21"/>
                <w:szCs w:val="21"/>
              </w:rPr>
              <w:t>分</w:t>
            </w:r>
            <w:r>
              <w:rPr>
                <w:rFonts w:hint="eastAsia" w:ascii="微软雅黑" w:hAnsi="微软雅黑" w:eastAsia="微软雅黑" w:cs="微软雅黑"/>
                <w:color w:val="auto"/>
                <w:sz w:val="21"/>
                <w:szCs w:val="21"/>
                <w:lang w:val="en-US" w:eastAsia="zh-CN"/>
              </w:rPr>
              <w:t>。</w:t>
            </w:r>
          </w:p>
          <w:p>
            <w:pPr>
              <w:keepNext w:val="0"/>
              <w:keepLines w:val="0"/>
              <w:numPr>
                <w:ilvl w:val="0"/>
                <w:numId w:val="0"/>
              </w:numPr>
              <w:suppressLineNumbers w:val="0"/>
              <w:spacing w:before="0" w:beforeAutospacing="0" w:after="0" w:afterAutospacing="0"/>
              <w:ind w:left="0" w:right="0" w:rightChars="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该项最多得12分，未提供证明材料的不得分。</w:t>
            </w:r>
          </w:p>
        </w:tc>
        <w:tc>
          <w:tcPr>
            <w:tcW w:w="153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1.提供劳动合同（合同须能体现工作年限及以上招标代理行业从业经验）并盖章确认。</w:t>
            </w:r>
          </w:p>
          <w:p>
            <w:pPr>
              <w:keepNext w:val="0"/>
              <w:keepLines w:val="0"/>
              <w:suppressLineNumbers w:val="0"/>
              <w:spacing w:before="0" w:beforeAutospacing="0" w:after="0" w:afterAutospacing="0"/>
              <w:ind w:left="0" w:right="0"/>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2.职称、资格证书、荣誉证书均须提供证书复印件作为证明材料，并盖章确认</w:t>
            </w:r>
            <w:r>
              <w:rPr>
                <w:rFonts w:hint="default" w:ascii="微软雅黑" w:hAnsi="微软雅黑" w:eastAsia="微软雅黑" w:cs="微软雅黑"/>
                <w:color w:val="auto"/>
                <w:sz w:val="21"/>
                <w:szCs w:val="21"/>
                <w:lang w:val="en-US" w:eastAsia="zh-CN"/>
              </w:rPr>
              <w:t>。</w:t>
            </w:r>
          </w:p>
        </w:tc>
      </w:tr>
      <w:tr>
        <w:tblPrEx>
          <w:tblCellMar>
            <w:top w:w="0" w:type="dxa"/>
            <w:left w:w="108" w:type="dxa"/>
            <w:bottom w:w="0" w:type="dxa"/>
            <w:right w:w="108" w:type="dxa"/>
          </w:tblCellMar>
        </w:tblPrEx>
        <w:trPr>
          <w:trHeight w:val="1329" w:hRule="atLeast"/>
        </w:trPr>
        <w:tc>
          <w:tcPr>
            <w:tcW w:w="734"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default"/>
                <w:color w:val="auto"/>
                <w:szCs w:val="20"/>
              </w:rPr>
            </w:pPr>
          </w:p>
        </w:tc>
        <w:tc>
          <w:tcPr>
            <w:tcW w:w="109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default"/>
                <w:color w:val="auto"/>
                <w:szCs w:val="20"/>
              </w:rPr>
            </w:pPr>
          </w:p>
        </w:tc>
        <w:tc>
          <w:tcPr>
            <w:tcW w:w="832" w:type="dxa"/>
            <w:vMerge w:val="continue"/>
            <w:tcBorders>
              <w:left w:val="single" w:color="000000"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default"/>
                <w:color w:val="auto"/>
                <w:szCs w:val="20"/>
              </w:rPr>
            </w:pPr>
          </w:p>
        </w:tc>
        <w:tc>
          <w:tcPr>
            <w:tcW w:w="5875"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numPr>
                <w:ilvl w:val="0"/>
                <w:numId w:val="0"/>
              </w:numPr>
              <w:suppressLineNumbers w:val="0"/>
              <w:spacing w:before="0" w:beforeAutospacing="0" w:after="0" w:afterAutospacing="0"/>
              <w:ind w:left="0" w:right="0" w:rightChars="0"/>
              <w:rPr>
                <w:rFonts w:hint="eastAsia" w:ascii="微软雅黑" w:hAnsi="微软雅黑" w:eastAsia="微软雅黑" w:cs="微软雅黑"/>
                <w:color w:val="auto"/>
                <w:sz w:val="21"/>
                <w:szCs w:val="21"/>
                <w:u w:val="none"/>
                <w:lang w:val="en-US" w:eastAsia="zh-CN"/>
              </w:rPr>
            </w:pPr>
            <w:r>
              <w:rPr>
                <w:rFonts w:hint="eastAsia" w:ascii="微软雅黑" w:hAnsi="微软雅黑" w:eastAsia="微软雅黑" w:cs="微软雅黑"/>
                <w:color w:val="auto"/>
                <w:sz w:val="21"/>
                <w:szCs w:val="21"/>
                <w:u w:val="none"/>
                <w:lang w:val="en-US" w:eastAsia="zh-CN"/>
              </w:rPr>
              <w:t>2.在满足资格要求的基础上，每有一个项目团队人员（项目团队负责人除外）从业3年及以上并具有全国注册造价工程师（或一级造价工程师）或律师资格证的得4分，最多得8分，未提供证明材料的不得分。</w:t>
            </w:r>
          </w:p>
          <w:p>
            <w:pPr>
              <w:keepNext w:val="0"/>
              <w:keepLines w:val="0"/>
              <w:numPr>
                <w:ilvl w:val="0"/>
                <w:numId w:val="0"/>
              </w:numPr>
              <w:suppressLineNumbers w:val="0"/>
              <w:spacing w:before="0" w:beforeAutospacing="0" w:after="0" w:afterAutospacing="0"/>
              <w:ind w:left="0" w:right="0" w:rightChars="0"/>
              <w:rPr>
                <w:rFonts w:hint="eastAsia" w:ascii="微软雅黑" w:hAnsi="微软雅黑" w:eastAsia="微软雅黑" w:cs="微软雅黑"/>
                <w:color w:val="auto"/>
                <w:sz w:val="21"/>
                <w:szCs w:val="21"/>
                <w:u w:val="none"/>
                <w:lang w:val="en-US" w:eastAsia="zh-CN"/>
              </w:rPr>
            </w:pPr>
            <w:r>
              <w:rPr>
                <w:rFonts w:hint="eastAsia" w:ascii="微软雅黑" w:hAnsi="微软雅黑" w:eastAsia="微软雅黑" w:cs="微软雅黑"/>
                <w:color w:val="auto"/>
                <w:sz w:val="21"/>
                <w:szCs w:val="21"/>
                <w:u w:val="none"/>
                <w:lang w:val="en-US" w:eastAsia="zh-CN"/>
              </w:rPr>
              <w:t>注：同一人员同时具备全国注册造价工程师（或一级造价工程师）及律师资格证的，可同时计分。</w:t>
            </w:r>
          </w:p>
        </w:tc>
        <w:tc>
          <w:tcPr>
            <w:tcW w:w="1530"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color w:val="auto"/>
                <w:kern w:val="0"/>
                <w:sz w:val="21"/>
                <w:szCs w:val="21"/>
                <w:lang w:val="en-US" w:eastAsia="zh-CN"/>
              </w:rPr>
            </w:pPr>
          </w:p>
        </w:tc>
      </w:tr>
      <w:tr>
        <w:tblPrEx>
          <w:tblCellMar>
            <w:top w:w="0" w:type="dxa"/>
            <w:left w:w="108" w:type="dxa"/>
            <w:bottom w:w="0" w:type="dxa"/>
            <w:right w:w="108" w:type="dxa"/>
          </w:tblCellMar>
        </w:tblPrEx>
        <w:trPr>
          <w:trHeight w:val="960" w:hRule="atLeast"/>
        </w:trPr>
        <w:tc>
          <w:tcPr>
            <w:tcW w:w="734" w:type="dxa"/>
            <w:vMerge w:val="continue"/>
            <w:tcBorders>
              <w:left w:val="single" w:color="000000" w:sz="4" w:space="0"/>
              <w:bottom w:val="single" w:color="auto"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lang w:val="en-US" w:eastAsia="zh-CN"/>
              </w:rPr>
            </w:pPr>
          </w:p>
        </w:tc>
        <w:tc>
          <w:tcPr>
            <w:tcW w:w="1098"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color w:val="auto"/>
                <w:kern w:val="0"/>
                <w:sz w:val="21"/>
                <w:szCs w:val="21"/>
                <w:lang w:val="en-US" w:eastAsia="zh-CN"/>
              </w:rPr>
            </w:pPr>
          </w:p>
        </w:tc>
        <w:tc>
          <w:tcPr>
            <w:tcW w:w="832" w:type="dxa"/>
            <w:vMerge w:val="continue"/>
            <w:tcBorders>
              <w:left w:val="single" w:color="000000" w:sz="4" w:space="0"/>
              <w:bottom w:val="single" w:color="auto"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微软雅黑" w:hAnsi="微软雅黑" w:eastAsia="微软雅黑" w:cs="微软雅黑"/>
                <w:color w:val="auto"/>
                <w:kern w:val="0"/>
                <w:sz w:val="21"/>
                <w:szCs w:val="21"/>
                <w:lang w:val="en-US" w:eastAsia="zh-CN"/>
              </w:rPr>
            </w:pPr>
          </w:p>
        </w:tc>
        <w:tc>
          <w:tcPr>
            <w:tcW w:w="5875" w:type="dxa"/>
            <w:tcBorders>
              <w:top w:val="single" w:color="000000" w:sz="4" w:space="0"/>
              <w:left w:val="single" w:color="000000" w:sz="4" w:space="0"/>
              <w:bottom w:val="single" w:color="auto" w:sz="4" w:space="0"/>
              <w:right w:val="single" w:color="auto" w:sz="4" w:space="0"/>
            </w:tcBorders>
            <w:shd w:val="clear" w:color="auto" w:fill="auto"/>
            <w:vAlign w:val="center"/>
          </w:tcPr>
          <w:p>
            <w:pPr>
              <w:keepNext w:val="0"/>
              <w:keepLines w:val="0"/>
              <w:numPr>
                <w:ilvl w:val="0"/>
                <w:numId w:val="0"/>
              </w:numPr>
              <w:suppressLineNumbers w:val="0"/>
              <w:spacing w:before="0" w:beforeAutospacing="0" w:after="0" w:afterAutospacing="0"/>
              <w:ind w:left="0" w:right="0" w:rightChars="0"/>
              <w:rPr>
                <w:rFonts w:hint="eastAsia" w:ascii="微软雅黑" w:hAnsi="微软雅黑" w:eastAsia="微软雅黑" w:cs="微软雅黑"/>
                <w:color w:val="auto"/>
                <w:sz w:val="21"/>
                <w:szCs w:val="21"/>
                <w:u w:val="none"/>
                <w:lang w:val="en-US" w:eastAsia="zh-CN"/>
              </w:rPr>
            </w:pPr>
            <w:r>
              <w:rPr>
                <w:rFonts w:hint="eastAsia" w:ascii="微软雅黑" w:hAnsi="微软雅黑" w:eastAsia="微软雅黑" w:cs="微软雅黑"/>
                <w:color w:val="auto"/>
                <w:sz w:val="21"/>
                <w:szCs w:val="21"/>
                <w:u w:val="none"/>
                <w:lang w:val="en-US" w:eastAsia="zh-CN"/>
              </w:rPr>
              <w:t>3.在满足资格要求的基础上，拟派项目团队人员（项目负责人除外）每具有1个建安工程费在人民币1亿元（以项目可研批复金额、概算批复金额或投资备案金额为准）及以上项目代理业绩的，得2分，最多得10分，未提供证明材料的不得分。</w:t>
            </w:r>
          </w:p>
        </w:tc>
        <w:tc>
          <w:tcPr>
            <w:tcW w:w="153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微软雅黑" w:hAnsi="微软雅黑" w:eastAsia="微软雅黑" w:cs="微软雅黑"/>
                <w:color w:val="auto"/>
                <w:kern w:val="0"/>
                <w:sz w:val="21"/>
                <w:szCs w:val="21"/>
                <w:lang w:val="en-US" w:eastAsia="zh-CN"/>
              </w:rPr>
            </w:pPr>
            <w:r>
              <w:rPr>
                <w:rFonts w:hint="eastAsia" w:ascii="微软雅黑" w:hAnsi="微软雅黑" w:eastAsia="微软雅黑" w:cs="微软雅黑"/>
                <w:color w:val="auto"/>
                <w:kern w:val="0"/>
                <w:sz w:val="21"/>
                <w:szCs w:val="21"/>
                <w:lang w:val="en-US" w:eastAsia="zh-CN"/>
              </w:rPr>
              <w:t>提供合同复印件并盖章确认，合同内容须体现建安工程费用及代理机构参与人员。</w:t>
            </w:r>
            <w:r>
              <w:rPr>
                <w:rFonts w:hint="default" w:ascii="微软雅黑" w:hAnsi="微软雅黑" w:eastAsia="微软雅黑" w:cs="微软雅黑"/>
                <w:b w:val="0"/>
                <w:bCs w:val="0"/>
                <w:i w:val="0"/>
                <w:iCs w:val="0"/>
                <w:color w:val="auto"/>
                <w:kern w:val="2"/>
                <w:sz w:val="21"/>
                <w:szCs w:val="21"/>
                <w:highlight w:val="none"/>
                <w:vertAlign w:val="baseline"/>
                <w:lang w:val="en-US" w:eastAsia="zh-CN" w:bidi="ar-SA"/>
              </w:rPr>
              <w:t>若为子公司投标，则拟派项目团队人员在子公司或母公司取得的业绩均可得分。</w:t>
            </w:r>
          </w:p>
        </w:tc>
      </w:tr>
      <w:tr>
        <w:tblPrEx>
          <w:tblCellMar>
            <w:top w:w="0" w:type="dxa"/>
            <w:left w:w="108" w:type="dxa"/>
            <w:bottom w:w="0" w:type="dxa"/>
            <w:right w:w="108" w:type="dxa"/>
          </w:tblCellMar>
        </w:tblPrEx>
        <w:trPr>
          <w:trHeight w:val="4692" w:hRule="atLeast"/>
        </w:trPr>
        <w:tc>
          <w:tcPr>
            <w:tcW w:w="734" w:type="dxa"/>
            <w:tcBorders>
              <w:top w:val="single" w:color="auto" w:sz="4" w:space="0"/>
              <w:left w:val="single" w:color="auto" w:sz="4" w:space="0"/>
              <w:bottom w:val="single" w:color="auto"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lang w:val="en-US" w:eastAsia="zh-CN"/>
              </w:rPr>
              <w:t>4</w:t>
            </w:r>
          </w:p>
        </w:tc>
        <w:tc>
          <w:tcPr>
            <w:tcW w:w="1098"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lang w:val="en-US" w:eastAsia="zh-CN"/>
              </w:rPr>
              <w:t>商务部分</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25</w:t>
            </w:r>
            <w:r>
              <w:rPr>
                <w:rFonts w:hint="eastAsia" w:ascii="微软雅黑" w:hAnsi="微软雅黑" w:eastAsia="微软雅黑" w:cs="微软雅黑"/>
                <w:color w:val="auto"/>
                <w:sz w:val="21"/>
                <w:szCs w:val="21"/>
              </w:rPr>
              <w:t>%）</w:t>
            </w:r>
          </w:p>
        </w:tc>
        <w:tc>
          <w:tcPr>
            <w:tcW w:w="832" w:type="dxa"/>
            <w:tcBorders>
              <w:top w:val="single" w:color="auto" w:sz="4" w:space="0"/>
              <w:left w:val="single" w:color="000000" w:sz="4" w:space="0"/>
              <w:bottom w:val="single" w:color="auto" w:sz="4" w:space="0"/>
              <w:right w:val="single" w:color="000000" w:sz="4" w:space="0"/>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业绩</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25</w:t>
            </w:r>
            <w:r>
              <w:rPr>
                <w:rFonts w:hint="eastAsia" w:ascii="微软雅黑" w:hAnsi="微软雅黑" w:eastAsia="微软雅黑" w:cs="微软雅黑"/>
                <w:color w:val="auto"/>
                <w:sz w:val="21"/>
                <w:szCs w:val="21"/>
              </w:rPr>
              <w:t>分</w:t>
            </w:r>
          </w:p>
          <w:p>
            <w:pPr>
              <w:keepNext w:val="0"/>
              <w:keepLines w:val="0"/>
              <w:suppressLineNumbers w:val="0"/>
              <w:spacing w:before="0" w:beforeAutospacing="0" w:after="0" w:afterAutospacing="0"/>
              <w:ind w:left="0" w:right="0"/>
              <w:jc w:val="center"/>
              <w:rPr>
                <w:rFonts w:hint="default" w:ascii="微软雅黑" w:hAnsi="微软雅黑" w:eastAsia="微软雅黑" w:cs="微软雅黑"/>
                <w:color w:val="auto"/>
                <w:sz w:val="21"/>
                <w:szCs w:val="21"/>
                <w:lang w:val="en-US" w:eastAsia="zh-CN"/>
              </w:rPr>
            </w:pPr>
          </w:p>
        </w:tc>
        <w:tc>
          <w:tcPr>
            <w:tcW w:w="5875" w:type="dxa"/>
            <w:tcBorders>
              <w:top w:val="single" w:color="auto" w:sz="4" w:space="0"/>
              <w:left w:val="single" w:color="000000" w:sz="4" w:space="0"/>
              <w:bottom w:val="single" w:color="auto" w:sz="4" w:space="0"/>
              <w:right w:val="nil"/>
            </w:tcBorders>
            <w:shd w:val="clear" w:color="auto" w:fill="auto"/>
            <w:vAlign w:val="center"/>
          </w:tcPr>
          <w:p>
            <w:pPr>
              <w:keepNext w:val="0"/>
              <w:keepLines w:val="0"/>
              <w:numPr>
                <w:ilvl w:val="0"/>
                <w:numId w:val="0"/>
              </w:numPr>
              <w:suppressLineNumbers w:val="0"/>
              <w:spacing w:before="0" w:beforeAutospacing="0" w:after="0" w:afterAutospacing="0"/>
              <w:ind w:left="0" w:right="0" w:rightChars="0"/>
              <w:rPr>
                <w:rFonts w:hint="eastAsia" w:ascii="微软雅黑" w:hAnsi="微软雅黑" w:eastAsia="微软雅黑" w:cs="微软雅黑"/>
                <w:color w:val="auto"/>
                <w:sz w:val="21"/>
                <w:szCs w:val="21"/>
                <w:u w:val="none"/>
                <w:lang w:val="en-US" w:eastAsia="zh-CN"/>
              </w:rPr>
            </w:pPr>
            <w:r>
              <w:rPr>
                <w:rFonts w:hint="eastAsia" w:ascii="微软雅黑" w:hAnsi="微软雅黑" w:eastAsia="微软雅黑" w:cs="微软雅黑"/>
                <w:color w:val="auto"/>
                <w:sz w:val="21"/>
                <w:szCs w:val="21"/>
                <w:u w:val="none"/>
                <w:lang w:val="en-US" w:eastAsia="zh-CN"/>
              </w:rPr>
              <w:t>1.</w:t>
            </w:r>
            <w:bookmarkStart w:id="130" w:name="OLE_LINK2"/>
            <w:r>
              <w:rPr>
                <w:rFonts w:hint="eastAsia" w:ascii="微软雅黑" w:hAnsi="微软雅黑" w:eastAsia="微软雅黑" w:cs="微软雅黑"/>
                <w:color w:val="auto"/>
                <w:sz w:val="21"/>
                <w:szCs w:val="21"/>
                <w:u w:val="none"/>
                <w:lang w:val="en-US" w:eastAsia="zh-CN"/>
              </w:rPr>
              <w:t>2023年1月1日起至投标文件递交截止时间，投标人每有一个建安工程费在人民币</w:t>
            </w:r>
            <w:r>
              <w:rPr>
                <w:rFonts w:hint="eastAsia" w:ascii="微软雅黑" w:hAnsi="微软雅黑" w:eastAsia="微软雅黑" w:cs="微软雅黑"/>
                <w:color w:val="1D41D5"/>
                <w:sz w:val="21"/>
                <w:szCs w:val="21"/>
                <w:u w:val="none"/>
                <w:lang w:val="en-US" w:eastAsia="zh-CN"/>
              </w:rPr>
              <w:t>2</w:t>
            </w:r>
            <w:r>
              <w:rPr>
                <w:rFonts w:hint="eastAsia" w:ascii="微软雅黑" w:hAnsi="微软雅黑" w:eastAsia="微软雅黑" w:cs="微软雅黑"/>
                <w:color w:val="auto"/>
                <w:sz w:val="21"/>
                <w:szCs w:val="21"/>
                <w:u w:val="none"/>
                <w:lang w:val="en-US" w:eastAsia="zh-CN"/>
              </w:rPr>
              <w:t>亿元（以项目可研批复金额、概算批复金额或投资备案金额为准）及以上</w:t>
            </w:r>
            <w:r>
              <w:rPr>
                <w:rFonts w:hint="eastAsia" w:ascii="微软雅黑" w:hAnsi="微软雅黑" w:eastAsia="微软雅黑" w:cs="微软雅黑"/>
                <w:color w:val="auto"/>
                <w:sz w:val="21"/>
                <w:szCs w:val="21"/>
                <w:u w:val="single"/>
                <w:lang w:val="en-US" w:eastAsia="zh-CN"/>
              </w:rPr>
              <w:t>公共建筑</w:t>
            </w:r>
            <w:r>
              <w:rPr>
                <w:rFonts w:hint="eastAsia" w:ascii="微软雅黑" w:hAnsi="微软雅黑" w:eastAsia="微软雅黑" w:cs="微软雅黑"/>
                <w:color w:val="auto"/>
                <w:sz w:val="21"/>
                <w:szCs w:val="21"/>
                <w:u w:val="none"/>
                <w:lang w:val="en-US" w:eastAsia="zh-CN"/>
              </w:rPr>
              <w:t>施工（含EPC）项目代理业绩的得2分，每有一个建安工程费在人民币</w:t>
            </w:r>
            <w:r>
              <w:rPr>
                <w:rFonts w:hint="eastAsia" w:ascii="微软雅黑" w:hAnsi="微软雅黑" w:eastAsia="微软雅黑" w:cs="微软雅黑"/>
                <w:color w:val="1D41D5"/>
                <w:sz w:val="21"/>
                <w:szCs w:val="21"/>
                <w:u w:val="none"/>
                <w:lang w:val="en-US" w:eastAsia="zh-CN"/>
              </w:rPr>
              <w:t>2</w:t>
            </w:r>
            <w:r>
              <w:rPr>
                <w:rFonts w:hint="eastAsia" w:ascii="微软雅黑" w:hAnsi="微软雅黑" w:eastAsia="微软雅黑" w:cs="微软雅黑"/>
                <w:color w:val="auto"/>
                <w:sz w:val="21"/>
                <w:szCs w:val="21"/>
                <w:u w:val="none"/>
                <w:lang w:val="en-US" w:eastAsia="zh-CN"/>
              </w:rPr>
              <w:t>亿元（以项目可研批复金额、概算批复金额或投资备案金额为准）及以上</w:t>
            </w:r>
            <w:r>
              <w:rPr>
                <w:rFonts w:hint="eastAsia" w:ascii="微软雅黑" w:hAnsi="微软雅黑" w:eastAsia="微软雅黑" w:cs="微软雅黑"/>
                <w:color w:val="auto"/>
                <w:sz w:val="21"/>
                <w:szCs w:val="21"/>
                <w:u w:val="single"/>
                <w:lang w:val="en-US" w:eastAsia="zh-CN"/>
              </w:rPr>
              <w:t>卫生建筑</w:t>
            </w:r>
            <w:r>
              <w:rPr>
                <w:rFonts w:hint="eastAsia" w:ascii="微软雅黑" w:hAnsi="微软雅黑" w:eastAsia="微软雅黑" w:cs="微软雅黑"/>
                <w:color w:val="auto"/>
                <w:sz w:val="21"/>
                <w:szCs w:val="21"/>
                <w:u w:val="none"/>
                <w:lang w:val="en-US" w:eastAsia="zh-CN"/>
              </w:rPr>
              <w:t>施工项目代理业绩的得3分，最多得15分，未提供证明材料的不得分。</w:t>
            </w:r>
            <w:bookmarkEnd w:id="130"/>
          </w:p>
          <w:p>
            <w:pPr>
              <w:keepNext w:val="0"/>
              <w:keepLines w:val="0"/>
              <w:numPr>
                <w:ilvl w:val="0"/>
                <w:numId w:val="0"/>
              </w:numPr>
              <w:suppressLineNumbers w:val="0"/>
              <w:spacing w:before="0" w:beforeAutospacing="0" w:after="0" w:afterAutospacing="0"/>
              <w:ind w:left="0" w:right="0" w:rightChars="0"/>
              <w:rPr>
                <w:rFonts w:hint="eastAsia" w:ascii="微软雅黑" w:hAnsi="微软雅黑" w:eastAsia="微软雅黑" w:cs="微软雅黑"/>
                <w:color w:val="auto"/>
                <w:sz w:val="21"/>
                <w:szCs w:val="21"/>
                <w:u w:val="none"/>
                <w:lang w:val="en-US" w:eastAsia="zh-CN"/>
              </w:rPr>
            </w:pPr>
            <w:r>
              <w:rPr>
                <w:rFonts w:hint="eastAsia" w:ascii="微软雅黑" w:hAnsi="微软雅黑" w:eastAsia="微软雅黑" w:cs="微软雅黑"/>
                <w:color w:val="auto"/>
                <w:sz w:val="21"/>
                <w:szCs w:val="21"/>
                <w:u w:val="none"/>
                <w:lang w:val="en-US" w:eastAsia="zh-CN"/>
              </w:rPr>
              <w:t>2.2023年1月1日起至投标文件递交截止时间，投标人每具有一个</w:t>
            </w:r>
            <w:r>
              <w:rPr>
                <w:rFonts w:hint="eastAsia" w:ascii="微软雅黑" w:hAnsi="微软雅黑" w:eastAsia="微软雅黑" w:cs="微软雅黑"/>
                <w:color w:val="1D41D5"/>
                <w:sz w:val="21"/>
                <w:szCs w:val="21"/>
                <w:u w:val="none"/>
                <w:lang w:val="en-US" w:eastAsia="zh-CN"/>
              </w:rPr>
              <w:t>地市级及以上的机关或事业单位</w:t>
            </w:r>
            <w:r>
              <w:rPr>
                <w:rFonts w:hint="eastAsia" w:ascii="微软雅黑" w:hAnsi="微软雅黑" w:eastAsia="微软雅黑" w:cs="微软雅黑"/>
                <w:color w:val="auto"/>
                <w:sz w:val="21"/>
                <w:szCs w:val="21"/>
                <w:u w:val="none"/>
                <w:lang w:val="en-US" w:eastAsia="zh-CN"/>
              </w:rPr>
              <w:t>工程建设项目委托招标代理服务合同（合同期不短于1年）的得2分，最多得10分，未提供证明材料的不得分。</w:t>
            </w:r>
          </w:p>
          <w:p>
            <w:pPr>
              <w:keepNext w:val="0"/>
              <w:keepLines w:val="0"/>
              <w:numPr>
                <w:ilvl w:val="0"/>
                <w:numId w:val="0"/>
              </w:numPr>
              <w:suppressLineNumbers w:val="0"/>
              <w:spacing w:before="0" w:beforeAutospacing="0" w:after="0" w:afterAutospacing="0"/>
              <w:ind w:left="0" w:right="0" w:rightChars="0"/>
              <w:rPr>
                <w:rFonts w:hint="eastAsia" w:ascii="微软雅黑" w:hAnsi="微软雅黑" w:eastAsia="微软雅黑" w:cs="微软雅黑"/>
                <w:color w:val="auto"/>
                <w:sz w:val="21"/>
                <w:szCs w:val="21"/>
                <w:u w:val="none"/>
                <w:lang w:val="en-US" w:eastAsia="zh-CN"/>
              </w:rPr>
            </w:pPr>
            <w:r>
              <w:rPr>
                <w:rFonts w:hint="eastAsia" w:ascii="微软雅黑" w:hAnsi="微软雅黑" w:eastAsia="微软雅黑" w:cs="微软雅黑"/>
                <w:color w:val="auto"/>
                <w:sz w:val="21"/>
                <w:szCs w:val="21"/>
                <w:u w:val="none"/>
                <w:lang w:val="en-US" w:eastAsia="zh-CN"/>
              </w:rPr>
              <w:t>注：</w:t>
            </w:r>
            <w:r>
              <w:rPr>
                <w:rFonts w:hint="eastAsia" w:ascii="微软雅黑" w:hAnsi="微软雅黑" w:eastAsia="微软雅黑" w:cs="微软雅黑"/>
                <w:color w:val="auto"/>
                <w:sz w:val="21"/>
                <w:szCs w:val="21"/>
                <w:u w:val="single"/>
                <w:lang w:val="en-US" w:eastAsia="zh-CN"/>
              </w:rPr>
              <w:t>公共建筑</w:t>
            </w:r>
            <w:r>
              <w:rPr>
                <w:rFonts w:hint="eastAsia" w:ascii="微软雅黑" w:hAnsi="微软雅黑" w:eastAsia="微软雅黑" w:cs="微软雅黑"/>
                <w:color w:val="auto"/>
                <w:sz w:val="21"/>
                <w:szCs w:val="21"/>
                <w:u w:val="none"/>
                <w:lang w:val="en-US" w:eastAsia="zh-CN"/>
              </w:rPr>
              <w:t>是指办公建筑（包括写字楼、政府部门办公楼等），商业建筑（如商场、金融建筑等），旅游建筑（如酒店、娱乐场所等），科教文卫建筑（包括文化、教育、科研、医疗、卫生、体育建筑等），通信建筑（如邮电、通讯、数据中心、广播用房）、交通运输类建筑（如机场、高铁站、火车站、地铁、汽车站、冷藏库等）以及其他（派出所、仓库、拘留所）等。</w:t>
            </w:r>
          </w:p>
          <w:p>
            <w:pPr>
              <w:keepNext w:val="0"/>
              <w:keepLines w:val="0"/>
              <w:numPr>
                <w:ilvl w:val="0"/>
                <w:numId w:val="0"/>
              </w:numPr>
              <w:suppressLineNumbers w:val="0"/>
              <w:spacing w:before="0" w:beforeAutospacing="0" w:after="0" w:afterAutospacing="0"/>
              <w:ind w:left="0" w:right="0" w:rightChars="0"/>
              <w:rPr>
                <w:rFonts w:hint="eastAsia" w:ascii="微软雅黑" w:hAnsi="微软雅黑" w:eastAsia="微软雅黑" w:cs="微软雅黑"/>
                <w:color w:val="auto"/>
                <w:sz w:val="21"/>
                <w:szCs w:val="21"/>
                <w:u w:val="none"/>
                <w:lang w:val="en-US" w:eastAsia="zh-CN"/>
              </w:rPr>
            </w:pPr>
            <w:r>
              <w:rPr>
                <w:rFonts w:hint="eastAsia" w:ascii="微软雅黑" w:hAnsi="微软雅黑" w:eastAsia="微软雅黑" w:cs="微软雅黑"/>
                <w:color w:val="auto"/>
                <w:sz w:val="21"/>
                <w:szCs w:val="21"/>
                <w:u w:val="none"/>
                <w:lang w:val="en-US" w:eastAsia="zh-CN"/>
              </w:rPr>
              <w:t>（3）</w:t>
            </w:r>
            <w:r>
              <w:rPr>
                <w:rFonts w:hint="eastAsia" w:ascii="微软雅黑" w:hAnsi="微软雅黑" w:eastAsia="微软雅黑" w:cs="微软雅黑"/>
                <w:color w:val="auto"/>
                <w:sz w:val="21"/>
                <w:szCs w:val="21"/>
                <w:u w:val="single"/>
                <w:lang w:val="en-US" w:eastAsia="zh-CN"/>
              </w:rPr>
              <w:t>卫生建筑</w:t>
            </w:r>
            <w:r>
              <w:rPr>
                <w:rFonts w:hint="eastAsia" w:ascii="微软雅黑" w:hAnsi="微软雅黑" w:eastAsia="微软雅黑" w:cs="微软雅黑"/>
                <w:color w:val="auto"/>
                <w:sz w:val="21"/>
                <w:szCs w:val="21"/>
                <w:u w:val="none"/>
                <w:lang w:val="en-US" w:eastAsia="zh-CN"/>
              </w:rPr>
              <w:t>是指各类医疗机构的病房、医技楼、门诊部、保健站、卫生所、化验室、药房、病案室、太平间、医疗辅助用房等房屋。</w:t>
            </w:r>
          </w:p>
          <w:p>
            <w:pPr>
              <w:keepNext w:val="0"/>
              <w:keepLines w:val="0"/>
              <w:numPr>
                <w:ilvl w:val="0"/>
                <w:numId w:val="0"/>
              </w:numPr>
              <w:suppressLineNumbers w:val="0"/>
              <w:spacing w:before="0" w:beforeAutospacing="0" w:after="0" w:afterAutospacing="0"/>
              <w:ind w:left="0" w:right="0" w:rightChars="0"/>
              <w:rPr>
                <w:rFonts w:hint="default" w:ascii="微软雅黑" w:hAnsi="微软雅黑" w:eastAsia="微软雅黑" w:cs="微软雅黑"/>
                <w:color w:val="auto"/>
                <w:sz w:val="21"/>
                <w:szCs w:val="21"/>
                <w:u w:val="none"/>
                <w:lang w:val="en-US" w:eastAsia="zh-CN"/>
              </w:rPr>
            </w:pPr>
          </w:p>
        </w:tc>
        <w:tc>
          <w:tcPr>
            <w:tcW w:w="1530" w:type="dxa"/>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color w:val="auto"/>
                <w:kern w:val="0"/>
                <w:sz w:val="21"/>
                <w:szCs w:val="21"/>
                <w:lang w:val="en-US" w:eastAsia="zh-CN"/>
              </w:rPr>
            </w:pPr>
            <w:r>
              <w:rPr>
                <w:rFonts w:hint="eastAsia" w:ascii="微软雅黑" w:hAnsi="微软雅黑" w:eastAsia="微软雅黑" w:cs="微软雅黑"/>
                <w:color w:val="auto"/>
                <w:kern w:val="0"/>
                <w:sz w:val="21"/>
                <w:szCs w:val="21"/>
                <w:lang w:val="en-US" w:eastAsia="zh-CN"/>
              </w:rPr>
              <w:t>提供合同复印件或中标公告截图作为证明材料并盖章确认，证明材料须体现所响应条款内容。</w:t>
            </w:r>
            <w:r>
              <w:rPr>
                <w:rFonts w:hint="default" w:ascii="微软雅黑" w:hAnsi="微软雅黑" w:eastAsia="微软雅黑" w:cs="微软雅黑"/>
                <w:b w:val="0"/>
                <w:bCs w:val="0"/>
                <w:i w:val="0"/>
                <w:iCs w:val="0"/>
                <w:color w:val="auto"/>
                <w:kern w:val="0"/>
                <w:sz w:val="21"/>
                <w:szCs w:val="21"/>
                <w:highlight w:val="none"/>
                <w:vertAlign w:val="baseline"/>
                <w:lang w:val="en-US" w:eastAsia="zh-CN" w:bidi="ar-SA"/>
              </w:rPr>
              <w:t>若为子公司投标，则子公司与母公司的业绩均可得分。</w:t>
            </w:r>
          </w:p>
          <w:p>
            <w:pPr>
              <w:keepNext w:val="0"/>
              <w:keepLines w:val="0"/>
              <w:widowControl/>
              <w:suppressLineNumbers w:val="0"/>
              <w:spacing w:before="0" w:beforeAutospacing="0" w:after="0" w:afterAutospacing="0"/>
              <w:ind w:left="0" w:right="0"/>
              <w:jc w:val="left"/>
              <w:rPr>
                <w:rFonts w:hint="default" w:ascii="微软雅黑" w:hAnsi="微软雅黑" w:eastAsia="微软雅黑" w:cs="微软雅黑"/>
                <w:color w:val="auto"/>
                <w:kern w:val="0"/>
                <w:sz w:val="21"/>
                <w:szCs w:val="20"/>
                <w:lang w:val="en-US" w:eastAsia="zh-CN"/>
              </w:rPr>
            </w:pP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1" w:name="_Toc16678"/>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、无效响应</w:t>
      </w:r>
      <w:bookmarkEnd w:id="112"/>
      <w:bookmarkEnd w:id="113"/>
      <w:bookmarkEnd w:id="114"/>
      <w:bookmarkEnd w:id="128"/>
      <w:bookmarkEnd w:id="129"/>
      <w:bookmarkEnd w:id="131"/>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在采购人规定时间内到达开标现场进行签到并提交纸质响应文件的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lang w:val="en-US" w:eastAsia="zh-CN"/>
        </w:rPr>
        <w:t>投标</w:t>
      </w:r>
      <w:r>
        <w:rPr>
          <w:rFonts w:hint="eastAsia" w:ascii="微软雅黑" w:hAnsi="微软雅黑" w:eastAsia="微软雅黑" w:cs="微软雅黑"/>
          <w:sz w:val="24"/>
          <w:szCs w:val="24"/>
        </w:rPr>
        <w:t>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u w:val="none"/>
          <w:lang w:eastAsia="zh-CN"/>
        </w:rPr>
        <w:t>（十）</w:t>
      </w:r>
      <w:r>
        <w:rPr>
          <w:rFonts w:hint="eastAsia" w:ascii="微软雅黑" w:hAnsi="微软雅黑" w:eastAsia="微软雅黑" w:cs="微软雅黑"/>
          <w:sz w:val="24"/>
          <w:szCs w:val="24"/>
          <w:lang w:eastAsia="zh-CN"/>
        </w:rPr>
        <w:t>法律、法规和</w:t>
      </w:r>
      <w:r>
        <w:rPr>
          <w:rFonts w:hint="eastAsia" w:ascii="微软雅黑" w:hAnsi="微软雅黑" w:eastAsia="微软雅黑" w:cs="微软雅黑"/>
          <w:sz w:val="24"/>
          <w:szCs w:val="24"/>
          <w:lang w:val="en-US" w:eastAsia="zh-CN"/>
        </w:rPr>
        <w:t>采购</w:t>
      </w:r>
      <w:r>
        <w:rPr>
          <w:rFonts w:hint="eastAsia" w:ascii="微软雅黑" w:hAnsi="微软雅黑" w:eastAsia="微软雅黑" w:cs="微软雅黑"/>
          <w:sz w:val="24"/>
          <w:szCs w:val="24"/>
          <w:lang w:eastAsia="zh-CN"/>
        </w:rPr>
        <w:t>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lang w:eastAsia="zh-CN"/>
        </w:rPr>
      </w:pPr>
      <w:bookmarkStart w:id="132" w:name="_Toc76462336"/>
      <w:bookmarkStart w:id="133" w:name="_Toc10687"/>
      <w:bookmarkStart w:id="134" w:name="_Toc106030891"/>
      <w:bookmarkStart w:id="135" w:name="_Toc15885"/>
      <w:bookmarkStart w:id="136" w:name="_Toc8566"/>
      <w:bookmarkStart w:id="137" w:name="_Toc29702"/>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w:t>
      </w:r>
      <w:bookmarkEnd w:id="115"/>
      <w:bookmarkEnd w:id="116"/>
      <w:bookmarkEnd w:id="132"/>
      <w:bookmarkEnd w:id="133"/>
      <w:bookmarkEnd w:id="134"/>
      <w:r>
        <w:rPr>
          <w:rFonts w:hint="eastAsia" w:ascii="微软雅黑" w:hAnsi="微软雅黑" w:eastAsia="微软雅黑" w:cs="微软雅黑"/>
          <w:sz w:val="24"/>
          <w:lang w:val="en-US" w:eastAsia="zh-CN"/>
        </w:rPr>
        <w:t>废标条款</w:t>
      </w:r>
      <w:bookmarkEnd w:id="135"/>
      <w:bookmarkEnd w:id="136"/>
      <w:bookmarkEnd w:id="137"/>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color w:val="auto"/>
          <w:sz w:val="24"/>
          <w:szCs w:val="24"/>
        </w:rPr>
        <w:t>在采购过程中符合要求的有效投标人不足</w:t>
      </w:r>
      <w:r>
        <w:rPr>
          <w:rFonts w:hint="eastAsia" w:ascii="微软雅黑" w:hAnsi="微软雅黑" w:eastAsia="微软雅黑" w:cs="微软雅黑"/>
          <w:color w:val="auto"/>
          <w:sz w:val="24"/>
          <w:szCs w:val="24"/>
          <w:lang w:val="en-US" w:eastAsia="zh-CN"/>
        </w:rPr>
        <w:t>3</w:t>
      </w:r>
      <w:r>
        <w:rPr>
          <w:rFonts w:hint="eastAsia" w:ascii="微软雅黑" w:hAnsi="微软雅黑" w:eastAsia="微软雅黑" w:cs="微软雅黑"/>
          <w:color w:val="auto"/>
          <w:sz w:val="24"/>
          <w:szCs w:val="24"/>
        </w:rPr>
        <w:t>家的（挂网公示</w:t>
      </w:r>
      <w:r>
        <w:rPr>
          <w:rFonts w:hint="eastAsia" w:ascii="微软雅黑" w:hAnsi="微软雅黑" w:eastAsia="微软雅黑" w:cs="微软雅黑"/>
          <w:color w:val="auto"/>
          <w:sz w:val="24"/>
          <w:szCs w:val="24"/>
          <w:lang w:val="en-US" w:eastAsia="zh-CN"/>
        </w:rPr>
        <w:t>次数</w:t>
      </w:r>
      <w:r>
        <w:rPr>
          <w:rFonts w:hint="eastAsia" w:ascii="微软雅黑" w:hAnsi="微软雅黑" w:eastAsia="微软雅黑" w:cs="微软雅黑"/>
          <w:color w:val="auto"/>
          <w:sz w:val="24"/>
          <w:szCs w:val="24"/>
        </w:rPr>
        <w:t>大于等于3次的除外）；</w:t>
      </w:r>
    </w:p>
    <w:p>
      <w:pPr>
        <w:snapToGrid w:val="0"/>
        <w:spacing w:line="400" w:lineRule="exact"/>
        <w:ind w:firstLine="465"/>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pageBreakBefore w:val="0"/>
        <w:spacing w:before="200" w:after="200" w:line="240" w:lineRule="auto"/>
        <w:jc w:val="center"/>
        <w:rPr>
          <w:rFonts w:hint="eastAsia" w:ascii="微软雅黑" w:hAnsi="微软雅黑" w:eastAsia="微软雅黑" w:cs="微软雅黑"/>
          <w:b/>
          <w:bCs w:val="0"/>
          <w:sz w:val="44"/>
          <w:szCs w:val="20"/>
        </w:rPr>
      </w:pPr>
      <w:bookmarkStart w:id="138" w:name="_Toc76462337"/>
      <w:bookmarkStart w:id="139" w:name="_Toc102227313"/>
      <w:bookmarkStart w:id="140" w:name="_Toc29948"/>
      <w:bookmarkStart w:id="141" w:name="_Toc9806"/>
      <w:bookmarkStart w:id="142" w:name="_Toc19388"/>
      <w:bookmarkStart w:id="143" w:name="_Toc106030892"/>
      <w:r>
        <w:rPr>
          <w:rFonts w:hint="eastAsia" w:ascii="微软雅黑" w:hAnsi="微软雅黑" w:eastAsia="微软雅黑" w:cs="微软雅黑"/>
          <w:b/>
          <w:bCs w:val="0"/>
          <w:sz w:val="44"/>
          <w:szCs w:val="20"/>
        </w:rPr>
        <w:t xml:space="preserve">第五篇  </w:t>
      </w:r>
      <w:r>
        <w:rPr>
          <w:rFonts w:hint="eastAsia" w:ascii="微软雅黑" w:hAnsi="微软雅黑" w:eastAsia="微软雅黑" w:cs="微软雅黑"/>
          <w:b/>
          <w:bCs w:val="0"/>
          <w:sz w:val="44"/>
          <w:szCs w:val="20"/>
          <w:lang w:eastAsia="zh-CN"/>
        </w:rPr>
        <w:t>投标人</w:t>
      </w:r>
      <w:r>
        <w:rPr>
          <w:rFonts w:hint="eastAsia" w:ascii="微软雅黑" w:hAnsi="微软雅黑" w:eastAsia="微软雅黑" w:cs="微软雅黑"/>
          <w:b/>
          <w:bCs w:val="0"/>
          <w:sz w:val="44"/>
          <w:szCs w:val="20"/>
        </w:rPr>
        <w:t>须知</w:t>
      </w:r>
      <w:bookmarkEnd w:id="138"/>
      <w:bookmarkEnd w:id="139"/>
      <w:bookmarkEnd w:id="140"/>
      <w:bookmarkEnd w:id="141"/>
      <w:bookmarkEnd w:id="142"/>
      <w:bookmarkEnd w:id="143"/>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4" w:name="_Toc26717"/>
      <w:bookmarkStart w:id="145" w:name="_Toc32169"/>
      <w:bookmarkStart w:id="146" w:name="_Toc76462338"/>
      <w:bookmarkStart w:id="147" w:name="_Toc10013"/>
      <w:bookmarkStart w:id="148" w:name="_Toc342913389"/>
      <w:bookmarkStart w:id="149" w:name="_Toc106030893"/>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w:t>
      </w:r>
      <w:r>
        <w:rPr>
          <w:rFonts w:hint="eastAsia" w:ascii="微软雅黑" w:hAnsi="微软雅黑" w:eastAsia="微软雅黑" w:cs="微软雅黑"/>
          <w:sz w:val="24"/>
        </w:rPr>
        <w:t>费用</w:t>
      </w:r>
      <w:bookmarkEnd w:id="144"/>
      <w:bookmarkEnd w:id="145"/>
      <w:bookmarkEnd w:id="146"/>
      <w:bookmarkEnd w:id="147"/>
      <w:bookmarkEnd w:id="148"/>
      <w:bookmarkEnd w:id="149"/>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应承担其编制响应文件与递交响应文件所涉及的一切费用，不论</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0" w:name="_Toc342913391"/>
      <w:bookmarkStart w:id="151" w:name="_Toc106030894"/>
      <w:bookmarkStart w:id="152" w:name="_Toc29479"/>
      <w:bookmarkStart w:id="153" w:name="_Toc13469"/>
      <w:bookmarkStart w:id="154" w:name="_Toc15712"/>
      <w:bookmarkStart w:id="155" w:name="_Toc76462339"/>
      <w:r>
        <w:rPr>
          <w:rFonts w:hint="eastAsia" w:ascii="微软雅黑" w:hAnsi="微软雅黑" w:eastAsia="微软雅黑" w:cs="微软雅黑"/>
          <w:sz w:val="24"/>
        </w:rPr>
        <w:t>二、</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文件</w:t>
      </w:r>
      <w:bookmarkEnd w:id="150"/>
      <w:bookmarkEnd w:id="151"/>
      <w:bookmarkEnd w:id="152"/>
      <w:bookmarkEnd w:id="153"/>
      <w:bookmarkEnd w:id="154"/>
      <w:bookmarkEnd w:id="155"/>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文件由采购邀请书、项目服务需求、</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须知、项目商务需求、</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程序及方法、评审标准、无效响应和采购终止、</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如对</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文件有疑问，必须以书面形式在</w:t>
      </w:r>
      <w:r>
        <w:rPr>
          <w:rFonts w:hint="eastAsia" w:ascii="微软雅黑" w:hAnsi="微软雅黑" w:eastAsia="微软雅黑" w:cs="微软雅黑"/>
          <w:color w:val="auto"/>
          <w:sz w:val="24"/>
          <w:szCs w:val="24"/>
        </w:rPr>
        <w:t>提交响应文件截止时间</w:t>
      </w: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个工作日前向采购人要求澄清，采购人可视具体情况做出处理或答复。如</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未提出疑问，视为完全理解并同意本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rFonts w:hint="eastAsia" w:ascii="微软雅黑" w:hAnsi="微软雅黑" w:eastAsia="微软雅黑" w:cs="微软雅黑"/>
          <w:color w:val="auto"/>
          <w:sz w:val="24"/>
          <w:szCs w:val="24"/>
        </w:rPr>
        <w:t>。一经进入</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程序，即</w:t>
      </w:r>
      <w:r>
        <w:rPr>
          <w:rFonts w:hint="eastAsia" w:ascii="微软雅黑" w:hAnsi="微软雅黑" w:eastAsia="微软雅黑" w:cs="微软雅黑"/>
          <w:sz w:val="24"/>
          <w:szCs w:val="24"/>
        </w:rPr>
        <w:t>视为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已详细阅读全部文件资料，完全理解</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文件所有条款内容并同意放弃对这方面有不明白及误解的权利。</w:t>
      </w:r>
      <w:bookmarkStart w:id="156" w:name="_Toc318159780"/>
      <w:bookmarkStart w:id="157" w:name="_Toc318159160"/>
      <w:bookmarkStart w:id="158" w:name="_Toc318166429"/>
      <w:bookmarkStart w:id="159" w:name="_Toc318159349"/>
    </w:p>
    <w:bookmarkEnd w:id="156"/>
    <w:bookmarkEnd w:id="157"/>
    <w:bookmarkEnd w:id="158"/>
    <w:bookmarkEnd w:id="159"/>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0" w:name="_Toc23630"/>
      <w:bookmarkStart w:id="161" w:name="_Toc102227318"/>
      <w:bookmarkStart w:id="162" w:name="_Toc76462340"/>
      <w:bookmarkStart w:id="163" w:name="_Toc179714297"/>
      <w:bookmarkStart w:id="164" w:name="_Toc25225"/>
      <w:bookmarkStart w:id="165" w:name="_Toc106030895"/>
      <w:bookmarkStart w:id="166" w:name="_Toc26007"/>
      <w:bookmarkStart w:id="167" w:name="_Toc342913392"/>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要求</w:t>
      </w:r>
      <w:bookmarkEnd w:id="160"/>
      <w:bookmarkEnd w:id="161"/>
      <w:bookmarkEnd w:id="162"/>
      <w:bookmarkEnd w:id="163"/>
      <w:bookmarkEnd w:id="164"/>
      <w:bookmarkEnd w:id="165"/>
      <w:bookmarkEnd w:id="166"/>
      <w:bookmarkEnd w:id="167"/>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应当按照</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的要求编制响应文件，并对</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篇响应文件编制要求”规定的部分和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所作的一切有效补充、修改和承诺等文件组成，</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应按照“第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篇响应文件编制要求”规定的目录顺序组织编写和装订，也可在基本格式基础上对表格进行扩展，未规定格式的由</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自定格式。</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二</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）修正错误</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rPr>
        <w:t>若响应文件出现计算或表达上的错误，修正错误的原则如下：</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rPr>
        <w:t>1.响应文件中开标一览表（报价表）内容与响应文件中相应内容不一致的，以开标一览表（报价表）为准；</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rPr>
        <w:t>2.大写金额和小写金额不一致的，以大写金额为准；</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rPr>
        <w:t>3.单价金额小数点或者百分比有明显错位的，以开标一览表的总价为准，并修改单价；</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rPr>
        <w:t>4.总价金额与按单价汇总金额不一致的，以单价金额计算结果为准。</w:t>
      </w:r>
    </w:p>
    <w:p>
      <w:pPr>
        <w:keepNext w:val="0"/>
        <w:keepLines w:val="0"/>
        <w:widowControl/>
        <w:suppressLineNumbers w:val="0"/>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w:t>
      </w:r>
      <w:r>
        <w:rPr>
          <w:rFonts w:hint="eastAsia" w:ascii="微软雅黑" w:hAnsi="微软雅黑" w:eastAsia="微软雅黑" w:cs="微软雅黑"/>
          <w:kern w:val="2"/>
          <w:sz w:val="24"/>
          <w:szCs w:val="20"/>
          <w:lang w:val="en-US" w:eastAsia="zh-CN"/>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）提交响应文件的份数和签署</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val="en-US" w:eastAsia="zh-CN"/>
        </w:rPr>
        <w:t>公开比选采购文件</w:t>
      </w:r>
      <w:r>
        <w:rPr>
          <w:rFonts w:hint="eastAsia" w:ascii="微软雅黑" w:hAnsi="微软雅黑" w:eastAsia="微软雅黑" w:cs="微软雅黑"/>
          <w:sz w:val="24"/>
        </w:rPr>
        <w:t>“第</w:t>
      </w:r>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项目名称、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应当派1-2名代表参与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，至少1人应为法定代表人（或其授权代表）或自然人（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8" w:name="_Toc106030896"/>
      <w:bookmarkStart w:id="169" w:name="_Toc16798"/>
      <w:bookmarkStart w:id="170" w:name="_Toc6435"/>
      <w:bookmarkStart w:id="171" w:name="_Toc76462341"/>
      <w:bookmarkStart w:id="172" w:name="_Toc750"/>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68"/>
      <w:bookmarkEnd w:id="169"/>
      <w:bookmarkEnd w:id="170"/>
      <w:bookmarkEnd w:id="171"/>
      <w:bookmarkEnd w:id="172"/>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的确认</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采购人从评审报告提出的成交候选</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中，按照排序由高到低的原则确定</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w:t>
      </w:r>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拒绝与采购人签订合同的，采购人可以按照评标报告推荐的成交候选</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顺序，确定排名下一位的候选人为</w:t>
      </w: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73" w:name="_Toc342913395"/>
      <w:bookmarkStart w:id="174" w:name="_Toc106030897"/>
      <w:bookmarkStart w:id="175" w:name="_Toc102227321"/>
      <w:bookmarkStart w:id="176" w:name="_Toc30288"/>
      <w:bookmarkStart w:id="177" w:name="_Toc23280"/>
      <w:bookmarkStart w:id="178" w:name="_Toc21532"/>
      <w:bookmarkStart w:id="179" w:name="_Toc76462342"/>
      <w:r>
        <w:rPr>
          <w:rFonts w:hint="eastAsia" w:ascii="微软雅黑" w:hAnsi="微软雅黑" w:eastAsia="微软雅黑" w:cs="微软雅黑"/>
          <w:sz w:val="24"/>
        </w:rPr>
        <w:t>五、成交通知</w:t>
      </w:r>
      <w:bookmarkEnd w:id="173"/>
      <w:bookmarkEnd w:id="174"/>
      <w:bookmarkEnd w:id="175"/>
      <w:bookmarkEnd w:id="176"/>
      <w:bookmarkEnd w:id="177"/>
      <w:bookmarkEnd w:id="178"/>
      <w:bookmarkEnd w:id="179"/>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w:t>
      </w:r>
      <w:r>
        <w:rPr>
          <w:rFonts w:hint="eastAsia" w:ascii="微软雅黑" w:hAnsi="微软雅黑" w:eastAsia="微软雅黑" w:cs="微软雅黑"/>
          <w:color w:val="auto"/>
          <w:sz w:val="24"/>
          <w:szCs w:val="24"/>
        </w:rPr>
        <w:t>公告内容包括项目名称及</w:t>
      </w:r>
      <w:r>
        <w:rPr>
          <w:rFonts w:hint="eastAsia" w:ascii="微软雅黑" w:hAnsi="微软雅黑" w:eastAsia="微软雅黑" w:cs="微软雅黑"/>
          <w:color w:val="auto"/>
          <w:sz w:val="24"/>
          <w:szCs w:val="24"/>
          <w:lang w:val="en-US" w:eastAsia="zh-CN"/>
        </w:rPr>
        <w:t>中标人</w:t>
      </w:r>
      <w:r>
        <w:rPr>
          <w:rFonts w:hint="eastAsia" w:ascii="微软雅黑" w:hAnsi="微软雅黑" w:eastAsia="微软雅黑" w:cs="微软雅黑"/>
          <w:color w:val="auto"/>
          <w:sz w:val="24"/>
          <w:szCs w:val="24"/>
        </w:rPr>
        <w:t>名称</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sz w:val="24"/>
          <w:szCs w:val="24"/>
        </w:rPr>
        <w:t>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中标通知书</w:t>
      </w:r>
      <w:r>
        <w:rPr>
          <w:rFonts w:hint="eastAsia" w:ascii="微软雅黑" w:hAnsi="微软雅黑" w:eastAsia="微软雅黑" w:cs="微软雅黑"/>
          <w:sz w:val="24"/>
          <w:szCs w:val="24"/>
        </w:rPr>
        <w:t>》将作为签订合同的依据。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80" w:name="_Toc21448"/>
      <w:bookmarkStart w:id="181" w:name="_Toc5511"/>
      <w:bookmarkStart w:id="182" w:name="_Toc106030898"/>
      <w:bookmarkStart w:id="183" w:name="_Toc76462343"/>
      <w:bookmarkStart w:id="184" w:name="_Toc16455"/>
      <w:r>
        <w:rPr>
          <w:rFonts w:hint="eastAsia" w:ascii="微软雅黑" w:hAnsi="微软雅黑" w:eastAsia="微软雅黑" w:cs="微软雅黑"/>
          <w:sz w:val="24"/>
        </w:rPr>
        <w:t>六、质疑</w:t>
      </w:r>
      <w:r>
        <w:rPr>
          <w:rFonts w:hint="eastAsia" w:ascii="微软雅黑" w:hAnsi="微软雅黑" w:eastAsia="微软雅黑" w:cs="微软雅黑"/>
          <w:sz w:val="24"/>
          <w:lang w:val="en-US" w:eastAsia="zh-CN"/>
        </w:rPr>
        <w:t>处理</w:t>
      </w:r>
      <w:bookmarkEnd w:id="180"/>
      <w:bookmarkEnd w:id="181"/>
      <w:bookmarkEnd w:id="182"/>
      <w:bookmarkEnd w:id="183"/>
      <w:bookmarkEnd w:id="184"/>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提出质疑的应当是参与所质疑项目采购活动的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 xml:space="preserve">。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一）</w:t>
      </w:r>
      <w:r>
        <w:rPr>
          <w:rFonts w:hint="eastAsia" w:ascii="微软雅黑" w:hAnsi="微软雅黑" w:eastAsia="微软雅黑" w:cs="微软雅黑"/>
          <w:sz w:val="24"/>
        </w:rPr>
        <w:t>质疑时限、内容</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1.质疑时限</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1.1对采购文件的质疑。</w:t>
      </w:r>
      <w:r>
        <w:rPr>
          <w:rFonts w:hint="eastAsia" w:ascii="微软雅黑" w:hAnsi="微软雅黑" w:eastAsia="微软雅黑" w:cs="微软雅黑"/>
          <w:sz w:val="24"/>
          <w:szCs w:val="24"/>
        </w:rPr>
        <w:t>投标人如对本</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文件有任何实质性疑问，应当以书面形式向</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提出质疑，并须将该质疑文件纸质版（须加盖提出质疑单位的公章确认）在</w:t>
      </w:r>
      <w:r>
        <w:rPr>
          <w:rFonts w:hint="eastAsia" w:ascii="微软雅黑" w:hAnsi="微软雅黑" w:eastAsia="微软雅黑" w:cs="微软雅黑"/>
          <w:sz w:val="24"/>
          <w:szCs w:val="24"/>
          <w:lang w:val="en-US" w:eastAsia="zh-CN"/>
        </w:rPr>
        <w:t>投标截至时间之前送达采购人</w:t>
      </w:r>
      <w:r>
        <w:rPr>
          <w:rFonts w:hint="eastAsia" w:ascii="微软雅黑" w:hAnsi="微软雅黑" w:eastAsia="微软雅黑" w:cs="微软雅黑"/>
          <w:sz w:val="24"/>
          <w:szCs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val="en-US" w:eastAsia="zh-CN"/>
        </w:rPr>
        <w:t>1.2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认为采购过程、成交结果使自己的权益受到损害的，可以在知道或者应知其权益受到损害之日起</w:t>
      </w:r>
      <w:r>
        <w:rPr>
          <w:rFonts w:hint="eastAsia" w:ascii="微软雅黑" w:hAnsi="微软雅黑" w:eastAsia="微软雅黑" w:cs="微软雅黑"/>
          <w:sz w:val="24"/>
          <w:lang w:val="en-US" w:eastAsia="zh-CN"/>
        </w:rPr>
        <w:t>5</w:t>
      </w:r>
      <w:r>
        <w:rPr>
          <w:rFonts w:hint="eastAsia" w:ascii="微软雅黑" w:hAnsi="微软雅黑" w:eastAsia="微软雅黑" w:cs="微软雅黑"/>
          <w:sz w:val="24"/>
        </w:rPr>
        <w:t>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为自然人的，质疑函应当由本人签字；</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val="en-US" w:eastAsia="zh-CN"/>
        </w:rPr>
        <w:t>（二）</w:t>
      </w:r>
      <w:r>
        <w:rPr>
          <w:rFonts w:hint="eastAsia" w:ascii="微软雅黑" w:hAnsi="微软雅黑" w:eastAsia="微软雅黑" w:cs="微软雅黑"/>
          <w:sz w:val="24"/>
        </w:rPr>
        <w:t>质疑答复</w:t>
      </w:r>
    </w:p>
    <w:p>
      <w:pPr>
        <w:spacing w:line="400" w:lineRule="exact"/>
        <w:ind w:right="12" w:firstLine="480"/>
        <w:rPr>
          <w:rFonts w:hint="eastAsia" w:ascii="微软雅黑" w:hAnsi="微软雅黑" w:eastAsia="微软雅黑" w:cs="微软雅黑"/>
          <w:b w:val="0"/>
          <w:bCs w:val="0"/>
          <w:sz w:val="24"/>
        </w:rPr>
      </w:pPr>
      <w:r>
        <w:rPr>
          <w:rFonts w:hint="eastAsia" w:ascii="微软雅黑" w:hAnsi="微软雅黑" w:eastAsia="微软雅黑" w:cs="微软雅黑"/>
          <w:sz w:val="24"/>
        </w:rPr>
        <w:t>采购人应当在收到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的书面质疑后</w:t>
      </w:r>
      <w:r>
        <w:rPr>
          <w:rFonts w:hint="eastAsia" w:ascii="微软雅黑" w:hAnsi="微软雅黑" w:eastAsia="微软雅黑" w:cs="微软雅黑"/>
          <w:sz w:val="24"/>
          <w:lang w:val="en-US" w:eastAsia="zh-CN"/>
        </w:rPr>
        <w:t>7</w:t>
      </w:r>
      <w:r>
        <w:rPr>
          <w:rFonts w:hint="eastAsia" w:ascii="微软雅黑" w:hAnsi="微软雅黑" w:eastAsia="微软雅黑" w:cs="微软雅黑"/>
          <w:sz w:val="24"/>
        </w:rPr>
        <w:t>个工作日内作出答复，并以书面形式通知质疑</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和其他有关</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三</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应在质疑期内一次性提出针对同一采购程序环节的质疑。</w:t>
      </w:r>
      <w:bookmarkStart w:id="185" w:name="_Toc76462344"/>
      <w:bookmarkStart w:id="186" w:name="_Toc106030899"/>
      <w:bookmarkStart w:id="187" w:name="_Toc28334"/>
    </w:p>
    <w:p>
      <w:pPr>
        <w:pStyle w:val="4"/>
        <w:numPr>
          <w:ilvl w:val="-1"/>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88" w:name="_Toc32363"/>
      <w:bookmarkStart w:id="189" w:name="_Toc7979"/>
      <w:r>
        <w:rPr>
          <w:rFonts w:hint="eastAsia" w:ascii="微软雅黑" w:hAnsi="微软雅黑" w:eastAsia="微软雅黑" w:cs="微软雅黑"/>
          <w:sz w:val="24"/>
        </w:rPr>
        <w:t>七</w:t>
      </w:r>
      <w:r>
        <w:rPr>
          <w:rFonts w:hint="eastAsia" w:ascii="微软雅黑" w:hAnsi="微软雅黑" w:eastAsia="微软雅黑" w:cs="微软雅黑"/>
          <w:color w:val="auto"/>
          <w:sz w:val="24"/>
        </w:rPr>
        <w:t>、</w:t>
      </w:r>
      <w:bookmarkEnd w:id="185"/>
      <w:bookmarkEnd w:id="186"/>
      <w:bookmarkEnd w:id="187"/>
      <w:bookmarkStart w:id="190" w:name="_Toc102227322"/>
      <w:bookmarkStart w:id="191" w:name="_Toc76462346"/>
      <w:bookmarkStart w:id="192" w:name="_Toc3372"/>
      <w:bookmarkStart w:id="193" w:name="_Toc342913396"/>
      <w:bookmarkStart w:id="194" w:name="_Toc106030901"/>
      <w:bookmarkStart w:id="195" w:name="_Toc12789059"/>
      <w:bookmarkStart w:id="196" w:name="_Toc11641055"/>
      <w:r>
        <w:rPr>
          <w:rFonts w:hint="eastAsia" w:ascii="微软雅黑" w:hAnsi="微软雅黑" w:eastAsia="微软雅黑" w:cs="微软雅黑"/>
          <w:color w:val="auto"/>
          <w:sz w:val="24"/>
        </w:rPr>
        <w:t>签订</w:t>
      </w:r>
      <w:bookmarkEnd w:id="190"/>
      <w:r>
        <w:rPr>
          <w:rFonts w:hint="eastAsia" w:ascii="微软雅黑" w:hAnsi="微软雅黑" w:eastAsia="微软雅黑" w:cs="微软雅黑"/>
          <w:color w:val="auto"/>
          <w:sz w:val="24"/>
        </w:rPr>
        <w:t>合同</w:t>
      </w:r>
      <w:bookmarkEnd w:id="188"/>
      <w:bookmarkEnd w:id="189"/>
      <w:bookmarkEnd w:id="191"/>
      <w:bookmarkEnd w:id="192"/>
      <w:bookmarkEnd w:id="193"/>
      <w:bookmarkEnd w:id="194"/>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（一）中标人应于收到中标通知书之日起5个工作日内，按照中标项目的</w:t>
      </w:r>
      <w:r>
        <w:rPr>
          <w:rFonts w:hint="eastAsia" w:ascii="微软雅黑" w:hAnsi="微软雅黑" w:eastAsia="微软雅黑" w:cs="微软雅黑"/>
          <w:color w:val="auto"/>
          <w:sz w:val="24"/>
          <w:lang w:eastAsia="zh-CN"/>
        </w:rPr>
        <w:t>公开比选采购文件</w:t>
      </w:r>
      <w:r>
        <w:rPr>
          <w:rFonts w:hint="eastAsia" w:ascii="微软雅黑" w:hAnsi="微软雅黑" w:eastAsia="微软雅黑" w:cs="微软雅黑"/>
          <w:color w:val="auto"/>
          <w:sz w:val="24"/>
        </w:rPr>
        <w:t>与</w:t>
      </w:r>
      <w:r>
        <w:rPr>
          <w:rFonts w:hint="eastAsia" w:ascii="微软雅黑" w:hAnsi="微软雅黑" w:eastAsia="微软雅黑" w:cs="微软雅黑"/>
          <w:color w:val="auto"/>
          <w:sz w:val="24"/>
          <w:lang w:eastAsia="zh-CN"/>
        </w:rPr>
        <w:t>响应文件</w:t>
      </w:r>
      <w:r>
        <w:rPr>
          <w:rFonts w:hint="eastAsia" w:ascii="微软雅黑" w:hAnsi="微软雅黑" w:eastAsia="微软雅黑" w:cs="微软雅黑"/>
          <w:color w:val="auto"/>
          <w:sz w:val="24"/>
        </w:rPr>
        <w:t>递交采购合同。</w:t>
      </w:r>
    </w:p>
    <w:p>
      <w:pPr>
        <w:spacing w:line="400" w:lineRule="exact"/>
        <w:ind w:firstLine="360" w:firstLineChars="15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（二）中标人未在规定时间内递交合同或放弃中标资格，则</w:t>
      </w:r>
      <w:r>
        <w:rPr>
          <w:rFonts w:hint="eastAsia" w:ascii="微软雅黑" w:hAnsi="微软雅黑" w:eastAsia="微软雅黑" w:cs="微软雅黑"/>
          <w:color w:val="auto"/>
          <w:sz w:val="24"/>
          <w:lang w:eastAsia="zh-CN"/>
        </w:rPr>
        <w:t>采购人</w:t>
      </w:r>
      <w:r>
        <w:rPr>
          <w:rFonts w:hint="eastAsia" w:ascii="微软雅黑" w:hAnsi="微软雅黑" w:eastAsia="微软雅黑" w:cs="微软雅黑"/>
          <w:color w:val="auto"/>
          <w:sz w:val="24"/>
        </w:rPr>
        <w:t>将有充分的理由废除授标，将中标人纳入</w:t>
      </w:r>
      <w:r>
        <w:rPr>
          <w:rFonts w:hint="eastAsia" w:ascii="微软雅黑" w:hAnsi="微软雅黑" w:eastAsia="微软雅黑" w:cs="微软雅黑"/>
          <w:color w:val="auto"/>
          <w:sz w:val="24"/>
          <w:lang w:val="en-US" w:eastAsia="zh-CN"/>
        </w:rPr>
        <w:t>采购人</w:t>
      </w:r>
      <w:r>
        <w:rPr>
          <w:rFonts w:hint="eastAsia" w:ascii="微软雅黑" w:hAnsi="微软雅黑" w:eastAsia="微软雅黑" w:cs="微软雅黑"/>
          <w:color w:val="auto"/>
          <w:sz w:val="24"/>
        </w:rPr>
        <w:t>失信</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名单并扣除该项目的投标保证金，两年之内不得参与</w:t>
      </w:r>
      <w:r>
        <w:rPr>
          <w:rFonts w:hint="eastAsia" w:ascii="微软雅黑" w:hAnsi="微软雅黑" w:eastAsia="微软雅黑" w:cs="微软雅黑"/>
          <w:color w:val="auto"/>
          <w:sz w:val="24"/>
          <w:lang w:val="en-US" w:eastAsia="zh-CN"/>
        </w:rPr>
        <w:t>采购人</w:t>
      </w:r>
      <w:r>
        <w:rPr>
          <w:rFonts w:hint="eastAsia" w:ascii="微软雅黑" w:hAnsi="微软雅黑" w:eastAsia="微软雅黑" w:cs="微软雅黑"/>
          <w:color w:val="auto"/>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w:t>
      </w:r>
      <w:r>
        <w:rPr>
          <w:rFonts w:hint="eastAsia" w:ascii="微软雅黑" w:hAnsi="微软雅黑" w:eastAsia="微软雅黑" w:cs="微软雅黑"/>
          <w:sz w:val="24"/>
          <w:lang w:val="en-US" w:eastAsia="zh-CN"/>
        </w:rPr>
        <w:t>或分包</w:t>
      </w:r>
      <w:r>
        <w:rPr>
          <w:rFonts w:hint="eastAsia" w:ascii="微软雅黑" w:hAnsi="微软雅黑" w:eastAsia="微软雅黑" w:cs="微软雅黑"/>
          <w:sz w:val="24"/>
        </w:rPr>
        <w:t>给他人。</w:t>
      </w:r>
      <w:bookmarkEnd w:id="195"/>
      <w:bookmarkEnd w:id="196"/>
    </w:p>
    <w:p>
      <w:pPr>
        <w:pStyle w:val="4"/>
        <w:spacing w:before="200" w:after="200" w:line="240" w:lineRule="auto"/>
        <w:jc w:val="center"/>
        <w:rPr>
          <w:rFonts w:hint="eastAsia" w:ascii="微软雅黑" w:hAnsi="微软雅黑" w:eastAsia="微软雅黑" w:cs="微软雅黑"/>
          <w:b/>
          <w:sz w:val="44"/>
          <w:szCs w:val="20"/>
        </w:rPr>
      </w:pPr>
      <w:bookmarkStart w:id="197" w:name="_Hlt41879464"/>
      <w:bookmarkEnd w:id="197"/>
      <w:bookmarkStart w:id="198" w:name="_Toc106030905"/>
      <w:bookmarkStart w:id="199" w:name="_Toc76462349"/>
      <w:bookmarkStart w:id="200" w:name="_Toc3379"/>
      <w:bookmarkStart w:id="201" w:name="_Toc27984"/>
      <w:bookmarkStart w:id="202" w:name="_Toc13524"/>
      <w:r>
        <w:rPr>
          <w:rFonts w:hint="eastAsia" w:ascii="微软雅黑" w:hAnsi="微软雅黑" w:eastAsia="微软雅黑" w:cs="微软雅黑"/>
          <w:b/>
          <w:sz w:val="44"/>
          <w:szCs w:val="20"/>
        </w:rPr>
        <w:t>第六篇  响应文件编制要求</w:t>
      </w:r>
      <w:bookmarkEnd w:id="198"/>
      <w:bookmarkEnd w:id="199"/>
      <w:bookmarkEnd w:id="200"/>
      <w:bookmarkEnd w:id="201"/>
      <w:bookmarkEnd w:id="20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综合评标服务部分应答材料（格式内容自拟）</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综合评标商务部分应答材料（格式内容自拟）</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rPr>
      </w:pPr>
      <w:r>
        <w:rPr>
          <w:rFonts w:hint="eastAsia" w:ascii="微软雅黑" w:hAnsi="微软雅黑" w:eastAsia="微软雅黑" w:cs="微软雅黑"/>
          <w:sz w:val="24"/>
          <w:szCs w:val="24"/>
        </w:rPr>
        <w:t>五、其他资料</w:t>
      </w: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000010101"/>
    <w:charset w:val="88"/>
    <w:family w:val="roman"/>
    <w:pitch w:val="default"/>
    <w:sig w:usb0="00000000" w:usb1="00000000" w:usb2="00000016" w:usb3="00000000" w:csb0="00100001" w:csb1="00000000"/>
  </w:font>
  <w:font w:name="仿宋_GB2312">
    <w:altName w:val="仿宋"/>
    <w:panose1 w:val="02010609030000010101"/>
    <w:charset w:val="86"/>
    <w:family w:val="modern"/>
    <w:pitch w:val="default"/>
    <w:sig w:usb0="00000000" w:usb1="00000000" w:usb2="0000000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000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000010101"/>
    <w:charset w:val="86"/>
    <w:family w:val="modern"/>
    <w:pitch w:val="default"/>
    <w:sig w:usb0="00000000" w:usb1="00000000" w:usb2="00000010" w:usb3="00000000" w:csb0="00040000" w:csb1="00000000"/>
  </w:font>
  <w:font w:name="昆仑楷体">
    <w:altName w:val="宋体"/>
    <w:panose1 w:val="02010609000000010101"/>
    <w:charset w:val="86"/>
    <w:family w:val="modern"/>
    <w:pitch w:val="default"/>
    <w:sig w:usb0="00000000" w:usb1="00000000" w:usb2="00000010" w:usb3="00000000" w:csb0="00040000" w:csb1="00000000"/>
  </w:font>
  <w:font w:name="楷体_GB2312">
    <w:altName w:val="楷体"/>
    <w:panose1 w:val="02010609030000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华文细黑">
    <w:altName w:val="微软雅黑"/>
    <w:panose1 w:val="02010600040000010101"/>
    <w:charset w:val="86"/>
    <w:family w:val="auto"/>
    <w:pitch w:val="default"/>
    <w:sig w:usb0="00000000" w:usb1="00000000" w:usb2="00000000" w:usb3="00000000" w:csb0="0004009F" w:csb1="DFD7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1"/>
        <w:rFonts w:hint="eastAsia" w:ascii="宋体"/>
        <w:sz w:val="21"/>
        <w:szCs w:val="21"/>
      </w:rPr>
    </w:pPr>
    <w:r>
      <w:rPr>
        <w:rFonts w:ascii="宋体"/>
        <w:sz w:val="21"/>
        <w:szCs w:val="21"/>
      </w:rPr>
      <w:fldChar w:fldCharType="begin"/>
    </w:r>
    <w:r>
      <w:rPr>
        <w:rStyle w:val="61"/>
        <w:rFonts w:ascii="宋体"/>
        <w:sz w:val="21"/>
        <w:szCs w:val="21"/>
      </w:rPr>
      <w:instrText xml:space="preserve">PAGE  </w:instrText>
    </w:r>
    <w:r>
      <w:rPr>
        <w:rFonts w:ascii="宋体"/>
        <w:sz w:val="21"/>
        <w:szCs w:val="21"/>
      </w:rPr>
      <w:fldChar w:fldCharType="separate"/>
    </w:r>
    <w:r>
      <w:rPr>
        <w:rStyle w:val="61"/>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1"/>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1"/>
      </w:rPr>
    </w:pPr>
    <w:r>
      <w:fldChar w:fldCharType="begin"/>
    </w:r>
    <w:r>
      <w:rPr>
        <w:rStyle w:val="61"/>
      </w:rPr>
      <w:instrText xml:space="preserve">PAGE  </w:instrText>
    </w:r>
    <w:r>
      <w:fldChar w:fldCharType="separate"/>
    </w:r>
    <w:r>
      <w:rPr>
        <w:rStyle w:val="61"/>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8"/>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36"/>
                          </w:pPr>
                          <w:r>
                            <w:fldChar w:fldCharType="begin"/>
                          </w:r>
                          <w:r>
                            <w:instrText xml:space="preserve"> PAGE  \* MERGEFORMAT </w:instrText>
                          </w:r>
                          <w:r>
                            <w:fldChar w:fldCharType="separate"/>
                          </w:r>
                          <w:r>
                            <w:t>1</w:t>
                          </w:r>
                          <w:r>
                            <w:fldChar w:fldCharType="end"/>
                          </w:r>
                        </w:p>
                      </w:txbxContent>
                    </wps:txbx>
                    <wps:bodyPr vert="horz" wrap="none" lIns="0" tIns="0" rIns="0" bIns="0" anchor="t" upright="0">
                      <a:spAutoFit/>
                    </wps:bodyPr>
                  </wps:wsp>
                </a:graphicData>
              </a:graphic>
            </wp:anchor>
          </w:drawing>
        </mc:Choice>
        <mc:Fallback>
          <w:pict>
            <v:rect id="文本框 8"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5dblS0AAAAAUBAAAPAAAAAAAAAAEAIAAAACIAAABkcnMv&#10;ZG93bnJldi54bWxQSwECFAAUAAAACACHTuJAKfWWHNIBAACeAwAADgAAAAAAAAABACAAAAAfAQAA&#10;ZHJzL2Uyb0RvYy54bWxQSwUGAAAAAAYABgBZAQAAYwUAAAAA&#10;">
              <v:fill on="f" focussize="0,0"/>
              <v:stroke on="f"/>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rPr>
        <w:rFonts w:hint="default" w:eastAsia="宋体"/>
        <w:lang w:val="en-US" w:eastAsia="zh-CN"/>
      </w:rPr>
    </w:pPr>
    <w:r>
      <w:rPr>
        <w:rFonts w:hint="eastAsia"/>
        <w:lang w:val="en-US" w:eastAsia="zh-CN"/>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2"/>
      <w:numFmt w:val="chineseCounting"/>
      <w:suff w:val="nothing"/>
      <w:lvlText w:val="%1、"/>
      <w:lvlJc w:val="left"/>
      <w:rPr>
        <w:rFonts w:hint="eastAsia"/>
      </w:rPr>
    </w:lvl>
  </w:abstractNum>
  <w:abstractNum w:abstractNumId="1">
    <w:nsid w:val="00000001"/>
    <w:multiLevelType w:val="multilevel"/>
    <w:tmpl w:val="00000001"/>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00000002"/>
    <w:multiLevelType w:val="multilevel"/>
    <w:tmpl w:val="00000002"/>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3"/>
    <w:multiLevelType w:val="singleLevel"/>
    <w:tmpl w:val="00000003"/>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4">
    <w:nsid w:val="00000004"/>
    <w:multiLevelType w:val="singleLevel"/>
    <w:tmpl w:val="00000004"/>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5">
    <w:nsid w:val="00000005"/>
    <w:multiLevelType w:val="multilevel"/>
    <w:tmpl w:val="00000005"/>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6">
    <w:nsid w:val="00000006"/>
    <w:multiLevelType w:val="singleLevel"/>
    <w:tmpl w:val="00000006"/>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7">
    <w:nsid w:val="00000007"/>
    <w:multiLevelType w:val="multilevel"/>
    <w:tmpl w:val="00000007"/>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08"/>
    <w:multiLevelType w:val="multilevel"/>
    <w:tmpl w:val="00000008"/>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00000009"/>
    <w:multiLevelType w:val="singleLevel"/>
    <w:tmpl w:val="00000009"/>
    <w:lvl w:ilvl="0" w:tentative="0">
      <w:start w:val="1"/>
      <w:numFmt w:val="decimal"/>
      <w:pStyle w:val="14"/>
      <w:lvlText w:val="%1."/>
      <w:lvlJc w:val="left"/>
      <w:pPr>
        <w:tabs>
          <w:tab w:val="left" w:pos="425"/>
        </w:tabs>
        <w:ind w:left="425" w:hanging="425"/>
      </w:pPr>
      <w:rPr>
        <w:rFonts w:hint="default"/>
      </w:rPr>
    </w:lvl>
  </w:abstractNum>
  <w:abstractNum w:abstractNumId="10">
    <w:nsid w:val="0000000A"/>
    <w:multiLevelType w:val="singleLevel"/>
    <w:tmpl w:val="0000000A"/>
    <w:lvl w:ilvl="0" w:tentative="0">
      <w:start w:val="1"/>
      <w:numFmt w:val="bullet"/>
      <w:pStyle w:val="28"/>
      <w:lvlText w:val=""/>
      <w:lvlJc w:val="left"/>
      <w:pPr>
        <w:tabs>
          <w:tab w:val="left" w:pos="780"/>
        </w:tabs>
        <w:ind w:left="780" w:hanging="360"/>
      </w:pPr>
      <w:rPr>
        <w:rFonts w:hint="default" w:ascii="Wingdings" w:hAnsi="Wingdings"/>
      </w:rPr>
    </w:lvl>
  </w:abstractNum>
  <w:abstractNum w:abstractNumId="11">
    <w:nsid w:val="0000000B"/>
    <w:multiLevelType w:val="singleLevel"/>
    <w:tmpl w:val="0000000B"/>
    <w:lvl w:ilvl="0" w:tentative="0">
      <w:start w:val="1"/>
      <w:numFmt w:val="decimal"/>
      <w:pStyle w:val="235"/>
      <w:lvlText w:val="%1)"/>
      <w:lvlJc w:val="left"/>
      <w:pPr>
        <w:tabs>
          <w:tab w:val="left" w:pos="425"/>
        </w:tabs>
        <w:ind w:left="425" w:hanging="425"/>
      </w:pPr>
      <w:rPr>
        <w:rFonts w:hint="eastAsia"/>
      </w:rPr>
    </w:lvl>
  </w:abstractNum>
  <w:abstractNum w:abstractNumId="12">
    <w:nsid w:val="0000000C"/>
    <w:multiLevelType w:val="multilevel"/>
    <w:tmpl w:val="0000000C"/>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0000000D"/>
    <w:multiLevelType w:val="multilevel"/>
    <w:tmpl w:val="0000000D"/>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9"/>
  </w:num>
  <w:num w:numId="2">
    <w:abstractNumId w:val="6"/>
  </w:num>
  <w:num w:numId="3">
    <w:abstractNumId w:val="4"/>
  </w:num>
  <w:num w:numId="4">
    <w:abstractNumId w:val="10"/>
  </w:num>
  <w:num w:numId="5">
    <w:abstractNumId w:val="13"/>
  </w:num>
  <w:num w:numId="6">
    <w:abstractNumId w:val="1"/>
  </w:num>
  <w:num w:numId="7">
    <w:abstractNumId w:val="7"/>
  </w:num>
  <w:num w:numId="8">
    <w:abstractNumId w:val="12"/>
  </w:num>
  <w:num w:numId="9">
    <w:abstractNumId w:val="2"/>
  </w:num>
  <w:num w:numId="10">
    <w:abstractNumId w:val="3"/>
  </w:num>
  <w:num w:numId="11">
    <w:abstractNumId w:val="8"/>
  </w:num>
  <w:num w:numId="12">
    <w:abstractNumId w:val="5"/>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3A41AF"/>
    <w:rsid w:val="05407B29"/>
    <w:rsid w:val="19A0644C"/>
    <w:rsid w:val="2EE957DA"/>
    <w:rsid w:val="46383F0A"/>
    <w:rsid w:val="4C6F66A2"/>
    <w:rsid w:val="51EF367C"/>
    <w:rsid w:val="52581CDD"/>
    <w:rsid w:val="73EF751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beforeAutospacing="0" w:after="260" w:afterAutospacing="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beforeAutospacing="0" w:after="260" w:afterAutospacing="0" w:line="413" w:lineRule="auto"/>
      <w:outlineLvl w:val="2"/>
    </w:pPr>
    <w:rPr>
      <w:b/>
      <w:sz w:val="32"/>
    </w:rPr>
  </w:style>
  <w:style w:type="paragraph" w:styleId="6">
    <w:name w:val="heading 4"/>
    <w:basedOn w:val="1"/>
    <w:next w:val="1"/>
    <w:qFormat/>
    <w:uiPriority w:val="0"/>
    <w:pPr>
      <w:keepNext/>
      <w:keepLines/>
      <w:spacing w:before="280" w:beforeAutospacing="0" w:after="29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Autospacing="0" w:after="29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Autospacing="0" w:after="64"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Autospacing="0" w:after="64"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Autospacing="0" w:after="64"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Autospacing="0" w:after="64" w:afterAutospacing="0" w:line="317" w:lineRule="auto"/>
      <w:ind w:left="1584" w:hanging="1584"/>
      <w:outlineLvl w:val="8"/>
    </w:pPr>
    <w:rPr>
      <w:rFonts w:ascii="Arial" w:hAnsi="Arial" w:eastAsia="黑体"/>
      <w:b/>
      <w:sz w:val="24"/>
    </w:rPr>
  </w:style>
  <w:style w:type="character" w:default="1" w:styleId="59">
    <w:name w:val="Default Paragraph Font"/>
    <w:qFormat/>
    <w:uiPriority w:val="0"/>
  </w:style>
  <w:style w:type="table" w:default="1" w:styleId="57">
    <w:name w:val="Normal Table"/>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First Indent"/>
    <w:basedOn w:val="1"/>
    <w:next w:val="1"/>
    <w:qFormat/>
    <w:uiPriority w:val="0"/>
    <w:pPr>
      <w:spacing w:line="360" w:lineRule="auto"/>
      <w:ind w:firstLine="420"/>
    </w:pPr>
    <w:rPr>
      <w:rFonts w:ascii="宋体" w:hAnsi="宋体"/>
      <w:sz w:val="24"/>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clear" w:pos="425"/>
      </w:tabs>
      <w:spacing w:line="360" w:lineRule="auto"/>
    </w:pPr>
    <w:rPr>
      <w:sz w:val="24"/>
    </w:rPr>
  </w:style>
  <w:style w:type="paragraph" w:styleId="15">
    <w:name w:val="List Bullet 4"/>
    <w:basedOn w:val="1"/>
    <w:qFormat/>
    <w:uiPriority w:val="0"/>
    <w:pPr>
      <w:widowControl/>
      <w:numPr>
        <w:ilvl w:val="0"/>
        <w:numId w:val="2"/>
      </w:numPr>
      <w:tabs>
        <w:tab w:val="clear" w:pos="1620"/>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afterAutospacing="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w:basedOn w:val="1"/>
    <w:next w:val="1"/>
    <w:qFormat/>
    <w:uiPriority w:val="0"/>
    <w:rPr>
      <w:rFonts w:ascii="仿宋_GB2312" w:eastAsia="仿宋_GB2312"/>
      <w:sz w:val="32"/>
    </w:rPr>
  </w:style>
  <w:style w:type="paragraph" w:styleId="24">
    <w:name w:val="Body Text Indent"/>
    <w:basedOn w:val="1"/>
    <w:link w:val="74"/>
    <w:qFormat/>
    <w:uiPriority w:val="0"/>
    <w:pPr>
      <w:spacing w:line="700" w:lineRule="exact"/>
      <w:ind w:left="960"/>
    </w:pPr>
    <w:rPr>
      <w:sz w:val="44"/>
    </w:rPr>
  </w:style>
  <w:style w:type="paragraph" w:styleId="25">
    <w:name w:val="List Number 3"/>
    <w:basedOn w:val="1"/>
    <w:qFormat/>
    <w:uiPriority w:val="0"/>
    <w:pPr>
      <w:tabs>
        <w:tab w:val="left" w:pos="2120"/>
      </w:tabs>
      <w:adjustRightInd w:val="0"/>
      <w:snapToGrid w:val="0"/>
      <w:spacing w:line="360" w:lineRule="auto"/>
      <w:ind w:left="2120" w:hanging="720"/>
    </w:pPr>
    <w:rPr>
      <w:sz w:val="24"/>
    </w:rPr>
  </w:style>
  <w:style w:type="paragraph" w:styleId="26">
    <w:name w:val="List 2"/>
    <w:basedOn w:val="1"/>
    <w:qFormat/>
    <w:uiPriority w:val="0"/>
    <w:pPr>
      <w:adjustRightInd w:val="0"/>
      <w:snapToGrid w:val="0"/>
      <w:spacing w:line="360" w:lineRule="auto"/>
      <w:ind w:left="100" w:leftChars="200" w:hanging="200" w:hangingChars="200"/>
    </w:pPr>
    <w:rPr>
      <w:sz w:val="24"/>
    </w:rPr>
  </w:style>
  <w:style w:type="paragraph" w:styleId="27">
    <w:name w:val="List Continue"/>
    <w:basedOn w:val="1"/>
    <w:qFormat/>
    <w:uiPriority w:val="0"/>
    <w:pPr>
      <w:adjustRightInd w:val="0"/>
      <w:snapToGrid w:val="0"/>
      <w:spacing w:after="120" w:afterAutospacing="0" w:line="360" w:lineRule="auto"/>
      <w:ind w:left="420" w:leftChars="200"/>
    </w:pPr>
    <w:rPr>
      <w:sz w:val="24"/>
    </w:rPr>
  </w:style>
  <w:style w:type="paragraph" w:styleId="28">
    <w:name w:val="List Bullet 2"/>
    <w:basedOn w:val="1"/>
    <w:qFormat/>
    <w:uiPriority w:val="0"/>
    <w:pPr>
      <w:numPr>
        <w:ilvl w:val="0"/>
        <w:numId w:val="4"/>
      </w:numPr>
      <w:adjustRightInd w:val="0"/>
      <w:snapToGrid w:val="0"/>
      <w:spacing w:line="360" w:lineRule="auto"/>
    </w:pPr>
    <w:rPr>
      <w:sz w:val="24"/>
    </w:r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afterAutospacing="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afterAutospacing="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afterAutospacing="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afterAutospacing="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afterAutospacing="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2"/>
    <w:basedOn w:val="24"/>
    <w:next w:val="1"/>
    <w:link w:val="79"/>
    <w:qFormat/>
    <w:uiPriority w:val="0"/>
    <w:pPr>
      <w:spacing w:after="120" w:line="240" w:lineRule="auto"/>
      <w:ind w:left="420" w:leftChars="200" w:firstLine="420" w:firstLineChars="200"/>
    </w:pPr>
  </w:style>
  <w:style w:type="table" w:styleId="58">
    <w:name w:val="Table Grid"/>
    <w:basedOn w:val="5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basedOn w:val="59"/>
    <w:qFormat/>
    <w:uiPriority w:val="22"/>
    <w:rPr>
      <w:b/>
    </w:rPr>
  </w:style>
  <w:style w:type="character" w:styleId="61">
    <w:name w:val="page number"/>
    <w:qFormat/>
    <w:uiPriority w:val="0"/>
  </w:style>
  <w:style w:type="character" w:styleId="62">
    <w:name w:val="FollowedHyperlink"/>
    <w:qFormat/>
    <w:uiPriority w:val="0"/>
    <w:rPr>
      <w:color w:val="800080"/>
      <w:u w:val="single"/>
    </w:rPr>
  </w:style>
  <w:style w:type="character" w:styleId="63">
    <w:name w:val="Emphasis"/>
    <w:basedOn w:val="59"/>
    <w:qFormat/>
    <w:uiPriority w:val="0"/>
    <w:rPr>
      <w:i/>
    </w:rPr>
  </w:style>
  <w:style w:type="character" w:styleId="64">
    <w:name w:val="Hyperlink"/>
    <w:qFormat/>
    <w:uiPriority w:val="99"/>
    <w:rPr>
      <w:color w:val="0000FF"/>
      <w:u w:val="single"/>
    </w:rPr>
  </w:style>
  <w:style w:type="character" w:styleId="65">
    <w:name w:val="annotation reference"/>
    <w:qFormat/>
    <w:uiPriority w:val="0"/>
    <w:rPr>
      <w:sz w:val="21"/>
      <w:szCs w:val="21"/>
    </w:rPr>
  </w:style>
  <w:style w:type="character" w:styleId="66">
    <w:name w:val="footnote reference"/>
    <w:qFormat/>
    <w:uiPriority w:val="0"/>
    <w:rPr>
      <w:position w:val="6"/>
      <w:sz w:val="14"/>
      <w:vertAlign w:val="superscript"/>
    </w:rPr>
  </w:style>
  <w:style w:type="paragraph" w:customStyle="1" w:styleId="67">
    <w:name w:val="Default"/>
    <w:next w:val="1"/>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8">
    <w:name w:val="引用1"/>
    <w:basedOn w:val="1"/>
    <w:next w:val="1"/>
    <w:qFormat/>
    <w:uiPriority w:val="99"/>
    <w:rPr>
      <w:rFonts w:ascii="Calibri" w:hAnsi="Calibri"/>
      <w:i/>
      <w:iCs/>
      <w:color w:val="000000"/>
      <w:kern w:val="0"/>
      <w:sz w:val="22"/>
      <w:szCs w:val="20"/>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Char"/>
    <w:link w:val="4"/>
    <w:qFormat/>
    <w:uiPriority w:val="0"/>
    <w:rPr>
      <w:rFonts w:ascii="Arial" w:hAnsi="Arial" w:eastAsia="黑体"/>
      <w:b/>
      <w:kern w:val="2"/>
      <w:sz w:val="32"/>
    </w:rPr>
  </w:style>
  <w:style w:type="character" w:customStyle="1" w:styleId="72">
    <w:name w:val="标题 3 Char"/>
    <w:link w:val="5"/>
    <w:qFormat/>
    <w:uiPriority w:val="0"/>
    <w:rPr>
      <w:rFonts w:eastAsia="宋体"/>
      <w:b/>
      <w:kern w:val="2"/>
      <w:sz w:val="32"/>
      <w:lang w:val="en-US" w:eastAsia="zh-CN"/>
    </w:rPr>
  </w:style>
  <w:style w:type="character" w:customStyle="1" w:styleId="73">
    <w:name w:val="批注文字 Char"/>
    <w:link w:val="20"/>
    <w:qFormat/>
    <w:uiPriority w:val="0"/>
    <w:rPr>
      <w:sz w:val="24"/>
    </w:rPr>
  </w:style>
  <w:style w:type="character" w:customStyle="1" w:styleId="74">
    <w:name w:val="正文文本缩进 Char"/>
    <w:link w:val="24"/>
    <w:qFormat/>
    <w:uiPriority w:val="0"/>
    <w:rPr>
      <w:kern w:val="2"/>
      <w:sz w:val="44"/>
    </w:rPr>
  </w:style>
  <w:style w:type="character" w:customStyle="1" w:styleId="75">
    <w:name w:val="日期 Char"/>
    <w:link w:val="33"/>
    <w:qFormat/>
    <w:uiPriority w:val="0"/>
    <w:rPr>
      <w:kern w:val="2"/>
      <w:sz w:val="28"/>
    </w:rPr>
  </w:style>
  <w:style w:type="character" w:customStyle="1" w:styleId="76">
    <w:name w:val="正文文本缩进 2 Char"/>
    <w:link w:val="34"/>
    <w:qFormat/>
    <w:uiPriority w:val="0"/>
    <w:rPr>
      <w:kern w:val="2"/>
      <w:sz w:val="28"/>
    </w:rPr>
  </w:style>
  <w:style w:type="character" w:customStyle="1" w:styleId="77">
    <w:name w:val="脚注文本 Char"/>
    <w:link w:val="41"/>
    <w:qFormat/>
    <w:uiPriority w:val="0"/>
    <w:rPr>
      <w:kern w:val="2"/>
      <w:sz w:val="18"/>
    </w:rPr>
  </w:style>
  <w:style w:type="character" w:customStyle="1" w:styleId="78">
    <w:name w:val="批注主题 Char"/>
    <w:link w:val="55"/>
    <w:qFormat/>
    <w:uiPriority w:val="0"/>
  </w:style>
  <w:style w:type="character" w:customStyle="1" w:styleId="79">
    <w:name w:val="正文首行缩进 2 Char"/>
    <w:link w:val="56"/>
    <w:qFormat/>
    <w:uiPriority w:val="0"/>
  </w:style>
  <w:style w:type="character" w:customStyle="1" w:styleId="80">
    <w:name w:val="v151"/>
    <w:qFormat/>
    <w:uiPriority w:val="0"/>
    <w:rPr>
      <w:sz w:val="18"/>
    </w:rPr>
  </w:style>
  <w:style w:type="character" w:customStyle="1" w:styleId="81">
    <w:name w:val=" 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 Char Char3"/>
    <w:qFormat/>
    <w:uiPriority w:val="0"/>
    <w:rPr>
      <w:rFonts w:eastAsia="宋体"/>
      <w:kern w:val="2"/>
      <w:sz w:val="18"/>
      <w:lang w:val="en-US" w:eastAsia="zh-CN"/>
    </w:rPr>
  </w:style>
  <w:style w:type="character" w:customStyle="1" w:styleId="89">
    <w:name w:val=" 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 Char Char5"/>
    <w:qFormat/>
    <w:uiPriority w:val="0"/>
    <w:rPr>
      <w:rFonts w:ascii="Arial" w:hAnsi="Arial" w:eastAsia="宋体"/>
      <w:b/>
      <w:smallCaps/>
      <w:kern w:val="28"/>
      <w:sz w:val="36"/>
      <w:lang w:val="en-US" w:eastAsia="en-US"/>
    </w:rPr>
  </w:style>
  <w:style w:type="character" w:customStyle="1" w:styleId="92">
    <w:name w:val=" 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 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 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 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10">
    <w:name w:val="标题3——2"/>
    <w:basedOn w:val="5"/>
    <w:next w:val="2"/>
    <w:qFormat/>
    <w:uiPriority w:val="0"/>
    <w:pPr>
      <w:tabs>
        <w:tab w:val="left" w:pos="1280"/>
        <w:tab w:val="right" w:leader="dot" w:pos="8777"/>
      </w:tabs>
      <w:spacing w:before="312" w:beforeLines="100" w:beforeAutospacing="0" w:after="0" w:afterAutospacing="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beforeAutospacing="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beforeAutospacing="0" w:after="120" w:afterAutospacing="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ilvl w:val="1"/>
        <w:numId w:val="0"/>
      </w:numPr>
      <w:spacing w:before="0" w:beforeAutospacing="0" w:after="0" w:afterAutospacing="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beforeAutospacing="0" w:after="330" w:afterAutospacing="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 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 Char Char14 Char Char"/>
    <w:basedOn w:val="1"/>
    <w:qFormat/>
    <w:uiPriority w:val="0"/>
    <w:rPr>
      <w:sz w:val="21"/>
      <w:szCs w:val="24"/>
    </w:rPr>
  </w:style>
  <w:style w:type="paragraph" w:customStyle="1" w:styleId="129">
    <w:name w:val=" Char Char Char Char Char"/>
    <w:basedOn w:val="1"/>
    <w:qFormat/>
    <w:uiPriority w:val="0"/>
    <w:pPr>
      <w:numPr>
        <w:ilvl w:val="0"/>
        <w:numId w:val="2"/>
      </w:numPr>
      <w:tabs>
        <w:tab w:val="clear" w:pos="1620"/>
      </w:tabs>
    </w:pPr>
    <w:rPr>
      <w:rFonts w:ascii="Tahoma" w:hAnsi="Tahoma"/>
      <w:sz w:val="24"/>
    </w:rPr>
  </w:style>
  <w:style w:type="paragraph" w:customStyle="1" w:styleId="130">
    <w:name w:val=" 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3"/>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 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8"/>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numPr>
        <w:ilvl w:val="0"/>
        <w:numId w:val="3"/>
      </w:numPr>
      <w:tabs>
        <w:tab w:val="clear" w:pos="120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
    <w:basedOn w:val="18"/>
    <w:qFormat/>
    <w:uiPriority w:val="0"/>
    <w:rPr>
      <w:rFonts w:ascii="宋体" w:hAnsi="Tahoma"/>
    </w:rPr>
  </w:style>
  <w:style w:type="paragraph" w:customStyle="1" w:styleId="148">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 Char Char Char Char Char Char1 Char"/>
    <w:basedOn w:val="1"/>
    <w:qFormat/>
    <w:uiPriority w:val="0"/>
    <w:pPr>
      <w:widowControl/>
      <w:spacing w:after="160" w:afterAutospacing="0" w:line="240" w:lineRule="exact"/>
      <w:jc w:val="left"/>
    </w:pPr>
    <w:rPr>
      <w:rFonts w:ascii="Verdana" w:hAnsi="Verdana"/>
      <w:kern w:val="0"/>
      <w:sz w:val="21"/>
      <w:lang w:eastAsia="en-US"/>
    </w:rPr>
  </w:style>
  <w:style w:type="paragraph" w:customStyle="1" w:styleId="157">
    <w:name w:val="标准正文"/>
    <w:basedOn w:val="24"/>
    <w:qFormat/>
    <w:uiPriority w:val="0"/>
    <w:pPr>
      <w:spacing w:before="60" w:after="60" w:line="360" w:lineRule="auto"/>
      <w:ind w:left="0" w:firstLine="482"/>
    </w:pPr>
    <w:rPr>
      <w:rFonts w:ascii="Arial" w:hAnsi="Arial"/>
      <w:sz w:val="24"/>
    </w:rPr>
  </w:style>
  <w:style w:type="paragraph" w:customStyle="1" w:styleId="158">
    <w:name w:val="Body Text 2_5fc41519-cca4-4a39-aef4-9feab0322090"/>
    <w:basedOn w:val="1"/>
    <w:qFormat/>
    <w:uiPriority w:val="0"/>
    <w:pPr>
      <w:adjustRightInd w:val="0"/>
      <w:spacing w:before="120" w:beforeAutospacing="0" w:line="360" w:lineRule="auto"/>
      <w:ind w:firstLine="480"/>
      <w:textAlignment w:val="baseline"/>
    </w:pPr>
    <w:rPr>
      <w:sz w:val="24"/>
    </w:rPr>
  </w:style>
  <w:style w:type="paragraph" w:customStyle="1" w:styleId="159">
    <w:name w:val="样式1"/>
    <w:basedOn w:val="6"/>
    <w:qFormat/>
    <w:uiPriority w:val="0"/>
    <w:pPr>
      <w:tabs>
        <w:tab w:val="left" w:pos="720"/>
      </w:tabs>
      <w:spacing w:before="500" w:beforeAutospacing="0" w:after="260" w:afterAutospacing="0" w:line="560" w:lineRule="atLeast"/>
      <w:ind w:left="420" w:hanging="420"/>
    </w:pPr>
  </w:style>
  <w:style w:type="paragraph" w:customStyle="1" w:styleId="160">
    <w:name w:val="正文4"/>
    <w:basedOn w:val="1"/>
    <w:qFormat/>
    <w:uiPriority w:val="0"/>
    <w:pPr>
      <w:tabs>
        <w:tab w:val="left" w:pos="1275"/>
      </w:tabs>
      <w:spacing w:before="60" w:beforeAutospacing="0" w:after="60" w:afterAutospacing="0" w:line="360" w:lineRule="auto"/>
      <w:ind w:left="820" w:leftChars="400" w:hanging="705"/>
    </w:pPr>
    <w:rPr>
      <w:sz w:val="24"/>
    </w:rPr>
  </w:style>
  <w:style w:type="paragraph" w:customStyle="1" w:styleId="161">
    <w:name w:val=" Char Char1"/>
    <w:basedOn w:val="1"/>
    <w:qFormat/>
    <w:uiPriority w:val="0"/>
    <w:pPr>
      <w:widowControl/>
      <w:spacing w:after="160" w:afterAutospacing="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beforeAutospacing="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beforeAutospacing="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 Char Char Char Char Char Char Char Char Char Char Char Char Char"/>
    <w:basedOn w:val="1"/>
    <w:qFormat/>
    <w:uiPriority w:val="0"/>
    <w:pPr>
      <w:widowControl/>
      <w:spacing w:after="160" w:afterAutospacing="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beforeAutospacing="0" w:after="720" w:afterAutospacing="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beforeAutospacing="0" w:after="120" w:afterAutospacing="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2"/>
      </w:numPr>
      <w:tabs>
        <w:tab w:val="left" w:pos="709"/>
        <w:tab w:val="left" w:pos="1620"/>
      </w:tabs>
      <w:spacing w:line="413" w:lineRule="auto"/>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 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3"/>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beforeAutospacing="0" w:after="120" w:afterAutospacing="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afterAutospacing="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Autospacing="0" w:after="240" w:afterAutospacing="0" w:line="288" w:lineRule="auto"/>
      <w:ind w:left="144" w:right="144"/>
      <w:jc w:val="center"/>
    </w:pPr>
    <w:rPr>
      <w:b/>
      <w:i/>
      <w:sz w:val="24"/>
    </w:rPr>
  </w:style>
  <w:style w:type="paragraph" w:customStyle="1" w:styleId="186">
    <w:name w:val=" 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beforeAutospacing="0" w:after="330" w:afterAutospacing="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 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3"/>
    <w:qFormat/>
    <w:uiPriority w:val="0"/>
    <w:pPr>
      <w:adjustRightInd w:val="0"/>
      <w:snapToGrid w:val="0"/>
      <w:spacing w:line="360" w:lineRule="auto"/>
      <w:ind w:firstLine="480"/>
    </w:pPr>
    <w:rPr>
      <w:rFonts w:ascii="Times New Roman" w:eastAsia="宋体"/>
      <w:sz w:val="24"/>
    </w:rPr>
  </w:style>
  <w:style w:type="paragraph" w:customStyle="1" w:styleId="199">
    <w:name w:val=" Char Char Char"/>
    <w:basedOn w:val="1"/>
    <w:qFormat/>
    <w:uiPriority w:val="0"/>
    <w:rPr>
      <w:rFonts w:ascii="Tahoma" w:hAnsi="Tahoma"/>
      <w:sz w:val="24"/>
    </w:rPr>
  </w:style>
  <w:style w:type="paragraph" w:customStyle="1" w:styleId="200">
    <w:name w:val=" Char Char1 Char Char Char Char Char Char Char Char Char Char Char Char Char Char"/>
    <w:basedOn w:val="1"/>
    <w:qFormat/>
    <w:uiPriority w:val="0"/>
    <w:pPr>
      <w:widowControl/>
      <w:spacing w:after="160" w:afterAutospacing="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beforeAutospacing="0" w:after="120" w:afterAutospacing="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beforeAutospacing="0" w:after="80" w:afterAutospacing="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beforeAutospacing="0" w:after="60" w:afterAutospacing="0" w:line="360" w:lineRule="auto"/>
      <w:ind w:left="200" w:leftChars="200" w:firstLine="200" w:firstLineChars="200"/>
    </w:pPr>
    <w:rPr>
      <w:sz w:val="24"/>
    </w:rPr>
  </w:style>
  <w:style w:type="paragraph" w:customStyle="1" w:styleId="208">
    <w:name w:val="正文表格"/>
    <w:basedOn w:val="1"/>
    <w:qFormat/>
    <w:uiPriority w:val="0"/>
    <w:pPr>
      <w:adjustRightInd w:val="0"/>
      <w:spacing w:before="40" w:beforeAutospacing="0" w:after="40" w:afterAutospacing="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Body Text Indent 2_4b307bcb-b1e5-4094-97c4-bfe1c54c374c"/>
    <w:basedOn w:val="1"/>
    <w:qFormat/>
    <w:uiPriority w:val="0"/>
    <w:pPr>
      <w:adjustRightInd w:val="0"/>
      <w:spacing w:before="120" w:beforeAutospacing="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beforeAutospacing="0" w:after="120" w:afterAutospacing="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afterAutospacing="0" w:line="360" w:lineRule="auto"/>
      <w:ind w:firstLine="200" w:firstLineChars="200"/>
    </w:pPr>
    <w:rPr>
      <w:sz w:val="24"/>
    </w:rPr>
  </w:style>
  <w:style w:type="paragraph" w:customStyle="1" w:styleId="226">
    <w:name w:val=" Char"/>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 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 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3"/>
    <w:qFormat/>
    <w:uiPriority w:val="0"/>
    <w:pPr>
      <w:numPr>
        <w:ilvl w:val="0"/>
        <w:numId w:val="0"/>
      </w:numPr>
      <w:overflowPunct w:val="0"/>
      <w:autoSpaceDE w:val="0"/>
      <w:autoSpaceDN w:val="0"/>
      <w:adjustRightInd w:val="0"/>
      <w:snapToGrid w:val="0"/>
      <w:spacing w:before="100" w:beforeAutospacing="0" w:after="100" w:afterAutospacing="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beforeAutospacing="0" w:after="120" w:afterAutospacing="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59"/>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宋体"/>
      <w:kern w:val="0"/>
      <w:sz w:val="22"/>
      <w:szCs w:val="22"/>
    </w:rPr>
  </w:style>
  <w:style w:type="paragraph" w:customStyle="1" w:styleId="243">
    <w:name w:val="方案正文"/>
    <w:basedOn w:val="1"/>
    <w:qFormat/>
    <w:uiPriority w:val="0"/>
    <w:pPr>
      <w:spacing w:before="120" w:line="360" w:lineRule="auto"/>
      <w:ind w:firstLine="425" w:firstLineChars="177"/>
    </w:pPr>
    <w:rPr>
      <w:rFonts w:ascii="华文细黑" w:hAnsi="华文细黑" w:eastAsia="华文细黑" w:cs="宋体"/>
      <w:kern w:val="0"/>
      <w:sz w:val="24"/>
    </w:rPr>
  </w:style>
  <w:style w:type="paragraph" w:styleId="244">
    <w:name w:val="No Spacing"/>
    <w:qFormat/>
    <w:uiPriority w:val="1"/>
    <w:pPr>
      <w:widowControl w:val="0"/>
      <w:jc w:val="both"/>
    </w:pPr>
    <w:rPr>
      <w:rFonts w:ascii="Times New Roman" w:hAnsi="Times New Roman" w:eastAsia="宋体" w:cs="Times New Roman"/>
      <w:kern w:val="2"/>
      <w:sz w:val="28"/>
      <w:lang w:val="en-US" w:eastAsia="zh-CN" w:bidi="ar-SA"/>
    </w:rPr>
  </w:style>
  <w:style w:type="paragraph" w:customStyle="1" w:styleId="245">
    <w:name w:val="Table Paragraph"/>
    <w:basedOn w:val="1"/>
    <w:qFormat/>
    <w:uiPriority w:val="1"/>
    <w:pPr>
      <w:autoSpaceDE w:val="0"/>
      <w:autoSpaceDN w:val="0"/>
      <w:spacing w:before="99"/>
      <w:jc w:val="left"/>
    </w:pPr>
    <w:rPr>
      <w:rFonts w:hAnsi="宋体" w:cs="宋体"/>
      <w:sz w:val="22"/>
      <w:szCs w:val="22"/>
      <w:lang w:val="zh-CN" w:bidi="zh-CN"/>
    </w:rPr>
  </w:style>
  <w:style w:type="paragraph" w:customStyle="1" w:styleId="246">
    <w:name w:val="无间隔1"/>
    <w:qFormat/>
    <w:uiPriority w:val="99"/>
    <w:pPr>
      <w:widowControl w:val="0"/>
      <w:jc w:val="both"/>
    </w:pPr>
    <w:rPr>
      <w:rFonts w:ascii="Times New Roman" w:hAnsi="Times New Roman" w:eastAsia="宋体" w:cs="Calibri"/>
      <w:kern w:val="2"/>
      <w:sz w:val="21"/>
      <w:szCs w:val="21"/>
      <w:lang w:val="en-US" w:eastAsia="zh-CN" w:bidi="ar-SA"/>
    </w:rPr>
  </w:style>
  <w:style w:type="character" w:customStyle="1" w:styleId="247">
    <w:name w:val="font31"/>
    <w:basedOn w:val="59"/>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17</Pages>
  <Words>12033</Words>
  <Characters>12415</Characters>
  <Paragraphs>547</Paragraphs>
  <TotalTime>0</TotalTime>
  <ScaleCrop>false</ScaleCrop>
  <LinksUpToDate>false</LinksUpToDate>
  <CharactersWithSpaces>12870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2026-05-06T12:51:00Z</dcterms:created>
  <dc:creator>周媛媛</dc:creator>
  <cp:lastModifiedBy>Administrator</cp:lastModifiedBy>
  <cp:lastPrinted>2026-06-02T07:20:00Z</cp:lastPrinted>
  <dcterms:modified xsi:type="dcterms:W3CDTF">2026-06-03T06:18:07Z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4FA8F67F476C431A9D40DCE198715C75</vt:lpwstr>
  </property>
  <property fmtid="{D5CDD505-2E9C-101B-9397-08002B2CF9AE}" pid="4" name="KSOTemplateDocerSaveRecord">
    <vt:lpwstr>eyJoZGlkIjoiOTkyNWExNzI1YTY4YmQ0NzNmZDYzNDVhNTgyZmUwMzEiLCJ1c2VySWQiOiIxMjc4NTgxMjc5In0=</vt:lpwstr>
  </property>
</Properties>
</file>