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color w:val="auto"/>
          <w:sz w:val="36"/>
          <w:szCs w:val="36"/>
          <w:u w:val="single"/>
          <w:lang w:val="en-US" w:eastAsia="zh-CN"/>
        </w:rPr>
        <w:t>YCG260213</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委托招标代理机构遴选（工程）</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2789052"/>
      <w:bookmarkStart w:id="1" w:name="_Toc11153"/>
      <w:bookmarkStart w:id="2" w:name="_Toc106030870"/>
      <w:bookmarkStart w:id="3" w:name="_Toc76462316"/>
      <w:bookmarkStart w:id="4" w:name="_Toc11641050"/>
      <w:bookmarkStart w:id="5" w:name="_Toc24037"/>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委托招标代理机构遴选（工程）</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856"/>
      <w:bookmarkStart w:id="7" w:name="_Toc313893526"/>
      <w:bookmarkStart w:id="8" w:name="_Toc106030871"/>
      <w:bookmarkStart w:id="9" w:name="_Toc22314"/>
      <w:bookmarkStart w:id="10" w:name="_Toc76462317"/>
      <w:bookmarkStart w:id="11" w:name="_Toc317775175"/>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53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2325"/>
        <w:gridCol w:w="3750"/>
        <w:gridCol w:w="990"/>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8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9755"/>
            <w:bookmarkStart w:id="14" w:name="_Toc106030872"/>
            <w:bookmarkStart w:id="15" w:name="_Toc30334"/>
            <w:bookmarkStart w:id="16" w:name="_Toc373860293"/>
            <w:bookmarkStart w:id="17" w:name="_Toc317775178"/>
            <w:r>
              <w:rPr>
                <w:rFonts w:hint="eastAsia" w:ascii="微软雅黑" w:hAnsi="微软雅黑" w:eastAsia="微软雅黑" w:cs="微软雅黑"/>
                <w:b/>
                <w:bCs/>
                <w:kern w:val="0"/>
                <w:sz w:val="21"/>
                <w:szCs w:val="24"/>
              </w:rPr>
              <w:t>项目编号</w:t>
            </w:r>
          </w:p>
        </w:tc>
        <w:tc>
          <w:tcPr>
            <w:tcW w:w="116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88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49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670"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8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YCG260213</w:t>
            </w:r>
          </w:p>
        </w:tc>
        <w:tc>
          <w:tcPr>
            <w:tcW w:w="11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委托招标代理机构遴选（工程）</w:t>
            </w:r>
          </w:p>
        </w:tc>
        <w:tc>
          <w:tcPr>
            <w:tcW w:w="188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招标项目中标公告后由项目中标人全额支付单次代理服务费用，所有项目具体代理费收取标准均参考渝招投协〔2015〕11号重庆市招标投标协会关于印发《重庆市招标代理服务规范（试行）》的通知规定按下列标准执行，投标人按收取标准的百分比报价（无最低收费限制），最高限价60%。</w:t>
            </w:r>
          </w:p>
        </w:tc>
        <w:tc>
          <w:tcPr>
            <w:tcW w:w="49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67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二、</w:t>
      </w:r>
      <w:bookmarkEnd w:id="12"/>
      <w:bookmarkEnd w:id="13"/>
      <w:bookmarkEnd w:id="14"/>
      <w:bookmarkStart w:id="18" w:name="_Toc4480"/>
      <w:bookmarkStart w:id="19" w:name="_Toc106030873"/>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5"/>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（二）本项目的特定资格要求：投标人须为重庆市公共资源交易平台登记代理机构（重庆市公共资源交易网截图证明）。</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27954"/>
      <w:bookmarkStart w:id="22" w:name="_Toc106030874"/>
      <w:bookmarkStart w:id="23" w:name="_Toc76462320"/>
      <w:bookmarkStart w:id="24" w:name="_Toc12821"/>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6"/>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12841"/>
      <w:bookmarkStart w:id="27" w:name="_Toc521053053"/>
      <w:bookmarkStart w:id="28" w:name="_Toc65660334"/>
      <w:bookmarkStart w:id="29" w:name="_Toc6178"/>
      <w:bookmarkStart w:id="30" w:name="_Toc525047161"/>
      <w:bookmarkStart w:id="31" w:name="_Toc29385"/>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w:t>
      </w:r>
      <w:r>
        <w:rPr>
          <w:rFonts w:hint="eastAsia" w:ascii="微软雅黑" w:hAnsi="微软雅黑" w:eastAsia="微软雅黑" w:cs="微软雅黑"/>
          <w:sz w:val="24"/>
          <w:szCs w:val="24"/>
          <w:lang w:val="en-US" w:eastAsia="zh-CN"/>
        </w:rPr>
        <w:t>公示发布</w:t>
      </w:r>
      <w:r>
        <w:rPr>
          <w:rFonts w:hint="eastAsia" w:ascii="微软雅黑" w:hAnsi="微软雅黑" w:eastAsia="微软雅黑" w:cs="微软雅黑"/>
          <w:sz w:val="24"/>
          <w:szCs w:val="24"/>
        </w:rPr>
        <w:t>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65660335"/>
      <w:bookmarkStart w:id="35" w:name="_Toc2945"/>
      <w:bookmarkStart w:id="36" w:name="_Toc525047162"/>
      <w:bookmarkStart w:id="37" w:name="_Toc521053054"/>
      <w:bookmarkStart w:id="38" w:name="_Toc106034626"/>
      <w:bookmarkStart w:id="39" w:name="_Toc1546"/>
      <w:bookmarkStart w:id="40" w:name="_Toc21937"/>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6269"/>
      <w:bookmarkStart w:id="42" w:name="_Toc6563"/>
      <w:bookmarkStart w:id="43" w:name="_Toc106034627"/>
      <w:bookmarkStart w:id="44" w:name="_Toc525047163"/>
      <w:bookmarkStart w:id="45" w:name="_Toc521053055"/>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32668"/>
      <w:bookmarkStart w:id="49" w:name="_Toc521053056"/>
      <w:bookmarkStart w:id="50" w:name="_Toc24901"/>
      <w:bookmarkStart w:id="51" w:name="_Toc65660337"/>
      <w:bookmarkStart w:id="52" w:name="_Toc10415"/>
      <w:bookmarkStart w:id="53" w:name="_Toc1733"/>
      <w:bookmarkStart w:id="54"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7"/>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2959"/>
      <w:bookmarkStart w:id="56" w:name="_Toc8649"/>
      <w:bookmarkStart w:id="57" w:name="_Toc19886"/>
      <w:bookmarkStart w:id="58" w:name="_Toc32686"/>
      <w:bookmarkStart w:id="59" w:name="_Toc25639"/>
      <w:bookmarkStart w:id="60" w:name="_Toc2422"/>
      <w:bookmarkStart w:id="61" w:name="_Toc23143"/>
      <w:bookmarkStart w:id="62" w:name="_Toc5461"/>
      <w:bookmarkStart w:id="63" w:name="_Toc1492"/>
      <w:bookmarkStart w:id="64" w:name="_Toc26176"/>
      <w:bookmarkStart w:id="65" w:name="_Toc1625"/>
      <w:bookmarkStart w:id="66" w:name="_Toc75793504"/>
      <w:bookmarkStart w:id="67" w:name="_Toc725"/>
      <w:bookmarkStart w:id="68" w:name="_Toc11017"/>
      <w:bookmarkStart w:id="69" w:name="_Toc2070"/>
      <w:bookmarkStart w:id="70" w:name="_Toc1255"/>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76462325"/>
      <w:bookmarkStart w:id="74" w:name="_Toc3117"/>
      <w:bookmarkStart w:id="75" w:name="_Toc32516"/>
      <w:bookmarkStart w:id="76" w:name="_Toc1866"/>
      <w:bookmarkStart w:id="77" w:name="_Toc15127"/>
      <w:bookmarkStart w:id="78" w:name="_Toc106030879"/>
      <w:bookmarkStart w:id="79" w:name="_Toc3196"/>
      <w:bookmarkStart w:id="80" w:name="_Toc18470"/>
      <w:bookmarkStart w:id="81" w:name="_Toc7791"/>
      <w:bookmarkStart w:id="82" w:name="_Toc106030882"/>
      <w:bookmarkStart w:id="83" w:name="_Toc76462327"/>
      <w:r>
        <w:rPr>
          <w:rFonts w:hint="eastAsia" w:ascii="微软雅黑" w:hAnsi="微软雅黑" w:eastAsia="微软雅黑" w:cs="微软雅黑"/>
          <w:sz w:val="24"/>
        </w:rPr>
        <w:t>一、项目基本概况介绍</w:t>
      </w:r>
      <w:bookmarkEnd w:id="73"/>
      <w:bookmarkEnd w:id="74"/>
      <w:bookmarkEnd w:id="75"/>
      <w:bookmarkEnd w:id="76"/>
      <w:bookmarkEnd w:id="77"/>
      <w:bookmarkEnd w:id="78"/>
      <w:bookmarkEnd w:id="79"/>
      <w:bookmarkEnd w:id="80"/>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3"/>
        <w:gridCol w:w="3369"/>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31"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749"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b w:val="0"/>
                <w:bCs/>
                <w:sz w:val="21"/>
                <w:szCs w:val="21"/>
                <w:lang w:val="en-US" w:eastAsia="zh-CN"/>
              </w:rPr>
              <w:t>委托招标代理机构遴选（工程）</w:t>
            </w:r>
          </w:p>
        </w:tc>
        <w:tc>
          <w:tcPr>
            <w:tcW w:w="1749"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合同签订生效之日起三年</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（一）服务内容 </w:t>
      </w:r>
    </w:p>
    <w:p>
      <w:pPr>
        <w:snapToGrid w:val="0"/>
        <w:spacing w:line="400" w:lineRule="exact"/>
        <w:ind w:firstLine="540"/>
        <w:rPr>
          <w:rFonts w:hint="eastAsia" w:ascii="微软雅黑" w:hAnsi="微软雅黑" w:eastAsia="微软雅黑" w:cs="微软雅黑"/>
          <w:sz w:val="24"/>
          <w:szCs w:val="24"/>
        </w:rPr>
      </w:pPr>
      <w:r>
        <w:rPr>
          <w:rFonts w:hint="eastAsia" w:ascii="微软雅黑" w:hAnsi="微软雅黑" w:eastAsia="微软雅黑" w:cs="微软雅黑"/>
          <w:sz w:val="24"/>
          <w:szCs w:val="24"/>
        </w:rPr>
        <w:t>严格按照《中华人民共和</w:t>
      </w:r>
      <w:r>
        <w:rPr>
          <w:rFonts w:hint="eastAsia" w:ascii="微软雅黑" w:hAnsi="微软雅黑" w:eastAsia="微软雅黑" w:cs="微软雅黑"/>
          <w:sz w:val="24"/>
          <w:szCs w:val="24"/>
          <w:lang w:val="en-US" w:eastAsia="zh-CN"/>
        </w:rPr>
        <w:t>国招标投标法》及相关法律法规执业，负责招标人委托的国家规定必须招标的工程建设项目招标代理工作。</w:t>
      </w:r>
      <w:r>
        <w:rPr>
          <w:rFonts w:hint="eastAsia" w:ascii="微软雅黑" w:hAnsi="微软雅黑" w:eastAsia="微软雅黑" w:cs="微软雅黑"/>
          <w:sz w:val="24"/>
          <w:szCs w:val="24"/>
        </w:rPr>
        <w:t>主要内容有</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咨询、政策收集解读、协助</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人审查文件合法性、发布</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公告及结果公告、组织开评标、协助</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人进行质疑答复及</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档案整理。具体如下：</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1.严格执行国家的法律法规，自觉接受</w:t>
      </w:r>
      <w:r>
        <w:rPr>
          <w:rFonts w:hint="eastAsia" w:ascii="微软雅黑" w:hAnsi="微软雅黑" w:eastAsia="微软雅黑" w:cs="微软雅黑"/>
          <w:sz w:val="24"/>
          <w:szCs w:val="24"/>
          <w:lang w:val="en-US" w:eastAsia="zh-CN"/>
        </w:rPr>
        <w:t>招投标</w:t>
      </w:r>
      <w:r>
        <w:rPr>
          <w:rFonts w:hint="eastAsia" w:ascii="微软雅黑" w:hAnsi="微软雅黑" w:eastAsia="微软雅黑" w:cs="微软雅黑"/>
          <w:sz w:val="24"/>
          <w:szCs w:val="24"/>
        </w:rPr>
        <w:t>监督管理部门的管理，维护</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lang w:eastAsia="zh-CN"/>
        </w:rPr>
        <w:t>人</w:t>
      </w:r>
      <w:r>
        <w:rPr>
          <w:rFonts w:hint="eastAsia" w:ascii="微软雅黑" w:hAnsi="微软雅黑" w:eastAsia="微软雅黑" w:cs="微软雅黑"/>
          <w:sz w:val="24"/>
          <w:szCs w:val="24"/>
        </w:rPr>
        <w:t>的合法权益，运用自身的专业技能为</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lang w:eastAsia="zh-CN"/>
        </w:rPr>
        <w:t>人</w:t>
      </w:r>
      <w:r>
        <w:rPr>
          <w:rFonts w:hint="eastAsia" w:ascii="微软雅黑" w:hAnsi="微软雅黑" w:eastAsia="微软雅黑" w:cs="微软雅黑"/>
          <w:sz w:val="24"/>
          <w:szCs w:val="24"/>
        </w:rPr>
        <w:t>做好</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rPr>
        <w:t>代理工作</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.提供招标前期咨询，拟定招标方案</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并对</w:t>
      </w:r>
      <w:r>
        <w:rPr>
          <w:rFonts w:hint="eastAsia" w:ascii="微软雅黑" w:hAnsi="微软雅黑" w:eastAsia="微软雅黑" w:cs="微软雅黑"/>
          <w:sz w:val="24"/>
          <w:szCs w:val="24"/>
        </w:rPr>
        <w:t>建设工程招标报建</w:t>
      </w:r>
      <w:r>
        <w:rPr>
          <w:rFonts w:hint="eastAsia" w:ascii="微软雅黑" w:hAnsi="微软雅黑" w:eastAsia="微软雅黑" w:cs="微软雅黑"/>
          <w:sz w:val="24"/>
          <w:szCs w:val="24"/>
          <w:lang w:val="en-US" w:eastAsia="zh-CN"/>
        </w:rPr>
        <w:t>及</w:t>
      </w:r>
      <w:r>
        <w:rPr>
          <w:rFonts w:hint="eastAsia" w:ascii="微软雅黑" w:hAnsi="微软雅黑" w:eastAsia="微软雅黑" w:cs="微软雅黑"/>
          <w:sz w:val="24"/>
          <w:szCs w:val="24"/>
        </w:rPr>
        <w:t>办理交易入场登记。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编制和发布资格预审文件（如需要）</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编制资格预审报告（如需要）</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发布招标公告或资格预审公告或发出投标邀请书</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负责根据</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要求编制</w:t>
      </w:r>
      <w:r>
        <w:rPr>
          <w:rFonts w:hint="eastAsia" w:ascii="微软雅黑" w:hAnsi="微软雅黑" w:eastAsia="微软雅黑" w:cs="微软雅黑"/>
          <w:sz w:val="24"/>
          <w:szCs w:val="24"/>
          <w:lang w:val="en-US" w:eastAsia="zh-CN"/>
        </w:rPr>
        <w:t>招标计划、</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公告、</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lang w:val="en-US" w:eastAsia="zh-CN"/>
        </w:rPr>
        <w:t>最高限价、</w:t>
      </w:r>
      <w:r>
        <w:rPr>
          <w:rFonts w:hint="eastAsia" w:ascii="微软雅黑" w:hAnsi="微软雅黑" w:eastAsia="微软雅黑" w:cs="微软雅黑"/>
          <w:sz w:val="24"/>
          <w:szCs w:val="24"/>
        </w:rPr>
        <w:t>评标方法及标准，经</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确认后报有关监管部门</w:t>
      </w:r>
      <w:r>
        <w:rPr>
          <w:rFonts w:hint="eastAsia" w:ascii="微软雅黑" w:hAnsi="微软雅黑" w:eastAsia="微软雅黑" w:cs="微软雅黑"/>
          <w:sz w:val="24"/>
          <w:szCs w:val="24"/>
          <w:lang w:eastAsia="zh-CN"/>
        </w:rPr>
        <w:t>审核（如有）</w:t>
      </w:r>
      <w:r>
        <w:rPr>
          <w:rFonts w:hint="eastAsia" w:ascii="微软雅黑" w:hAnsi="微软雅黑" w:eastAsia="微软雅黑" w:cs="微软雅黑"/>
          <w:sz w:val="24"/>
          <w:szCs w:val="24"/>
        </w:rPr>
        <w:t>，经批准后实施。</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组织现场踏勘</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如需要）。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.对</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文件有澄清或者修改的，负责整理形成的澄清、修改或补遗文件，并通知所有潜在的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在招标项目中根据</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授权，依法协助</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对投标人的资格进行审查。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按照有关规定接受投标文件，组织和主持开标会议，做好开标原始记录。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10</w:t>
      </w:r>
      <w:r>
        <w:rPr>
          <w:rFonts w:hint="eastAsia" w:ascii="微软雅黑" w:hAnsi="微软雅黑" w:eastAsia="微软雅黑" w:cs="微软雅黑"/>
          <w:sz w:val="24"/>
          <w:szCs w:val="24"/>
        </w:rPr>
        <w:t>.负责做好</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过程中记录，整理</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过程中形成的资料；协助</w:t>
      </w:r>
      <w:r>
        <w:rPr>
          <w:rFonts w:hint="eastAsia" w:ascii="微软雅黑" w:hAnsi="微软雅黑" w:eastAsia="微软雅黑" w:cs="微软雅黑"/>
          <w:sz w:val="24"/>
          <w:szCs w:val="24"/>
          <w:lang w:val="en-US" w:eastAsia="zh-CN"/>
        </w:rPr>
        <w:t>评标小组</w:t>
      </w:r>
      <w:r>
        <w:rPr>
          <w:rFonts w:hint="eastAsia" w:ascii="微软雅黑" w:hAnsi="微软雅黑" w:eastAsia="微软雅黑" w:cs="微软雅黑"/>
          <w:sz w:val="24"/>
          <w:szCs w:val="24"/>
        </w:rPr>
        <w:t>编写评标（评审）报告或情况报告，并交由</w:t>
      </w:r>
      <w:r>
        <w:rPr>
          <w:rFonts w:hint="eastAsia" w:ascii="微软雅黑" w:hAnsi="微软雅黑" w:eastAsia="微软雅黑" w:cs="微软雅黑"/>
          <w:sz w:val="24"/>
          <w:szCs w:val="24"/>
          <w:lang w:val="en-US" w:eastAsia="zh-CN"/>
        </w:rPr>
        <w:t>评标小组</w:t>
      </w:r>
      <w:r>
        <w:rPr>
          <w:rFonts w:hint="eastAsia" w:ascii="微软雅黑" w:hAnsi="微软雅黑" w:eastAsia="微软雅黑" w:cs="微软雅黑"/>
          <w:sz w:val="24"/>
          <w:szCs w:val="24"/>
        </w:rPr>
        <w:t>审定；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11</w:t>
      </w:r>
      <w:r>
        <w:rPr>
          <w:rFonts w:hint="eastAsia" w:ascii="微软雅黑" w:hAnsi="微软雅黑" w:eastAsia="微软雅黑" w:cs="微软雅黑"/>
          <w:sz w:val="24"/>
          <w:szCs w:val="24"/>
        </w:rPr>
        <w:t>.协助</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整理质疑答复资料，配合</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共同对</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程序、中标或成交结果的质疑进行答复，做好质疑答复工作。</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.负责发布招标项目中标结果公告并向中标</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发出中标通知。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13</w:t>
      </w:r>
      <w:r>
        <w:rPr>
          <w:rFonts w:hint="eastAsia" w:ascii="微软雅黑" w:hAnsi="微软雅黑" w:eastAsia="微软雅黑" w:cs="微软雅黑"/>
          <w:sz w:val="24"/>
          <w:szCs w:val="24"/>
        </w:rPr>
        <w:t>负责整理、保管委托招标</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项目档案，项目完成后须移交一份全套资料到</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，移交资料必须在项目合同签订后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个日历日内完成。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14</w:t>
      </w:r>
      <w:r>
        <w:rPr>
          <w:rFonts w:hint="eastAsia" w:ascii="微软雅黑" w:hAnsi="微软雅黑" w:eastAsia="微软雅黑" w:cs="微软雅黑"/>
          <w:sz w:val="24"/>
          <w:szCs w:val="24"/>
        </w:rPr>
        <w:t>.如</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要求，组织与中标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签订</w:t>
      </w:r>
      <w:r>
        <w:rPr>
          <w:rFonts w:hint="eastAsia" w:ascii="微软雅黑" w:hAnsi="微软雅黑" w:eastAsia="微软雅黑" w:cs="微软雅黑"/>
          <w:sz w:val="24"/>
          <w:szCs w:val="24"/>
          <w:lang w:val="en-US" w:eastAsia="zh-CN"/>
        </w:rPr>
        <w:t>建设工程施工</w:t>
      </w:r>
      <w:r>
        <w:rPr>
          <w:rFonts w:hint="eastAsia" w:ascii="微软雅黑" w:hAnsi="微软雅黑" w:eastAsia="微软雅黑" w:cs="微软雅黑"/>
          <w:sz w:val="24"/>
          <w:szCs w:val="24"/>
        </w:rPr>
        <w:t>合同。</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15</w:t>
      </w:r>
      <w:r>
        <w:rPr>
          <w:rFonts w:hint="eastAsia" w:ascii="微软雅黑" w:hAnsi="微软雅黑" w:eastAsia="微软雅黑" w:cs="微软雅黑"/>
          <w:sz w:val="24"/>
          <w:szCs w:val="24"/>
        </w:rPr>
        <w:t>如</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要求，协助对</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rPr>
        <w:t>项目进行验收。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16</w:t>
      </w:r>
      <w:r>
        <w:rPr>
          <w:rFonts w:hint="eastAsia" w:ascii="微软雅黑" w:hAnsi="微软雅黑" w:eastAsia="微软雅黑" w:cs="微软雅黑"/>
          <w:sz w:val="24"/>
          <w:szCs w:val="24"/>
        </w:rPr>
        <w:t>.非</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原因，项目流标或废标需重新招标所产生的</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代理服务费由代理机构自行承担。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17</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人提供</w:t>
      </w:r>
      <w:r>
        <w:rPr>
          <w:rFonts w:hint="eastAsia" w:ascii="微软雅黑" w:hAnsi="微软雅黑" w:eastAsia="微软雅黑" w:cs="微软雅黑"/>
          <w:sz w:val="24"/>
          <w:szCs w:val="24"/>
          <w:lang w:val="en-US" w:eastAsia="zh-CN"/>
        </w:rPr>
        <w:t>建设工程类项目</w:t>
      </w:r>
      <w:r>
        <w:rPr>
          <w:rFonts w:hint="eastAsia" w:ascii="微软雅黑" w:hAnsi="微软雅黑" w:eastAsia="微软雅黑" w:cs="微软雅黑"/>
          <w:sz w:val="24"/>
          <w:szCs w:val="24"/>
        </w:rPr>
        <w:t>等</w:t>
      </w:r>
      <w:r>
        <w:rPr>
          <w:rFonts w:hint="eastAsia" w:ascii="微软雅黑" w:hAnsi="微软雅黑" w:eastAsia="微软雅黑" w:cs="微软雅黑"/>
          <w:sz w:val="24"/>
          <w:szCs w:val="24"/>
          <w:lang w:val="en-US" w:eastAsia="zh-CN"/>
        </w:rPr>
        <w:t>招投标</w:t>
      </w:r>
      <w:r>
        <w:rPr>
          <w:rFonts w:hint="eastAsia" w:ascii="微软雅黑" w:hAnsi="微软雅黑" w:eastAsia="微软雅黑" w:cs="微软雅黑"/>
          <w:sz w:val="24"/>
          <w:szCs w:val="24"/>
        </w:rPr>
        <w:t>业务咨询。</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（二）服务要求</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1.代理服务中的整个</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过程须符合国家政府</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相关法律法规的要求，符合代理项目的</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流程，不得有营私舞弊的行为</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代理机构不得泄露评审文件、评审情况和评审中获悉的国家秘密、商业秘密</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代理机构向</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人移交的所有</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过程的资料，均须通过书面形式移交；</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人提出的意见建议，</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代理机构应予以审核，如与</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法规不符，</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代理机构应当提出相应意见，确保代理项目合法、合规</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代理机构须配合</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人接受财政、审计、纪检监察等部门的监督检查，如实报告有关情况，及时提供有关资料</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资料保存期限为</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结束之日起至少15年。</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项目团队要求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项目负责人</w:t>
      </w:r>
      <w:r>
        <w:rPr>
          <w:rFonts w:hint="eastAsia" w:ascii="微软雅黑" w:hAnsi="微软雅黑" w:eastAsia="微软雅黑" w:cs="微软雅黑"/>
          <w:sz w:val="24"/>
          <w:szCs w:val="24"/>
          <w:lang w:val="en-US" w:eastAsia="zh-CN"/>
        </w:rPr>
        <w:t>需同时满足以下①②要求：</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①</w:t>
      </w:r>
      <w:r>
        <w:rPr>
          <w:rFonts w:hint="eastAsia" w:ascii="微软雅黑" w:hAnsi="微软雅黑" w:eastAsia="微软雅黑" w:cs="微软雅黑"/>
          <w:sz w:val="24"/>
          <w:szCs w:val="24"/>
        </w:rPr>
        <w:t>须为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本单位</w:t>
      </w:r>
      <w:r>
        <w:rPr>
          <w:rFonts w:hint="eastAsia" w:ascii="微软雅黑" w:hAnsi="微软雅黑" w:eastAsia="微软雅黑" w:cs="微软雅黑"/>
          <w:sz w:val="24"/>
          <w:szCs w:val="24"/>
        </w:rPr>
        <w:t>职工，具有</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年及以上</w:t>
      </w:r>
      <w:r>
        <w:rPr>
          <w:rFonts w:hint="eastAsia" w:ascii="微软雅黑" w:hAnsi="微软雅黑" w:eastAsia="微软雅黑" w:cs="微软雅黑"/>
          <w:sz w:val="24"/>
          <w:szCs w:val="24"/>
          <w:lang w:val="en-US" w:eastAsia="zh-CN"/>
        </w:rPr>
        <w:t>招标代理行业</w:t>
      </w:r>
      <w:r>
        <w:rPr>
          <w:rFonts w:hint="eastAsia" w:ascii="微软雅黑" w:hAnsi="微软雅黑" w:eastAsia="微软雅黑" w:cs="微软雅黑"/>
          <w:sz w:val="24"/>
          <w:szCs w:val="24"/>
        </w:rPr>
        <w:t>从业经验</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②</w:t>
      </w:r>
      <w:r>
        <w:rPr>
          <w:rFonts w:hint="eastAsia" w:ascii="微软雅黑" w:hAnsi="微软雅黑" w:eastAsia="微软雅黑" w:cs="微软雅黑"/>
          <w:sz w:val="24"/>
          <w:szCs w:val="24"/>
        </w:rPr>
        <w:t>具备中级及以上技术职称</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提供含2026年3月在内至少连续半年的社保缴费证明。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提供</w:t>
      </w:r>
      <w:r>
        <w:rPr>
          <w:rFonts w:hint="eastAsia" w:ascii="微软雅黑" w:hAnsi="微软雅黑" w:eastAsia="微软雅黑" w:cs="微软雅黑"/>
          <w:sz w:val="24"/>
          <w:szCs w:val="24"/>
          <w:lang w:val="en-US" w:eastAsia="zh-CN"/>
        </w:rPr>
        <w:t>劳动合同（合同须能体现五</w:t>
      </w:r>
      <w:r>
        <w:rPr>
          <w:rFonts w:hint="eastAsia" w:ascii="微软雅黑" w:hAnsi="微软雅黑" w:eastAsia="微软雅黑" w:cs="微软雅黑"/>
          <w:sz w:val="24"/>
          <w:szCs w:val="24"/>
        </w:rPr>
        <w:t>年及以上</w:t>
      </w:r>
      <w:r>
        <w:rPr>
          <w:rFonts w:hint="eastAsia" w:ascii="微软雅黑" w:hAnsi="微软雅黑" w:eastAsia="微软雅黑" w:cs="微软雅黑"/>
          <w:sz w:val="24"/>
          <w:szCs w:val="24"/>
          <w:lang w:val="en-US" w:eastAsia="zh-CN"/>
        </w:rPr>
        <w:t>招标代理行业</w:t>
      </w:r>
      <w:r>
        <w:rPr>
          <w:rFonts w:hint="eastAsia" w:ascii="微软雅黑" w:hAnsi="微软雅黑" w:eastAsia="微软雅黑" w:cs="微软雅黑"/>
          <w:sz w:val="24"/>
          <w:szCs w:val="24"/>
        </w:rPr>
        <w:t>从业经验</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职称证</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资格证</w:t>
      </w:r>
      <w:r>
        <w:rPr>
          <w:rFonts w:hint="eastAsia" w:ascii="微软雅黑" w:hAnsi="微软雅黑" w:eastAsia="微软雅黑" w:cs="微软雅黑"/>
          <w:sz w:val="24"/>
          <w:szCs w:val="24"/>
        </w:rPr>
        <w:t>复印件</w:t>
      </w:r>
      <w:r>
        <w:rPr>
          <w:rFonts w:hint="eastAsia" w:ascii="微软雅黑" w:hAnsi="微软雅黑" w:eastAsia="微软雅黑" w:cs="微软雅黑"/>
          <w:sz w:val="24"/>
          <w:szCs w:val="24"/>
          <w:lang w:val="en-US" w:eastAsia="zh-CN"/>
        </w:rPr>
        <w:t>并</w:t>
      </w:r>
      <w:r>
        <w:rPr>
          <w:rFonts w:hint="eastAsia" w:ascii="微软雅黑" w:hAnsi="微软雅黑" w:eastAsia="微软雅黑" w:cs="微软雅黑"/>
          <w:sz w:val="24"/>
          <w:szCs w:val="24"/>
          <w:lang w:eastAsia="zh-CN"/>
        </w:rPr>
        <w:t>加盖公章</w:t>
      </w:r>
      <w:r>
        <w:rPr>
          <w:rFonts w:hint="eastAsia" w:ascii="微软雅黑" w:hAnsi="微软雅黑" w:eastAsia="微软雅黑" w:cs="微软雅黑"/>
          <w:sz w:val="24"/>
          <w:szCs w:val="24"/>
        </w:rPr>
        <w:t>，原件备查。</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服务期限内若确实需要更换拟派负责人的，须征得</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人的同意，且更换人员的技术职称和工作经验必须等于或高于拟派人员</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项目组成员</w:t>
      </w:r>
      <w:r>
        <w:rPr>
          <w:rFonts w:hint="eastAsia" w:ascii="微软雅黑" w:hAnsi="微软雅黑" w:eastAsia="微软雅黑" w:cs="微软雅黑"/>
          <w:sz w:val="24"/>
          <w:szCs w:val="24"/>
          <w:lang w:val="en-US" w:eastAsia="zh-CN"/>
        </w:rPr>
        <w:t>要求</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Hans"/>
        </w:rPr>
        <w:t>招标专职人员</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eastAsia="zh-Hans"/>
        </w:rPr>
        <w:t>不少于2人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须为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本单位职工</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须提供含2026年3月在内至少连续三个月的社保缴费证明）</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u w:val="none"/>
          <w:lang w:val="en-US" w:eastAsia="zh-CN"/>
        </w:rPr>
        <w:t>且满足至少2名</w:t>
      </w:r>
      <w:r>
        <w:rPr>
          <w:rFonts w:hint="eastAsia" w:ascii="微软雅黑" w:hAnsi="微软雅黑" w:eastAsia="微软雅黑" w:cs="微软雅黑"/>
          <w:sz w:val="24"/>
          <w:szCs w:val="24"/>
          <w:u w:val="none"/>
          <w:lang w:eastAsia="zh-Hans"/>
        </w:rPr>
        <w:t>招标专职人员</w:t>
      </w:r>
      <w:r>
        <w:rPr>
          <w:rFonts w:hint="eastAsia" w:ascii="微软雅黑" w:hAnsi="微软雅黑" w:eastAsia="微软雅黑" w:cs="微软雅黑"/>
          <w:sz w:val="24"/>
          <w:szCs w:val="24"/>
          <w:u w:val="none"/>
          <w:lang w:val="en-US" w:eastAsia="zh-CN"/>
        </w:rPr>
        <w:t>具有</w:t>
      </w:r>
      <w:r>
        <w:rPr>
          <w:rFonts w:hint="eastAsia" w:ascii="微软雅黑" w:hAnsi="微软雅黑" w:eastAsia="微软雅黑" w:cs="微软雅黑"/>
          <w:sz w:val="24"/>
          <w:szCs w:val="24"/>
          <w:u w:val="none"/>
        </w:rPr>
        <w:t>重庆市招投标协会颁发的招投标从业人员培训证书</w:t>
      </w:r>
      <w:r>
        <w:rPr>
          <w:rFonts w:hint="eastAsia" w:ascii="微软雅黑" w:hAnsi="微软雅黑" w:eastAsia="微软雅黑" w:cs="微软雅黑"/>
          <w:sz w:val="24"/>
          <w:szCs w:val="24"/>
          <w:u w:val="none"/>
          <w:lang w:eastAsia="zh-Hans"/>
        </w:rPr>
        <w:t>；</w:t>
      </w:r>
      <w:r>
        <w:rPr>
          <w:rFonts w:hint="eastAsia" w:ascii="微软雅黑" w:hAnsi="微软雅黑" w:eastAsia="微软雅黑" w:cs="微软雅黑"/>
          <w:sz w:val="24"/>
          <w:szCs w:val="24"/>
          <w:u w:val="none"/>
          <w:lang w:val="en-US" w:eastAsia="zh-CN"/>
        </w:rPr>
        <w:t>提供证书复印件，</w:t>
      </w:r>
      <w:r>
        <w:rPr>
          <w:rFonts w:hint="eastAsia" w:ascii="微软雅黑" w:hAnsi="微软雅黑" w:eastAsia="微软雅黑" w:cs="微软雅黑"/>
          <w:sz w:val="24"/>
          <w:szCs w:val="24"/>
          <w:u w:val="none"/>
        </w:rPr>
        <w:t>原件备查。</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7.其他要求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合同有效</w:t>
      </w:r>
      <w:r>
        <w:rPr>
          <w:rFonts w:hint="eastAsia" w:ascii="微软雅黑" w:hAnsi="微软雅黑" w:eastAsia="微软雅黑" w:cs="微软雅黑"/>
          <w:sz w:val="24"/>
          <w:szCs w:val="24"/>
        </w:rPr>
        <w:t>期</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委托代理机构</w:t>
      </w:r>
      <w:r>
        <w:rPr>
          <w:rFonts w:hint="eastAsia" w:ascii="微软雅黑" w:hAnsi="微软雅黑" w:eastAsia="微软雅黑" w:cs="微软雅黑"/>
          <w:sz w:val="24"/>
          <w:szCs w:val="24"/>
        </w:rPr>
        <w:t>应完全配合</w:t>
      </w:r>
      <w:r>
        <w:rPr>
          <w:rFonts w:hint="eastAsia" w:ascii="微软雅黑" w:hAnsi="微软雅黑" w:eastAsia="微软雅黑" w:cs="微软雅黑"/>
          <w:sz w:val="24"/>
          <w:szCs w:val="24"/>
          <w:lang w:val="en-US" w:eastAsia="zh-CN"/>
        </w:rPr>
        <w:t>招标人</w:t>
      </w:r>
      <w:r>
        <w:rPr>
          <w:rFonts w:hint="eastAsia" w:ascii="微软雅黑" w:hAnsi="微软雅黑" w:eastAsia="微软雅黑" w:cs="微软雅黑"/>
          <w:sz w:val="24"/>
          <w:szCs w:val="24"/>
        </w:rPr>
        <w:t>使用</w:t>
      </w:r>
      <w:r>
        <w:rPr>
          <w:rFonts w:hint="eastAsia" w:ascii="微软雅黑" w:hAnsi="微软雅黑" w:eastAsia="微软雅黑" w:cs="微软雅黑"/>
          <w:sz w:val="24"/>
          <w:szCs w:val="24"/>
          <w:lang w:val="en-US" w:eastAsia="zh-CN"/>
        </w:rPr>
        <w:t>医院电子招投标平台</w:t>
      </w:r>
      <w:r>
        <w:rPr>
          <w:rFonts w:hint="eastAsia" w:ascii="微软雅黑" w:hAnsi="微软雅黑" w:eastAsia="微软雅黑" w:cs="微软雅黑"/>
          <w:sz w:val="24"/>
          <w:szCs w:val="24"/>
        </w:rPr>
        <w:t>做好招标全流程管理工作。</w:t>
      </w:r>
    </w:p>
    <w:p>
      <w:pPr>
        <w:rPr>
          <w:rFonts w:hint="eastAsia" w:ascii="微软雅黑" w:hAnsi="微软雅黑" w:eastAsia="微软雅黑" w:cs="微软雅黑"/>
          <w:b/>
          <w:sz w:val="44"/>
          <w:szCs w:val="20"/>
        </w:rPr>
      </w:pPr>
      <w:bookmarkStart w:id="84" w:name="_Toc6337"/>
      <w:r>
        <w:rPr>
          <w:rFonts w:hint="eastAsia" w:ascii="微软雅黑" w:hAnsi="微软雅黑" w:eastAsia="微软雅黑" w:cs="微软雅黑"/>
          <w:b/>
          <w:sz w:val="44"/>
          <w:szCs w:val="20"/>
        </w:rPr>
        <w:br w:type="page"/>
      </w:r>
    </w:p>
    <w:p>
      <w:pPr>
        <w:pStyle w:val="4"/>
        <w:spacing w:before="200" w:after="200" w:line="240" w:lineRule="auto"/>
        <w:ind w:firstLine="1761" w:firstLineChars="400"/>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81"/>
      <w:bookmarkEnd w:id="82"/>
      <w:bookmarkEnd w:id="83"/>
      <w:bookmarkEnd w:id="8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5" w:name="_Toc76462332"/>
            <w:bookmarkStart w:id="86" w:name="_Toc106030887"/>
            <w:bookmarkStart w:id="87" w:name="_Toc6692"/>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服务期限：合同签订生效之日起三年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考核方式：采购人对每个代理项目按《代理机构评价表》进行一次考核，每有一个项目考核分数低于 85 分或年度考核汇总低于90分，采购人有权终止协议。</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《代理机构服务评价表》、《代理机构年度考核评价表》附后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1.本项目为二次报价，本项目投标人可在开标现场进行最终报价。</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投标人按渝招投协〔2015〕11号重庆市招标投标协会关于印发《重庆市招标代理服务规范（试行）》的通知中规定标准的百分比报价（无最低收费限制），代理服务费包含了采购人委托的招标、采购项目依法依规在相关指定媒体（含报 纸）发布招标（采购）公告的刊登费用、评审场地使用费、交易服务费、评标（评审）费（包括但不限于专家评审费、因招标失败需邀请专家对招标文件评审是否具有不合理条款的论证意见所需费用、专家质疑评审费用、评标（评审）期间评标委员会成员的误餐费、交通费等需要抽取或邀请专家参与的费用）、资料费等其他在招标、采购过程中发生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委托招标项目中标公告后由委托招标项目中标人全额支付单次代理服务费用，所有项目具体代理费收取标准均按渝招投协〔2015〕11号重庆市招标投标协会关于印发《重庆市招标代理服务规范（试行）》的通知规定标准中标折扣率执行</w:t>
            </w:r>
            <w:r>
              <w:rPr>
                <w:rFonts w:hint="eastAsia" w:ascii="微软雅黑" w:hAnsi="微软雅黑" w:eastAsia="微软雅黑" w:cs="微软雅黑"/>
                <w:i w:val="0"/>
                <w:iCs w:val="0"/>
                <w:caps w:val="0"/>
                <w:spacing w:val="0"/>
                <w:sz w:val="24"/>
                <w:szCs w:val="24"/>
                <w:shd w:val="clear"/>
              </w:rPr>
              <w:t>（无最低收费限制）</w:t>
            </w:r>
            <w:r>
              <w:rPr>
                <w:rFonts w:hint="eastAsia" w:ascii="微软雅黑" w:hAnsi="微软雅黑" w:eastAsia="微软雅黑" w:cs="微软雅黑"/>
                <w:sz w:val="24"/>
                <w:szCs w:val="24"/>
                <w:lang w:val="en-US" w:eastAsia="zh-CN"/>
              </w:rPr>
              <w:t>。</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2.本项目中标人在合同期内执行代理行为时，不得再向委托招标项目投标人收取售卖标书以外的其他任何费用。</w:t>
            </w:r>
          </w:p>
          <w:p>
            <w:pPr>
              <w:pStyle w:val="144"/>
              <w:keepNext w:val="0"/>
              <w:keepLines w:val="0"/>
              <w:widowControl/>
              <w:suppressLineNumbers w:val="0"/>
              <w:adjustRightInd w:val="0"/>
              <w:snapToGrid w:val="0"/>
              <w:spacing w:before="0" w:beforeAutospacing="0" w:after="0" w:afterAutospacing="0" w:line="400" w:lineRule="exact"/>
              <w:ind w:left="0" w:right="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3.每个项目收取代理服务费前，应将收费金额报委托人确认后，向中标人收取。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培训</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本项目投标人每年须安排不少于2次招采相关法律法规、日常业务、档案管理、案例分析等培训（培训方式为采购人指定地点现场培训，培训老师和内容必须采购人提前同意）。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必须在响应文件中对以上条款和服务承诺明确列出，承诺内容必须达到本篇及</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kern w:val="2"/>
                <w:sz w:val="24"/>
                <w:szCs w:val="24"/>
                <w:lang w:val="en-US" w:eastAsia="zh-CN" w:bidi="ar-SA"/>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p>
      <w:pPr>
        <w:pStyle w:val="23"/>
        <w:rPr>
          <w:rFonts w:hint="eastAsia" w:ascii="微软雅黑" w:hAnsi="微软雅黑" w:eastAsia="微软雅黑" w:cs="微软雅黑"/>
          <w:b w:val="0"/>
          <w:bCs/>
          <w:sz w:val="44"/>
          <w:szCs w:val="20"/>
          <w:lang w:val="en-US" w:eastAsia="zh-CN"/>
        </w:rPr>
      </w:pPr>
      <w:r>
        <w:rPr>
          <w:rFonts w:hint="eastAsia" w:ascii="微软雅黑" w:hAnsi="微软雅黑" w:eastAsia="微软雅黑" w:cs="微软雅黑"/>
          <w:b w:val="0"/>
          <w:bCs/>
          <w:sz w:val="24"/>
          <w:szCs w:val="24"/>
          <w:lang w:val="en-US" w:eastAsia="zh-CN"/>
        </w:rPr>
        <w:t>附表</w:t>
      </w:r>
    </w:p>
    <w:tbl>
      <w:tblPr>
        <w:tblStyle w:val="57"/>
        <w:tblW w:w="8540" w:type="dxa"/>
        <w:tblInd w:w="108" w:type="dxa"/>
        <w:tblLayout w:type="autofit"/>
        <w:tblCellMar>
          <w:top w:w="0" w:type="dxa"/>
          <w:left w:w="108" w:type="dxa"/>
          <w:bottom w:w="0" w:type="dxa"/>
          <w:right w:w="108" w:type="dxa"/>
        </w:tblCellMar>
      </w:tblPr>
      <w:tblGrid>
        <w:gridCol w:w="1699"/>
        <w:gridCol w:w="5311"/>
        <w:gridCol w:w="765"/>
        <w:gridCol w:w="765"/>
      </w:tblGrid>
      <w:tr>
        <w:tblPrEx>
          <w:tblCellMar>
            <w:top w:w="0" w:type="dxa"/>
            <w:left w:w="108" w:type="dxa"/>
            <w:bottom w:w="0" w:type="dxa"/>
            <w:right w:w="108" w:type="dxa"/>
          </w:tblCellMar>
        </w:tblPrEx>
        <w:trPr>
          <w:trHeight w:val="450" w:hRule="atLeast"/>
        </w:trPr>
        <w:tc>
          <w:tcPr>
            <w:tcW w:w="8540" w:type="dxa"/>
            <w:gridSpan w:val="4"/>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36"/>
                <w:szCs w:val="36"/>
              </w:rPr>
            </w:pPr>
            <w:r>
              <w:rPr>
                <w:rFonts w:hint="eastAsia" w:ascii="微软雅黑" w:hAnsi="微软雅黑" w:eastAsia="微软雅黑" w:cs="微软雅黑"/>
                <w:color w:val="000000"/>
                <w:kern w:val="0"/>
                <w:sz w:val="36"/>
                <w:szCs w:val="36"/>
              </w:rPr>
              <w:t>代理机构评价表(100 分)</w:t>
            </w:r>
          </w:p>
        </w:tc>
      </w:tr>
      <w:tr>
        <w:tblPrEx>
          <w:tblCellMar>
            <w:top w:w="0" w:type="dxa"/>
            <w:left w:w="108" w:type="dxa"/>
            <w:bottom w:w="0" w:type="dxa"/>
            <w:right w:w="108" w:type="dxa"/>
          </w:tblCellMar>
        </w:tblPrEx>
        <w:trPr>
          <w:trHeight w:val="25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项目名称：                      项目号： </w:t>
            </w:r>
          </w:p>
        </w:tc>
      </w:tr>
      <w:tr>
        <w:tblPrEx>
          <w:tblCellMar>
            <w:top w:w="0" w:type="dxa"/>
            <w:left w:w="108" w:type="dxa"/>
            <w:bottom w:w="0" w:type="dxa"/>
            <w:right w:w="108" w:type="dxa"/>
          </w:tblCellMar>
        </w:tblPrEx>
        <w:trPr>
          <w:trHeight w:val="25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预算金额：                      项目代理机构负责人：  </w:t>
            </w:r>
          </w:p>
        </w:tc>
      </w:tr>
      <w:tr>
        <w:tblPrEx>
          <w:tblCellMar>
            <w:top w:w="0" w:type="dxa"/>
            <w:left w:w="108" w:type="dxa"/>
            <w:bottom w:w="0" w:type="dxa"/>
            <w:right w:w="108" w:type="dxa"/>
          </w:tblCellMar>
        </w:tblPrEx>
        <w:trPr>
          <w:trHeight w:val="226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代理机构出现下列不良行为考核评价直接为 0 分，不再进行其他项目评价：</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1.采购公告、变更公告及中标公示等公示</w:t>
            </w:r>
            <w:r>
              <w:rPr>
                <w:rFonts w:hint="eastAsia" w:ascii="微软雅黑" w:hAnsi="微软雅黑" w:eastAsia="微软雅黑" w:cs="微软雅黑"/>
                <w:color w:val="000000"/>
                <w:kern w:val="0"/>
                <w:sz w:val="20"/>
                <w:szCs w:val="20"/>
                <w:lang w:eastAsia="zh-CN"/>
              </w:rPr>
              <w:t>、</w:t>
            </w:r>
            <w:r>
              <w:rPr>
                <w:rFonts w:hint="eastAsia" w:ascii="微软雅黑" w:hAnsi="微软雅黑" w:eastAsia="微软雅黑" w:cs="微软雅黑"/>
                <w:color w:val="000000"/>
                <w:kern w:val="0"/>
                <w:sz w:val="20"/>
                <w:szCs w:val="20"/>
              </w:rPr>
              <w:t xml:space="preserve">公告信息未得到采购单位确认擅自发布或因业务生疏导 致公告内容违背相关政策法规； </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2.采购文件发售、澄清、修改、延长投标截止期或调整开标日期未按规定时间执行</w:t>
            </w:r>
            <w:r>
              <w:rPr>
                <w:rFonts w:hint="eastAsia" w:ascii="微软雅黑" w:hAnsi="微软雅黑" w:eastAsia="微软雅黑" w:cs="微软雅黑"/>
                <w:color w:val="000000"/>
                <w:kern w:val="0"/>
                <w:sz w:val="20"/>
                <w:szCs w:val="20"/>
                <w:lang w:eastAsia="zh-CN"/>
              </w:rPr>
              <w:t>，</w:t>
            </w:r>
            <w:r>
              <w:rPr>
                <w:rFonts w:hint="eastAsia" w:ascii="微软雅黑" w:hAnsi="微软雅黑" w:eastAsia="微软雅黑" w:cs="微软雅黑"/>
                <w:color w:val="000000"/>
                <w:kern w:val="0"/>
                <w:sz w:val="20"/>
                <w:szCs w:val="20"/>
              </w:rPr>
              <w:t>给采购单位</w:t>
            </w:r>
            <w:r>
              <w:rPr>
                <w:rFonts w:hint="eastAsia" w:ascii="微软雅黑" w:hAnsi="微软雅黑" w:eastAsia="微软雅黑" w:cs="微软雅黑"/>
                <w:color w:val="000000"/>
                <w:kern w:val="0"/>
                <w:sz w:val="20"/>
                <w:szCs w:val="20"/>
                <w:lang w:val="en-US" w:eastAsia="zh-CN"/>
              </w:rPr>
              <w:t>造成</w:t>
            </w:r>
            <w:r>
              <w:rPr>
                <w:rFonts w:hint="eastAsia" w:ascii="微软雅黑" w:hAnsi="微软雅黑" w:eastAsia="微软雅黑" w:cs="微软雅黑"/>
                <w:color w:val="000000"/>
                <w:kern w:val="0"/>
                <w:sz w:val="20"/>
                <w:szCs w:val="20"/>
              </w:rPr>
              <w:t>不良影响；</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3.因采购代理机构原因泄露应当保密的</w:t>
            </w:r>
            <w:r>
              <w:rPr>
                <w:rFonts w:hint="eastAsia" w:ascii="微软雅黑" w:hAnsi="微软雅黑" w:eastAsia="微软雅黑" w:cs="微软雅黑"/>
                <w:color w:val="000000"/>
                <w:kern w:val="0"/>
                <w:sz w:val="20"/>
                <w:szCs w:val="20"/>
                <w:lang w:eastAsia="zh-CN"/>
              </w:rPr>
              <w:t>内容（提前泄露与</w:t>
            </w:r>
            <w:r>
              <w:rPr>
                <w:rFonts w:hint="eastAsia" w:ascii="微软雅黑" w:hAnsi="微软雅黑" w:eastAsia="微软雅黑" w:cs="微软雅黑"/>
                <w:color w:val="000000"/>
                <w:kern w:val="0"/>
                <w:sz w:val="20"/>
                <w:szCs w:val="20"/>
              </w:rPr>
              <w:t>采购活动有关</w:t>
            </w:r>
            <w:r>
              <w:rPr>
                <w:rFonts w:hint="eastAsia" w:ascii="微软雅黑" w:hAnsi="微软雅黑" w:eastAsia="微软雅黑" w:cs="微软雅黑"/>
                <w:color w:val="000000"/>
                <w:kern w:val="0"/>
                <w:sz w:val="20"/>
                <w:szCs w:val="20"/>
                <w:lang w:eastAsia="zh-CN"/>
              </w:rPr>
              <w:t>的资料、评标专家信息、报价等）</w:t>
            </w:r>
            <w:r>
              <w:rPr>
                <w:rFonts w:hint="eastAsia" w:ascii="微软雅黑" w:hAnsi="微软雅黑" w:eastAsia="微软雅黑" w:cs="微软雅黑"/>
                <w:color w:val="000000"/>
                <w:kern w:val="0"/>
                <w:sz w:val="20"/>
                <w:szCs w:val="20"/>
              </w:rPr>
              <w:t>，给采购单位造成不良影响；</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4.违反规定向采购单位或投标人索取合同约定以外的酬金或其它财物；</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rPr>
              <w:t>5.代理机构出现违反法律法规等其他不良行为</w:t>
            </w:r>
            <w:r>
              <w:rPr>
                <w:rFonts w:hint="eastAsia" w:ascii="微软雅黑" w:hAnsi="微软雅黑" w:eastAsia="微软雅黑" w:cs="微软雅黑"/>
                <w:color w:val="000000"/>
                <w:kern w:val="0"/>
                <w:sz w:val="20"/>
                <w:szCs w:val="20"/>
                <w:lang w:eastAsia="zh-CN"/>
              </w:rPr>
              <w:t>。</w:t>
            </w:r>
          </w:p>
        </w:tc>
      </w:tr>
      <w:tr>
        <w:tblPrEx>
          <w:tblCellMar>
            <w:top w:w="0" w:type="dxa"/>
            <w:left w:w="108" w:type="dxa"/>
            <w:bottom w:w="0" w:type="dxa"/>
            <w:right w:w="108" w:type="dxa"/>
          </w:tblCellMar>
        </w:tblPrEx>
        <w:trPr>
          <w:trHeight w:val="255" w:hRule="atLeast"/>
        </w:trPr>
        <w:tc>
          <w:tcPr>
            <w:tcW w:w="169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阶段 </w:t>
            </w:r>
          </w:p>
        </w:tc>
        <w:tc>
          <w:tcPr>
            <w:tcW w:w="531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评价内容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分值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得分</w:t>
            </w:r>
          </w:p>
        </w:tc>
      </w:tr>
      <w:tr>
        <w:tblPrEx>
          <w:tblCellMar>
            <w:top w:w="0" w:type="dxa"/>
            <w:left w:w="108" w:type="dxa"/>
            <w:bottom w:w="0" w:type="dxa"/>
            <w:right w:w="108" w:type="dxa"/>
          </w:tblCellMar>
        </w:tblPrEx>
        <w:trPr>
          <w:trHeight w:val="48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采购前准备</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代理协议中内容不完善给采购人造成不良影响或未按照代理协议提供服务</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采购代理机构工作人员业务水平不专业，没有相应专业团队负责该项目</w:t>
            </w:r>
            <w:r>
              <w:rPr>
                <w:rFonts w:hint="eastAsia" w:ascii="微软雅黑" w:hAnsi="微软雅黑" w:eastAsia="微软雅黑" w:cs="微软雅黑"/>
                <w:color w:val="000000"/>
                <w:kern w:val="0"/>
                <w:sz w:val="20"/>
                <w:szCs w:val="20"/>
                <w:highlight w:val="none"/>
                <w:lang w:eastAsia="zh-CN"/>
              </w:rPr>
              <w:t>的</w:t>
            </w:r>
            <w:r>
              <w:rPr>
                <w:rFonts w:hint="eastAsia" w:ascii="微软雅黑" w:hAnsi="微软雅黑" w:eastAsia="微软雅黑" w:cs="微软雅黑"/>
                <w:color w:val="000000"/>
                <w:kern w:val="0"/>
                <w:sz w:val="20"/>
                <w:szCs w:val="20"/>
                <w:highlight w:val="none"/>
              </w:rPr>
              <w:t>代理服务工作，了解采购单位需求</w:t>
            </w:r>
            <w:r>
              <w:rPr>
                <w:rFonts w:hint="eastAsia" w:ascii="微软雅黑" w:hAnsi="微软雅黑" w:eastAsia="微软雅黑" w:cs="微软雅黑"/>
                <w:color w:val="000000"/>
                <w:kern w:val="0"/>
                <w:sz w:val="20"/>
                <w:szCs w:val="20"/>
                <w:highlight w:val="none"/>
                <w:lang w:eastAsia="zh-CN"/>
              </w:rPr>
              <w:t>不</w:t>
            </w:r>
            <w:r>
              <w:rPr>
                <w:rFonts w:hint="eastAsia" w:ascii="微软雅黑" w:hAnsi="微软雅黑" w:eastAsia="微软雅黑" w:cs="微软雅黑"/>
                <w:color w:val="000000"/>
                <w:kern w:val="0"/>
                <w:sz w:val="20"/>
                <w:szCs w:val="20"/>
                <w:highlight w:val="none"/>
              </w:rPr>
              <w:t>充分</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3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在代理过程中</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没有与采购单位及时沟通确定招标（采购）文件中的内容编制工作，没有与采购单位及时通报采购项目进度情况及相关信息</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在代理过程中</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没有按照采购单位要求的合法合理时间节点上完成相应的代理服务工作</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5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代理机构招标文件制作过程中发现问题及解决问题的能力</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99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采购过程服务工作</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因项目招标（采购）文件编制文件格式不规范、文件内容违反相关规定， 主要合同条款、评标办法和技术性指标缺失或存在重大偏差和失误等原因导致采购项目时间延误，给采购单位造成不良影响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5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未在规定时间内为采购单位对供应商质疑进行答复，或业务水平低，不能对有关法律法规、技术规范作出正确理解和解释，质疑答复满意度较低</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代理机构工作人员联系方式不畅通，有关事项不能及时处理，给采购单位造成不良影响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因代理机构原因未向采购单位明确抽取专家注意事项及权责，影响到评审工作正常开展或给采购单位造成不良影响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采购会议前未和采购单位沟通确定参会人员、会议流程，介绍注意事项及采购单位权责</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主持人和相关人员</w:t>
            </w:r>
            <w:r>
              <w:rPr>
                <w:rFonts w:hint="eastAsia" w:ascii="微软雅黑" w:hAnsi="微软雅黑" w:eastAsia="微软雅黑" w:cs="微软雅黑"/>
                <w:color w:val="000000"/>
                <w:kern w:val="0"/>
                <w:sz w:val="20"/>
                <w:szCs w:val="20"/>
                <w:highlight w:val="none"/>
                <w:lang w:eastAsia="zh-CN"/>
              </w:rPr>
              <w:t>是否</w:t>
            </w:r>
            <w:r>
              <w:rPr>
                <w:rFonts w:hint="eastAsia" w:ascii="微软雅黑" w:hAnsi="微软雅黑" w:eastAsia="微软雅黑" w:cs="微软雅黑"/>
                <w:color w:val="000000"/>
                <w:kern w:val="0"/>
                <w:sz w:val="20"/>
                <w:szCs w:val="20"/>
                <w:highlight w:val="none"/>
              </w:rPr>
              <w:t>做到吐字清晰准确，组织干练流畅，现场应变能力强等素养</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采购会议过程中发现违法违规问题不及时向采购单位或监管部门报告</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采用招标方式的，</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开标后未按委托协议中委托事项与采购单位共同审查投标人资格</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5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采购后续服务工作</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未制订、执行政府采购档案管理制度或项目归档资料不完整、不及时进行编制汇总交给采购单位的；违反规定隐匿、销毁应当保存的采购文件 或者伪造、变造</w:t>
            </w:r>
            <w:bookmarkStart w:id="177" w:name="_GoBack"/>
            <w:bookmarkEnd w:id="177"/>
            <w:r>
              <w:rPr>
                <w:rFonts w:hint="eastAsia" w:ascii="微软雅黑" w:hAnsi="微软雅黑" w:eastAsia="微软雅黑" w:cs="微软雅黑"/>
                <w:color w:val="000000"/>
                <w:kern w:val="0"/>
                <w:sz w:val="20"/>
                <w:szCs w:val="20"/>
                <w:highlight w:val="none"/>
              </w:rPr>
              <w:t>采购文件</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99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未履行委托代理协议中明确的后续工作，如协助</w:t>
            </w:r>
            <w:r>
              <w:rPr>
                <w:rFonts w:hint="eastAsia" w:ascii="微软雅黑" w:hAnsi="微软雅黑" w:eastAsia="微软雅黑" w:cs="微软雅黑"/>
                <w:color w:val="000000"/>
                <w:kern w:val="0"/>
                <w:sz w:val="20"/>
                <w:szCs w:val="20"/>
                <w:highlight w:val="none"/>
                <w:lang w:eastAsia="zh-CN"/>
              </w:rPr>
              <w:t>采购方</w:t>
            </w:r>
            <w:r>
              <w:rPr>
                <w:rFonts w:hint="eastAsia" w:ascii="微软雅黑" w:hAnsi="微软雅黑" w:eastAsia="微软雅黑" w:cs="微软雅黑"/>
                <w:color w:val="000000"/>
                <w:kern w:val="0"/>
                <w:sz w:val="20"/>
                <w:szCs w:val="20"/>
                <w:highlight w:val="none"/>
              </w:rPr>
              <w:t>与中标供应商签订合同；采购单位在项目进度上遇到的问题和困难进行有效答复和帮助</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组织或协助单位组织项目完成的履约验收工作</w:t>
            </w:r>
            <w:r>
              <w:rPr>
                <w:rFonts w:hint="eastAsia" w:ascii="微软雅黑" w:hAnsi="微软雅黑" w:eastAsia="微软雅黑" w:cs="微软雅黑"/>
                <w:color w:val="000000"/>
                <w:kern w:val="0"/>
                <w:sz w:val="20"/>
                <w:szCs w:val="20"/>
                <w:highlight w:val="none"/>
                <w:lang w:eastAsia="zh-CN"/>
              </w:rPr>
              <w:t>；是否存在结果公示后，</w:t>
            </w:r>
            <w:r>
              <w:rPr>
                <w:rFonts w:hint="eastAsia" w:ascii="微软雅黑" w:hAnsi="微软雅黑" w:eastAsia="微软雅黑" w:cs="微软雅黑"/>
                <w:color w:val="000000"/>
                <w:kern w:val="0"/>
                <w:sz w:val="20"/>
                <w:szCs w:val="20"/>
                <w:highlight w:val="none"/>
              </w:rPr>
              <w:t>未在规定时间内为采购</w:t>
            </w:r>
            <w:r>
              <w:rPr>
                <w:rFonts w:hint="eastAsia" w:ascii="微软雅黑" w:hAnsi="微软雅黑" w:eastAsia="微软雅黑" w:cs="微软雅黑"/>
                <w:color w:val="000000"/>
                <w:kern w:val="0"/>
                <w:sz w:val="20"/>
                <w:szCs w:val="20"/>
                <w:highlight w:val="none"/>
                <w:lang w:eastAsia="zh-CN"/>
              </w:rPr>
              <w:t>方</w:t>
            </w:r>
            <w:r>
              <w:rPr>
                <w:rFonts w:hint="eastAsia" w:ascii="微软雅黑" w:hAnsi="微软雅黑" w:eastAsia="微软雅黑" w:cs="微软雅黑"/>
                <w:color w:val="000000"/>
                <w:kern w:val="0"/>
                <w:sz w:val="20"/>
                <w:szCs w:val="20"/>
                <w:highlight w:val="none"/>
              </w:rPr>
              <w:t>对供应商质疑</w:t>
            </w:r>
            <w:r>
              <w:rPr>
                <w:rFonts w:hint="eastAsia" w:ascii="微软雅黑" w:hAnsi="微软雅黑" w:eastAsia="微软雅黑" w:cs="微软雅黑"/>
                <w:color w:val="000000"/>
                <w:kern w:val="0"/>
                <w:sz w:val="20"/>
                <w:szCs w:val="20"/>
                <w:highlight w:val="none"/>
                <w:lang w:eastAsia="zh-CN"/>
              </w:rPr>
              <w:t>或投诉</w:t>
            </w:r>
            <w:r>
              <w:rPr>
                <w:rFonts w:hint="eastAsia" w:ascii="微软雅黑" w:hAnsi="微软雅黑" w:eastAsia="微软雅黑" w:cs="微软雅黑"/>
                <w:color w:val="000000"/>
                <w:kern w:val="0"/>
                <w:sz w:val="20"/>
                <w:szCs w:val="20"/>
                <w:highlight w:val="none"/>
              </w:rPr>
              <w:t>进行答复，或业务水平低，不能对有关法律法规、技术规范作出正确理解和解释，答复满意度较低</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5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因代理机构其他行为对采购单位造成不良影响的情形</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85" w:hRule="atLeast"/>
        </w:trPr>
        <w:tc>
          <w:tcPr>
            <w:tcW w:w="777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4"/>
                <w:szCs w:val="20"/>
              </w:rPr>
            </w:pPr>
            <w:r>
              <w:rPr>
                <w:rFonts w:hint="eastAsia" w:ascii="微软雅黑" w:hAnsi="微软雅黑" w:eastAsia="微软雅黑" w:cs="微软雅黑"/>
                <w:color w:val="000000"/>
                <w:kern w:val="0"/>
                <w:sz w:val="24"/>
                <w:szCs w:val="20"/>
              </w:rPr>
              <w:t xml:space="preserve">合计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85" w:hRule="atLeast"/>
        </w:trPr>
        <w:tc>
          <w:tcPr>
            <w:tcW w:w="854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4"/>
                <w:szCs w:val="20"/>
              </w:rPr>
            </w:pPr>
            <w:r>
              <w:rPr>
                <w:rFonts w:hint="eastAsia" w:ascii="微软雅黑" w:hAnsi="微软雅黑" w:eastAsia="微软雅黑" w:cs="微软雅黑"/>
                <w:color w:val="000000"/>
                <w:kern w:val="0"/>
                <w:sz w:val="24"/>
                <w:szCs w:val="20"/>
              </w:rPr>
              <w:t xml:space="preserve">考核人：                                      考核时间：  </w:t>
            </w:r>
          </w:p>
        </w:tc>
      </w:tr>
    </w:tbl>
    <w:p>
      <w:pPr>
        <w:widowControl/>
        <w:adjustRightInd w:val="0"/>
        <w:snapToGrid w:val="0"/>
        <w:spacing w:after="200" w:line="220" w:lineRule="atLeast"/>
        <w:jc w:val="left"/>
        <w:rPr>
          <w:sz w:val="28"/>
          <w:szCs w:val="28"/>
        </w:rPr>
      </w:pPr>
    </w:p>
    <w:tbl>
      <w:tblPr>
        <w:tblStyle w:val="57"/>
        <w:tblW w:w="8640" w:type="dxa"/>
        <w:tblInd w:w="108" w:type="dxa"/>
        <w:tblLayout w:type="autofit"/>
        <w:tblCellMar>
          <w:top w:w="0" w:type="dxa"/>
          <w:left w:w="108" w:type="dxa"/>
          <w:bottom w:w="0" w:type="dxa"/>
          <w:right w:w="108" w:type="dxa"/>
        </w:tblCellMar>
      </w:tblPr>
      <w:tblGrid>
        <w:gridCol w:w="1333"/>
        <w:gridCol w:w="5859"/>
        <w:gridCol w:w="724"/>
        <w:gridCol w:w="724"/>
      </w:tblGrid>
      <w:tr>
        <w:tblPrEx>
          <w:tblCellMar>
            <w:top w:w="0" w:type="dxa"/>
            <w:left w:w="108" w:type="dxa"/>
            <w:bottom w:w="0" w:type="dxa"/>
            <w:right w:w="108" w:type="dxa"/>
          </w:tblCellMar>
        </w:tblPrEx>
        <w:trPr>
          <w:trHeight w:val="450" w:hRule="atLeast"/>
        </w:trPr>
        <w:tc>
          <w:tcPr>
            <w:tcW w:w="8640" w:type="dxa"/>
            <w:gridSpan w:val="4"/>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36"/>
                <w:szCs w:val="36"/>
                <w:highlight w:val="none"/>
              </w:rPr>
            </w:pPr>
            <w:r>
              <w:rPr>
                <w:rFonts w:hint="eastAsia" w:ascii="微软雅黑" w:hAnsi="微软雅黑" w:eastAsia="微软雅黑" w:cs="微软雅黑"/>
                <w:color w:val="000000"/>
                <w:kern w:val="0"/>
                <w:sz w:val="36"/>
                <w:szCs w:val="36"/>
                <w:highlight w:val="none"/>
              </w:rPr>
              <w:t>代理机构年度考核评价表(100分)</w:t>
            </w:r>
          </w:p>
        </w:tc>
      </w:tr>
      <w:tr>
        <w:tblPrEx>
          <w:tblCellMar>
            <w:top w:w="0" w:type="dxa"/>
            <w:left w:w="108" w:type="dxa"/>
            <w:bottom w:w="0" w:type="dxa"/>
            <w:right w:w="108" w:type="dxa"/>
          </w:tblCellMar>
        </w:tblPrEx>
        <w:trPr>
          <w:trHeight w:val="480"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代理公司： 服务期：</w:t>
            </w:r>
          </w:p>
        </w:tc>
      </w:tr>
      <w:tr>
        <w:trPr>
          <w:trHeight w:val="420"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代理项目数量： 代理机构负责人：</w:t>
            </w:r>
          </w:p>
        </w:tc>
      </w:tr>
      <w:tr>
        <w:tblPrEx>
          <w:tblCellMar>
            <w:top w:w="0" w:type="dxa"/>
            <w:left w:w="108" w:type="dxa"/>
            <w:bottom w:w="0" w:type="dxa"/>
            <w:right w:w="108" w:type="dxa"/>
          </w:tblCellMar>
        </w:tblPrEx>
        <w:trPr>
          <w:trHeight w:val="2265"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代理机构出现下列不良行为考核评价直接为 0 分，不再进行其他项目评价：</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1.采购公告、变更公告及中标公示等公示</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 xml:space="preserve">公告信息未得到采购单位确认擅自发布或因业务生疏导致公告内容违背相关政策法规； </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2.采购文件发售、澄清、修改、延长投标截止期或调整开标日期未按规定时间执行</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给采购单位</w:t>
            </w:r>
            <w:r>
              <w:rPr>
                <w:rFonts w:hint="eastAsia" w:ascii="微软雅黑" w:hAnsi="微软雅黑" w:eastAsia="微软雅黑" w:cs="微软雅黑"/>
                <w:color w:val="000000"/>
                <w:kern w:val="0"/>
                <w:sz w:val="20"/>
                <w:szCs w:val="20"/>
                <w:highlight w:val="none"/>
                <w:lang w:eastAsia="zh-CN"/>
              </w:rPr>
              <w:t>造成</w:t>
            </w:r>
            <w:r>
              <w:rPr>
                <w:rFonts w:hint="eastAsia" w:ascii="微软雅黑" w:hAnsi="微软雅黑" w:eastAsia="微软雅黑" w:cs="微软雅黑"/>
                <w:color w:val="000000"/>
                <w:kern w:val="0"/>
                <w:sz w:val="20"/>
                <w:szCs w:val="20"/>
                <w:highlight w:val="none"/>
              </w:rPr>
              <w:t>不良影响；</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3.因采购代理机构原因泄露应当保密的</w:t>
            </w:r>
            <w:r>
              <w:rPr>
                <w:rFonts w:hint="eastAsia" w:ascii="微软雅黑" w:hAnsi="微软雅黑" w:eastAsia="微软雅黑" w:cs="微软雅黑"/>
                <w:color w:val="000000"/>
                <w:kern w:val="0"/>
                <w:sz w:val="20"/>
                <w:szCs w:val="20"/>
                <w:highlight w:val="none"/>
                <w:lang w:eastAsia="zh-CN"/>
              </w:rPr>
              <w:t>内容（提前泄露与</w:t>
            </w:r>
            <w:r>
              <w:rPr>
                <w:rFonts w:hint="eastAsia" w:ascii="微软雅黑" w:hAnsi="微软雅黑" w:eastAsia="微软雅黑" w:cs="微软雅黑"/>
                <w:color w:val="000000"/>
                <w:kern w:val="0"/>
                <w:sz w:val="20"/>
                <w:szCs w:val="20"/>
                <w:highlight w:val="none"/>
              </w:rPr>
              <w:t>采购活动有关</w:t>
            </w:r>
            <w:r>
              <w:rPr>
                <w:rFonts w:hint="eastAsia" w:ascii="微软雅黑" w:hAnsi="微软雅黑" w:eastAsia="微软雅黑" w:cs="微软雅黑"/>
                <w:color w:val="000000"/>
                <w:kern w:val="0"/>
                <w:sz w:val="20"/>
                <w:szCs w:val="20"/>
                <w:highlight w:val="none"/>
                <w:lang w:eastAsia="zh-CN"/>
              </w:rPr>
              <w:t>的资料、评标专家信息、报价等）</w:t>
            </w:r>
            <w:r>
              <w:rPr>
                <w:rFonts w:hint="eastAsia" w:ascii="微软雅黑" w:hAnsi="微软雅黑" w:eastAsia="微软雅黑" w:cs="微软雅黑"/>
                <w:color w:val="000000"/>
                <w:kern w:val="0"/>
                <w:sz w:val="20"/>
                <w:szCs w:val="20"/>
                <w:highlight w:val="none"/>
              </w:rPr>
              <w:t>，给采购单位造成不良影响；</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4.违反规定向采购单位或投标人索取合同约定以外的酬金或其它财物；</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5.代理机构出现违反法律法规等其他不良行为</w:t>
            </w:r>
            <w:r>
              <w:rPr>
                <w:rFonts w:hint="eastAsia" w:ascii="微软雅黑" w:hAnsi="微软雅黑" w:eastAsia="微软雅黑" w:cs="微软雅黑"/>
                <w:color w:val="000000"/>
                <w:kern w:val="0"/>
                <w:sz w:val="20"/>
                <w:szCs w:val="20"/>
                <w:highlight w:val="none"/>
                <w:lang w:eastAsia="zh-CN"/>
              </w:rPr>
              <w:t>。</w:t>
            </w:r>
          </w:p>
        </w:tc>
      </w:tr>
      <w:tr>
        <w:tblPrEx>
          <w:tblCellMar>
            <w:top w:w="0" w:type="dxa"/>
            <w:left w:w="108" w:type="dxa"/>
            <w:bottom w:w="0" w:type="dxa"/>
            <w:right w:w="108" w:type="dxa"/>
          </w:tblCellMar>
        </w:tblPrEx>
        <w:trPr>
          <w:trHeight w:val="705" w:hRule="atLeast"/>
        </w:trPr>
        <w:tc>
          <w:tcPr>
            <w:tcW w:w="133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序号</w:t>
            </w:r>
          </w:p>
        </w:tc>
        <w:tc>
          <w:tcPr>
            <w:tcW w:w="585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评分内容及占比</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 xml:space="preserve">分值 </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得分</w:t>
            </w:r>
          </w:p>
        </w:tc>
      </w:tr>
      <w:tr>
        <w:tblPrEx>
          <w:tblCellMar>
            <w:top w:w="0" w:type="dxa"/>
            <w:left w:w="108" w:type="dxa"/>
            <w:bottom w:w="0" w:type="dxa"/>
            <w:right w:w="108" w:type="dxa"/>
          </w:tblCellMar>
        </w:tblPrEx>
        <w:trPr>
          <w:trHeight w:val="615" w:hRule="atLeast"/>
        </w:trPr>
        <w:tc>
          <w:tcPr>
            <w:tcW w:w="133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1</w:t>
            </w:r>
          </w:p>
        </w:tc>
        <w:tc>
          <w:tcPr>
            <w:tcW w:w="585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代理项目评价平均得分（每个代理项目评标得分合计/代理项目数）*90%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90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690" w:hRule="atLeast"/>
        </w:trPr>
        <w:tc>
          <w:tcPr>
            <w:tcW w:w="133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2</w:t>
            </w:r>
          </w:p>
        </w:tc>
        <w:tc>
          <w:tcPr>
            <w:tcW w:w="585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其他代理协议要求服务内容（培训、协助整理采购人档案整理等）</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10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585" w:hRule="atLeast"/>
        </w:trPr>
        <w:tc>
          <w:tcPr>
            <w:tcW w:w="7916"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4"/>
                <w:szCs w:val="20"/>
                <w:highlight w:val="none"/>
              </w:rPr>
            </w:pPr>
            <w:r>
              <w:rPr>
                <w:rFonts w:hint="eastAsia" w:ascii="微软雅黑" w:hAnsi="微软雅黑" w:eastAsia="微软雅黑" w:cs="微软雅黑"/>
                <w:color w:val="000000"/>
                <w:kern w:val="0"/>
                <w:sz w:val="24"/>
                <w:szCs w:val="20"/>
                <w:highlight w:val="none"/>
              </w:rPr>
              <w:t xml:space="preserve">合计 </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915" w:hRule="atLeast"/>
        </w:trPr>
        <w:tc>
          <w:tcPr>
            <w:tcW w:w="864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4"/>
                <w:szCs w:val="20"/>
                <w:highlight w:val="none"/>
              </w:rPr>
            </w:pPr>
            <w:r>
              <w:rPr>
                <w:rFonts w:hint="eastAsia" w:ascii="微软雅黑" w:hAnsi="微软雅黑" w:eastAsia="微软雅黑" w:cs="微软雅黑"/>
                <w:color w:val="000000"/>
                <w:kern w:val="0"/>
                <w:sz w:val="24"/>
                <w:szCs w:val="20"/>
                <w:highlight w:val="none"/>
              </w:rPr>
              <w:t xml:space="preserve">考核人：                                      考核时间：  </w:t>
            </w:r>
          </w:p>
        </w:tc>
      </w:tr>
    </w:tbl>
    <w:p>
      <w:pPr>
        <w:pStyle w:val="23"/>
        <w:rPr>
          <w:rFonts w:hint="eastAsia"/>
        </w:rPr>
      </w:pPr>
    </w:p>
    <w:bookmarkEnd w:id="85"/>
    <w:bookmarkEnd w:id="86"/>
    <w:bookmarkEnd w:id="87"/>
    <w:p>
      <w:pPr>
        <w:rPr>
          <w:rFonts w:hint="eastAsia" w:ascii="微软雅黑" w:hAnsi="微软雅黑" w:eastAsia="微软雅黑" w:cs="微软雅黑"/>
          <w:b/>
          <w:sz w:val="44"/>
          <w:szCs w:val="20"/>
        </w:rPr>
      </w:pPr>
      <w:bookmarkStart w:id="88" w:name="_Toc641"/>
      <w:bookmarkStart w:id="89" w:name="_Toc18371"/>
      <w:bookmarkStart w:id="90" w:name="_Toc12791"/>
      <w:r>
        <w:rPr>
          <w:rFonts w:hint="eastAsia" w:ascii="微软雅黑" w:hAnsi="微软雅黑" w:eastAsia="微软雅黑" w:cs="微软雅黑"/>
          <w:b/>
          <w:sz w:val="44"/>
          <w:szCs w:val="20"/>
        </w:rPr>
        <w:br w:type="page"/>
      </w:r>
    </w:p>
    <w:p>
      <w:pPr>
        <w:pStyle w:val="4"/>
        <w:pageBreakBefore w:val="0"/>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8"/>
      <w:bookmarkEnd w:id="89"/>
      <w:bookmarkEnd w:id="9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1" w:name="_Toc106030888"/>
      <w:bookmarkStart w:id="92" w:name="_Toc14958"/>
      <w:bookmarkStart w:id="93" w:name="_Toc76462333"/>
      <w:bookmarkStart w:id="94" w:name="_Toc5379"/>
      <w:bookmarkStart w:id="95" w:name="_Toc1860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1"/>
      <w:bookmarkEnd w:id="92"/>
      <w:bookmarkEnd w:id="93"/>
      <w:bookmarkEnd w:id="94"/>
      <w:bookmarkEnd w:id="9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6" w:name="_Toc4495"/>
      <w:bookmarkStart w:id="97" w:name="_Toc10843"/>
      <w:bookmarkStart w:id="98" w:name="_Toc25824"/>
      <w:bookmarkStart w:id="99" w:name="_Toc76462335"/>
      <w:bookmarkStart w:id="100" w:name="_Toc106030890"/>
      <w:bookmarkStart w:id="101" w:name="_Toc31497"/>
      <w:bookmarkStart w:id="102" w:name="_Toc342913394"/>
      <w:bookmarkStart w:id="103" w:name="_Toc102227320"/>
      <w:r>
        <w:rPr>
          <w:rFonts w:hint="eastAsia" w:ascii="微软雅黑" w:hAnsi="微软雅黑" w:eastAsia="微软雅黑" w:cs="微软雅黑"/>
          <w:color w:val="auto"/>
          <w:sz w:val="24"/>
          <w:lang w:val="en-US" w:eastAsia="zh-CN"/>
        </w:rPr>
        <w:t>二、报价方式</w:t>
      </w:r>
      <w:bookmarkEnd w:id="96"/>
      <w:bookmarkEnd w:id="9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4" w:name="_Toc27607"/>
      <w:bookmarkStart w:id="105" w:name="_Toc27394"/>
      <w:r>
        <w:rPr>
          <w:rFonts w:hint="eastAsia" w:ascii="微软雅黑" w:hAnsi="微软雅黑" w:eastAsia="微软雅黑" w:cs="微软雅黑"/>
          <w:b w:val="0"/>
          <w:bCs/>
          <w:color w:val="auto"/>
          <w:sz w:val="24"/>
          <w:szCs w:val="24"/>
          <w:lang w:val="en-US" w:eastAsia="zh-CN"/>
        </w:rPr>
        <w:t>本项目可在开标现场进行二次报价。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8"/>
      <w:bookmarkEnd w:id="104"/>
      <w:bookmarkEnd w:id="10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6" w:name="_Toc106030889"/>
      <w:bookmarkStart w:id="107" w:name="_Toc24201"/>
      <w:bookmarkStart w:id="108" w:name="_Toc5973"/>
      <w:bookmarkStart w:id="109" w:name="_Toc18577"/>
      <w:bookmarkStart w:id="110" w:name="_Toc76462334"/>
      <w:bookmarkStart w:id="111" w:name="_Toc30944"/>
      <w:r>
        <w:rPr>
          <w:rFonts w:hint="eastAsia" w:ascii="微软雅黑" w:hAnsi="微软雅黑" w:eastAsia="微软雅黑" w:cs="微软雅黑"/>
          <w:color w:val="auto"/>
          <w:sz w:val="24"/>
          <w:lang w:val="en-US" w:eastAsia="zh-CN"/>
        </w:rPr>
        <w:t>四、评审标准</w:t>
      </w:r>
      <w:bookmarkEnd w:id="106"/>
      <w:bookmarkEnd w:id="107"/>
      <w:bookmarkEnd w:id="108"/>
      <w:bookmarkEnd w:id="109"/>
      <w:bookmarkEnd w:id="110"/>
      <w:bookmarkEnd w:id="111"/>
    </w:p>
    <w:tbl>
      <w:tblPr>
        <w:tblStyle w:val="57"/>
        <w:tblW w:w="10069" w:type="dxa"/>
        <w:tblInd w:w="0" w:type="dxa"/>
        <w:tblLayout w:type="fixed"/>
        <w:tblCellMar>
          <w:top w:w="0" w:type="dxa"/>
          <w:left w:w="108" w:type="dxa"/>
          <w:bottom w:w="0" w:type="dxa"/>
          <w:right w:w="108" w:type="dxa"/>
        </w:tblCellMar>
      </w:tblPr>
      <w:tblGrid>
        <w:gridCol w:w="734"/>
        <w:gridCol w:w="1098"/>
        <w:gridCol w:w="832"/>
        <w:gridCol w:w="5875"/>
        <w:gridCol w:w="1530"/>
      </w:tblGrid>
      <w:tr>
        <w:tblPrEx>
          <w:tblCellMar>
            <w:top w:w="0" w:type="dxa"/>
            <w:left w:w="108" w:type="dxa"/>
            <w:bottom w:w="0" w:type="dxa"/>
            <w:right w:w="108" w:type="dxa"/>
          </w:tblCellMar>
        </w:tblPrEx>
        <w:trPr>
          <w:trHeight w:val="500"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bookmarkStart w:id="112" w:name="_Toc15660"/>
            <w:bookmarkStart w:id="113" w:name="_Toc29489"/>
            <w:r>
              <w:rPr>
                <w:rFonts w:hint="eastAsia" w:ascii="微软雅黑" w:hAnsi="微软雅黑" w:eastAsia="微软雅黑" w:cs="微软雅黑"/>
                <w:sz w:val="21"/>
                <w:szCs w:val="21"/>
              </w:rPr>
              <w:t>序号</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评价要素及权重</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分值</w:t>
            </w:r>
          </w:p>
        </w:tc>
        <w:tc>
          <w:tcPr>
            <w:tcW w:w="5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评价标准</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CellMar>
            <w:top w:w="0" w:type="dxa"/>
            <w:left w:w="108" w:type="dxa"/>
            <w:bottom w:w="0" w:type="dxa"/>
            <w:right w:w="108" w:type="dxa"/>
          </w:tblCellMar>
        </w:tblPrEx>
        <w:trPr>
          <w:trHeight w:val="90" w:hRule="atLeast"/>
        </w:trPr>
        <w:tc>
          <w:tcPr>
            <w:tcW w:w="734"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098"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价格部分（</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0%）</w:t>
            </w:r>
          </w:p>
        </w:tc>
        <w:tc>
          <w:tcPr>
            <w:tcW w:w="83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0分</w:t>
            </w:r>
          </w:p>
        </w:tc>
        <w:tc>
          <w:tcPr>
            <w:tcW w:w="5875" w:type="dxa"/>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highlight w:val="none"/>
              </w:rPr>
              <w:t>有效的投标报价中的最低价（收取标准百分比）</w:t>
            </w:r>
            <w:r>
              <w:rPr>
                <w:rFonts w:hint="eastAsia" w:ascii="微软雅黑" w:hAnsi="微软雅黑" w:eastAsia="微软雅黑" w:cs="微软雅黑"/>
                <w:sz w:val="21"/>
                <w:szCs w:val="21"/>
              </w:rPr>
              <w:t>为评标基准价，其价格分为满分。其他投标人的价格分统一按照下列公式计算：投标报价得分＝（评标基准价/投标报价）×价格权重×100。</w:t>
            </w:r>
          </w:p>
        </w:tc>
        <w:tc>
          <w:tcPr>
            <w:tcW w:w="153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得分采用四舍五入法保留小数点后两位。</w:t>
            </w:r>
          </w:p>
        </w:tc>
      </w:tr>
      <w:tr>
        <w:tblPrEx>
          <w:tblCellMar>
            <w:top w:w="0" w:type="dxa"/>
            <w:left w:w="108" w:type="dxa"/>
            <w:bottom w:w="0" w:type="dxa"/>
            <w:right w:w="108" w:type="dxa"/>
          </w:tblCellMar>
        </w:tblPrEx>
        <w:trPr>
          <w:trHeight w:val="495"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2</w:t>
            </w:r>
          </w:p>
        </w:tc>
        <w:tc>
          <w:tcPr>
            <w:tcW w:w="10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服务部分（50%）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服务方案</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20</w:t>
            </w:r>
            <w:r>
              <w:rPr>
                <w:rFonts w:hint="eastAsia" w:ascii="微软雅黑" w:hAnsi="微软雅黑" w:eastAsia="微软雅黑" w:cs="微软雅黑"/>
                <w:sz w:val="21"/>
                <w:szCs w:val="21"/>
              </w:rPr>
              <w:t>分</w:t>
            </w: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服务方案包括：服务质量的保障措施，本项目人员配置，监督反馈机制，防治违规行为的保障措施，追究机制等方面的方案进行横向比较评审，优得</w:t>
            </w:r>
            <w:r>
              <w:rPr>
                <w:rFonts w:hint="eastAsia" w:ascii="微软雅黑" w:hAnsi="微软雅黑" w:eastAsia="微软雅黑" w:cs="微软雅黑"/>
                <w:sz w:val="21"/>
                <w:szCs w:val="21"/>
                <w:lang w:val="en-US" w:eastAsia="zh-CN"/>
              </w:rPr>
              <w:t>15-20</w:t>
            </w:r>
            <w:r>
              <w:rPr>
                <w:rFonts w:hint="eastAsia" w:ascii="微软雅黑" w:hAnsi="微软雅黑" w:eastAsia="微软雅黑" w:cs="微软雅黑"/>
                <w:sz w:val="21"/>
                <w:szCs w:val="21"/>
              </w:rPr>
              <w:t>分，良得</w:t>
            </w:r>
            <w:r>
              <w:rPr>
                <w:rFonts w:hint="eastAsia" w:ascii="微软雅黑" w:hAnsi="微软雅黑" w:eastAsia="微软雅黑" w:cs="微软雅黑"/>
                <w:sz w:val="21"/>
                <w:szCs w:val="21"/>
                <w:lang w:val="en-US" w:eastAsia="zh-CN"/>
              </w:rPr>
              <w:t>8-14</w:t>
            </w:r>
            <w:r>
              <w:rPr>
                <w:rFonts w:hint="eastAsia" w:ascii="微软雅黑" w:hAnsi="微软雅黑" w:eastAsia="微软雅黑" w:cs="微软雅黑"/>
                <w:sz w:val="21"/>
                <w:szCs w:val="21"/>
              </w:rPr>
              <w:t>分，差得</w:t>
            </w:r>
            <w:r>
              <w:rPr>
                <w:rFonts w:hint="eastAsia" w:ascii="微软雅黑" w:hAnsi="微软雅黑" w:eastAsia="微软雅黑" w:cs="微软雅黑"/>
                <w:sz w:val="21"/>
                <w:szCs w:val="21"/>
                <w:lang w:val="en-US" w:eastAsia="zh-CN"/>
              </w:rPr>
              <w:t>1-7</w:t>
            </w:r>
            <w:r>
              <w:rPr>
                <w:rFonts w:hint="eastAsia" w:ascii="微软雅黑" w:hAnsi="微软雅黑" w:eastAsia="微软雅黑" w:cs="微软雅黑"/>
                <w:sz w:val="21"/>
                <w:szCs w:val="21"/>
              </w:rPr>
              <w:t>分，未提供不得分。</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格式内容自拟</w:t>
            </w:r>
          </w:p>
        </w:tc>
      </w:tr>
      <w:tr>
        <w:tblPrEx>
          <w:tblCellMar>
            <w:top w:w="0" w:type="dxa"/>
            <w:left w:w="108" w:type="dxa"/>
            <w:bottom w:w="0" w:type="dxa"/>
            <w:right w:w="108" w:type="dxa"/>
          </w:tblCellMar>
        </w:tblPrEx>
        <w:trPr>
          <w:trHeight w:val="1728"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eastAsia="zh-CN"/>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832"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项目团队</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分</w:t>
            </w: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0000FF"/>
                <w:sz w:val="21"/>
                <w:szCs w:val="21"/>
                <w:lang w:val="en-US" w:eastAsia="zh-CN"/>
              </w:rPr>
              <w:t>1.</w:t>
            </w:r>
            <w:r>
              <w:rPr>
                <w:rFonts w:hint="eastAsia" w:ascii="微软雅黑" w:hAnsi="微软雅黑" w:eastAsia="微软雅黑" w:cs="微软雅黑"/>
                <w:color w:val="0000FF"/>
                <w:sz w:val="21"/>
                <w:szCs w:val="21"/>
                <w:lang w:eastAsia="zh-CN"/>
              </w:rPr>
              <w:t>在满足资格要求的基础上，</w:t>
            </w:r>
            <w:r>
              <w:rPr>
                <w:rFonts w:hint="eastAsia" w:ascii="微软雅黑" w:hAnsi="微软雅黑" w:eastAsia="微软雅黑" w:cs="微软雅黑"/>
                <w:color w:val="0000FF"/>
                <w:sz w:val="21"/>
                <w:szCs w:val="21"/>
              </w:rPr>
              <w:t>项目</w:t>
            </w:r>
            <w:r>
              <w:rPr>
                <w:rFonts w:hint="eastAsia" w:ascii="微软雅黑" w:hAnsi="微软雅黑" w:eastAsia="微软雅黑" w:cs="微软雅黑"/>
                <w:color w:val="0000FF"/>
                <w:sz w:val="21"/>
                <w:szCs w:val="21"/>
                <w:lang w:val="en-US" w:eastAsia="zh-CN"/>
              </w:rPr>
              <w:t>团队</w:t>
            </w:r>
            <w:r>
              <w:rPr>
                <w:rFonts w:hint="eastAsia" w:ascii="微软雅黑" w:hAnsi="微软雅黑" w:eastAsia="微软雅黑" w:cs="微软雅黑"/>
                <w:color w:val="0000FF"/>
                <w:sz w:val="21"/>
                <w:szCs w:val="21"/>
              </w:rPr>
              <w:t>负责人从业</w:t>
            </w:r>
            <w:r>
              <w:rPr>
                <w:rFonts w:hint="eastAsia" w:ascii="微软雅黑" w:hAnsi="微软雅黑" w:eastAsia="微软雅黑" w:cs="微软雅黑"/>
                <w:color w:val="0000FF"/>
                <w:sz w:val="21"/>
                <w:szCs w:val="21"/>
                <w:lang w:val="en-US" w:eastAsia="zh-CN"/>
              </w:rPr>
              <w:t>10</w:t>
            </w:r>
            <w:r>
              <w:rPr>
                <w:rFonts w:hint="eastAsia" w:ascii="微软雅黑" w:hAnsi="微软雅黑" w:eastAsia="微软雅黑" w:cs="微软雅黑"/>
                <w:color w:val="0000FF"/>
                <w:sz w:val="21"/>
                <w:szCs w:val="21"/>
              </w:rPr>
              <w:t>年</w:t>
            </w:r>
            <w:r>
              <w:rPr>
                <w:rFonts w:hint="eastAsia" w:ascii="微软雅黑" w:hAnsi="微软雅黑" w:eastAsia="微软雅黑" w:cs="微软雅黑"/>
                <w:color w:val="0000FF"/>
                <w:sz w:val="21"/>
                <w:szCs w:val="21"/>
                <w:lang w:val="en-US" w:eastAsia="zh-CN"/>
              </w:rPr>
              <w:t>及以上并：</w:t>
            </w:r>
          </w:p>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0000FF"/>
                <w:kern w:val="0"/>
                <w:sz w:val="21"/>
                <w:szCs w:val="21"/>
                <w:lang w:val="en-US" w:eastAsia="zh-CN"/>
              </w:rPr>
              <w:t>（1）具有高级职称的</w:t>
            </w:r>
            <w:r>
              <w:rPr>
                <w:rFonts w:hint="eastAsia" w:ascii="微软雅黑" w:hAnsi="微软雅黑" w:eastAsia="微软雅黑" w:cs="微软雅黑"/>
                <w:color w:val="0000FF"/>
                <w:kern w:val="0"/>
                <w:sz w:val="21"/>
                <w:szCs w:val="21"/>
              </w:rPr>
              <w:t>得</w:t>
            </w:r>
            <w:r>
              <w:rPr>
                <w:rFonts w:hint="eastAsia" w:ascii="微软雅黑" w:hAnsi="微软雅黑" w:eastAsia="微软雅黑" w:cs="微软雅黑"/>
                <w:color w:val="0000FF"/>
                <w:kern w:val="0"/>
                <w:sz w:val="21"/>
                <w:szCs w:val="21"/>
                <w:lang w:val="en-US" w:eastAsia="zh-CN"/>
              </w:rPr>
              <w:t>6</w:t>
            </w:r>
            <w:r>
              <w:rPr>
                <w:rFonts w:hint="eastAsia" w:ascii="微软雅黑" w:hAnsi="微软雅黑" w:eastAsia="微软雅黑" w:cs="微软雅黑"/>
                <w:color w:val="0000FF"/>
                <w:kern w:val="0"/>
                <w:sz w:val="21"/>
                <w:szCs w:val="21"/>
              </w:rPr>
              <w:t>分</w:t>
            </w:r>
            <w:r>
              <w:rPr>
                <w:rFonts w:hint="eastAsia" w:ascii="微软雅黑" w:hAnsi="微软雅黑" w:eastAsia="微软雅黑" w:cs="微软雅黑"/>
                <w:color w:val="0000FF"/>
                <w:kern w:val="0"/>
                <w:sz w:val="21"/>
                <w:szCs w:val="21"/>
                <w:lang w:eastAsia="zh-CN"/>
              </w:rPr>
              <w:t>；</w:t>
            </w:r>
          </w:p>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0000FF"/>
                <w:kern w:val="0"/>
                <w:sz w:val="21"/>
                <w:szCs w:val="21"/>
                <w:lang w:eastAsia="zh-CN"/>
              </w:rPr>
            </w:pPr>
            <w:r>
              <w:rPr>
                <w:rFonts w:hint="eastAsia" w:ascii="微软雅黑" w:hAnsi="微软雅黑" w:eastAsia="微软雅黑" w:cs="微软雅黑"/>
                <w:color w:val="0000FF"/>
                <w:kern w:val="0"/>
                <w:sz w:val="21"/>
                <w:szCs w:val="21"/>
                <w:lang w:val="en-US" w:eastAsia="zh-CN"/>
              </w:rPr>
              <w:t>（2）获得的高级职称包含工程类、会计类及审计类职称的得3分；</w:t>
            </w:r>
          </w:p>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0000FF"/>
                <w:kern w:val="0"/>
                <w:sz w:val="21"/>
                <w:szCs w:val="21"/>
                <w:lang w:val="en-US" w:eastAsia="zh-CN"/>
              </w:rPr>
              <w:t>（3）具有</w:t>
            </w:r>
            <w:r>
              <w:rPr>
                <w:rFonts w:hint="eastAsia" w:ascii="微软雅黑" w:hAnsi="微软雅黑" w:eastAsia="微软雅黑" w:cs="微软雅黑"/>
                <w:color w:val="0000FF"/>
                <w:sz w:val="21"/>
                <w:szCs w:val="21"/>
                <w:u w:val="none"/>
                <w:lang w:val="en-US" w:eastAsia="zh-CN"/>
              </w:rPr>
              <w:t>中国招标投标</w:t>
            </w:r>
            <w:r>
              <w:rPr>
                <w:rFonts w:hint="eastAsia" w:ascii="微软雅黑" w:hAnsi="微软雅黑" w:eastAsia="微软雅黑" w:cs="微软雅黑"/>
                <w:color w:val="0000FF"/>
                <w:kern w:val="0"/>
                <w:sz w:val="21"/>
                <w:szCs w:val="21"/>
                <w:u w:val="none"/>
                <w:lang w:val="en-US" w:eastAsia="zh-CN"/>
              </w:rPr>
              <w:t>协会颁发的</w:t>
            </w:r>
            <w:r>
              <w:rPr>
                <w:rFonts w:hint="eastAsia" w:ascii="微软雅黑" w:hAnsi="微软雅黑" w:eastAsia="微软雅黑" w:cs="微软雅黑"/>
                <w:color w:val="0000FF"/>
                <w:kern w:val="0"/>
                <w:sz w:val="21"/>
                <w:szCs w:val="21"/>
              </w:rPr>
              <w:t>招标采购人员专业能力评价证书</w:t>
            </w:r>
            <w:r>
              <w:rPr>
                <w:rFonts w:hint="eastAsia" w:ascii="微软雅黑" w:hAnsi="微软雅黑" w:eastAsia="微软雅黑" w:cs="微软雅黑"/>
                <w:color w:val="0000FF"/>
                <w:kern w:val="0"/>
                <w:sz w:val="21"/>
                <w:szCs w:val="21"/>
                <w:u w:val="none"/>
                <w:lang w:eastAsia="zh-CN"/>
              </w:rPr>
              <w:t>（</w:t>
            </w:r>
            <w:r>
              <w:rPr>
                <w:rFonts w:hint="eastAsia" w:ascii="微软雅黑" w:hAnsi="微软雅黑" w:eastAsia="微软雅黑" w:cs="微软雅黑"/>
                <w:color w:val="0000FF"/>
                <w:kern w:val="0"/>
                <w:sz w:val="21"/>
                <w:szCs w:val="21"/>
                <w:u w:val="none"/>
                <w:lang w:val="en-US" w:eastAsia="zh-CN"/>
              </w:rPr>
              <w:t>高级）</w:t>
            </w:r>
            <w:r>
              <w:rPr>
                <w:rFonts w:hint="eastAsia" w:ascii="微软雅黑" w:hAnsi="微软雅黑" w:eastAsia="微软雅黑" w:cs="微软雅黑"/>
                <w:color w:val="0000FF"/>
                <w:sz w:val="21"/>
                <w:szCs w:val="21"/>
                <w:lang w:val="en-US" w:eastAsia="zh-CN"/>
              </w:rPr>
              <w:t>的</w:t>
            </w:r>
            <w:r>
              <w:rPr>
                <w:rFonts w:hint="eastAsia" w:ascii="微软雅黑" w:hAnsi="微软雅黑" w:eastAsia="微软雅黑" w:cs="微软雅黑"/>
                <w:color w:val="0000FF"/>
                <w:kern w:val="0"/>
                <w:sz w:val="21"/>
                <w:szCs w:val="21"/>
              </w:rPr>
              <w:t>得</w:t>
            </w:r>
            <w:r>
              <w:rPr>
                <w:rFonts w:hint="eastAsia" w:ascii="微软雅黑" w:hAnsi="微软雅黑" w:eastAsia="微软雅黑" w:cs="微软雅黑"/>
                <w:color w:val="0000FF"/>
                <w:sz w:val="21"/>
                <w:szCs w:val="21"/>
                <w:lang w:val="en-US" w:eastAsia="zh-CN"/>
              </w:rPr>
              <w:t>3</w:t>
            </w:r>
            <w:r>
              <w:rPr>
                <w:rFonts w:hint="eastAsia" w:ascii="微软雅黑" w:hAnsi="微软雅黑" w:eastAsia="微软雅黑" w:cs="微软雅黑"/>
                <w:color w:val="0000FF"/>
                <w:kern w:val="0"/>
                <w:sz w:val="21"/>
                <w:szCs w:val="21"/>
              </w:rPr>
              <w:t>分</w:t>
            </w:r>
            <w:r>
              <w:rPr>
                <w:rFonts w:hint="eastAsia" w:ascii="微软雅黑" w:hAnsi="微软雅黑" w:eastAsia="微软雅黑" w:cs="微软雅黑"/>
                <w:color w:val="0000FF"/>
                <w:sz w:val="21"/>
                <w:szCs w:val="21"/>
                <w:lang w:val="en-US" w:eastAsia="zh-CN"/>
              </w:rPr>
              <w:t>。</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color w:val="0000FF"/>
                <w:sz w:val="21"/>
                <w:szCs w:val="21"/>
                <w:lang w:val="en-US" w:eastAsia="zh-CN"/>
              </w:rPr>
              <w:t>该项最多得12分，未提供证明材料的不得分。</w:t>
            </w:r>
          </w:p>
        </w:tc>
        <w:tc>
          <w:tcPr>
            <w:tcW w:w="153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1.提供劳动合同（合同须能体现工作年限及以上招标代理行业从业经验）并盖章确认。</w:t>
            </w:r>
          </w:p>
          <w:p>
            <w:pPr>
              <w:keepNext w:val="0"/>
              <w:keepLines w:val="0"/>
              <w:suppressLineNumbers w:val="0"/>
              <w:spacing w:before="0" w:beforeAutospacing="0" w:after="0" w:afterAutospacing="0"/>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2.职称、资格证书、荣誉证书均须提供证书复印件作为证明材料，并盖章确认</w:t>
            </w:r>
            <w:r>
              <w:rPr>
                <w:rFonts w:hint="default" w:ascii="微软雅黑" w:hAnsi="微软雅黑" w:eastAsia="微软雅黑" w:cs="微软雅黑"/>
                <w:sz w:val="21"/>
                <w:szCs w:val="21"/>
                <w:lang w:val="en-US" w:eastAsia="zh-CN"/>
              </w:rPr>
              <w:t>。</w:t>
            </w:r>
          </w:p>
        </w:tc>
      </w:tr>
      <w:tr>
        <w:tblPrEx>
          <w:tblCellMar>
            <w:top w:w="0" w:type="dxa"/>
            <w:left w:w="108" w:type="dxa"/>
            <w:bottom w:w="0" w:type="dxa"/>
            <w:right w:w="108" w:type="dxa"/>
          </w:tblCellMar>
        </w:tblPrEx>
        <w:trPr>
          <w:trHeight w:val="1329"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szCs w:val="20"/>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szCs w:val="20"/>
              </w:rPr>
            </w:pPr>
          </w:p>
        </w:tc>
        <w:tc>
          <w:tcPr>
            <w:tcW w:w="832" w:type="dxa"/>
            <w:vMerge w:val="continue"/>
            <w:tcBorders>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default"/>
                <w:szCs w:val="20"/>
              </w:rPr>
            </w:pP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0000FF"/>
                <w:sz w:val="21"/>
                <w:szCs w:val="21"/>
                <w:u w:val="none"/>
                <w:lang w:val="en-US" w:eastAsia="zh-CN"/>
              </w:rPr>
            </w:pPr>
            <w:r>
              <w:rPr>
                <w:rFonts w:hint="eastAsia" w:ascii="微软雅黑" w:hAnsi="微软雅黑" w:eastAsia="微软雅黑" w:cs="微软雅黑"/>
                <w:color w:val="0000FF"/>
                <w:sz w:val="21"/>
                <w:szCs w:val="21"/>
                <w:u w:val="none"/>
                <w:lang w:val="en-US" w:eastAsia="zh-CN"/>
              </w:rPr>
              <w:t>2.在满足资格要求的基础上，每有一个项目团队人员（项目团队负责人除外）从业3年及以上并具有全国注册造价工程师（或一级造价工程师）或律师资格证的得4分，最多得8分，未提供证明材料的不得分。</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注：同一人员同时具备全国注册造价工程师（或一级造价工程师）及律师资格证的，可同时计分。</w:t>
            </w:r>
          </w:p>
        </w:tc>
        <w:tc>
          <w:tcPr>
            <w:tcW w:w="153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p>
        </w:tc>
      </w:tr>
      <w:tr>
        <w:tblPrEx>
          <w:tblCellMar>
            <w:top w:w="0" w:type="dxa"/>
            <w:left w:w="108" w:type="dxa"/>
            <w:bottom w:w="0" w:type="dxa"/>
            <w:right w:w="108" w:type="dxa"/>
          </w:tblCellMar>
        </w:tblPrEx>
        <w:trPr>
          <w:trHeight w:val="960"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000000"/>
                <w:kern w:val="0"/>
                <w:sz w:val="21"/>
                <w:szCs w:val="21"/>
                <w:lang w:val="en-US" w:eastAsia="zh-CN"/>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p>
        </w:tc>
        <w:tc>
          <w:tcPr>
            <w:tcW w:w="832"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000000"/>
                <w:kern w:val="0"/>
                <w:sz w:val="21"/>
                <w:szCs w:val="21"/>
                <w:lang w:val="en-US" w:eastAsia="zh-CN"/>
              </w:rPr>
            </w:pPr>
          </w:p>
        </w:tc>
        <w:tc>
          <w:tcPr>
            <w:tcW w:w="58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在满足资格要求的基础上，拟派项目团队人员（项目负责人除外）每具有1个建安工程费在人民币1亿元（以项目可研批复金额、概算批复金额或投资备案金额为准）及以上项目代理业绩的，得2分，最多得10分，未提供证明材料的不得分。</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提供合同复印件并盖章确认，合同内容须体现建安工程费用及代理机构参与人员。</w:t>
            </w:r>
          </w:p>
        </w:tc>
      </w:tr>
      <w:tr>
        <w:tblPrEx>
          <w:tblCellMar>
            <w:top w:w="0" w:type="dxa"/>
            <w:left w:w="108" w:type="dxa"/>
            <w:bottom w:w="0" w:type="dxa"/>
            <w:right w:w="108" w:type="dxa"/>
          </w:tblCellMar>
        </w:tblPrEx>
        <w:trPr>
          <w:trHeight w:val="0"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4</w:t>
            </w:r>
          </w:p>
        </w:tc>
        <w:tc>
          <w:tcPr>
            <w:tcW w:w="10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商务部分</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tc>
        <w:tc>
          <w:tcPr>
            <w:tcW w:w="83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业绩</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25</w:t>
            </w:r>
            <w:r>
              <w:rPr>
                <w:rFonts w:hint="eastAsia" w:ascii="微软雅黑" w:hAnsi="微软雅黑" w:eastAsia="微软雅黑" w:cs="微软雅黑"/>
                <w:sz w:val="21"/>
                <w:szCs w:val="21"/>
              </w:rPr>
              <w:t>分</w:t>
            </w: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1.</w:t>
            </w:r>
            <w:bookmarkStart w:id="114" w:name="OLE_LINK2"/>
            <w:r>
              <w:rPr>
                <w:rFonts w:hint="eastAsia" w:ascii="微软雅黑" w:hAnsi="微软雅黑" w:eastAsia="微软雅黑" w:cs="微软雅黑"/>
                <w:color w:val="auto"/>
                <w:sz w:val="21"/>
                <w:szCs w:val="21"/>
                <w:u w:val="none"/>
                <w:lang w:val="en-US" w:eastAsia="zh-CN"/>
              </w:rPr>
              <w:t>2023年1月1日起至投标文件递交截止时间，投标人每有一个建安工程费在人民币10亿元（以项目可研批复金额、概算批复金额或投资备案金额为准）及以上</w:t>
            </w:r>
            <w:r>
              <w:rPr>
                <w:rFonts w:hint="eastAsia" w:ascii="微软雅黑" w:hAnsi="微软雅黑" w:eastAsia="微软雅黑" w:cs="微软雅黑"/>
                <w:color w:val="auto"/>
                <w:sz w:val="21"/>
                <w:szCs w:val="21"/>
                <w:u w:val="single"/>
                <w:lang w:val="en-US" w:eastAsia="zh-CN"/>
              </w:rPr>
              <w:t>公共建筑</w:t>
            </w:r>
            <w:r>
              <w:rPr>
                <w:rFonts w:hint="eastAsia" w:ascii="微软雅黑" w:hAnsi="微软雅黑" w:eastAsia="微软雅黑" w:cs="微软雅黑"/>
                <w:color w:val="auto"/>
                <w:sz w:val="21"/>
                <w:szCs w:val="21"/>
                <w:u w:val="none"/>
                <w:lang w:val="en-US" w:eastAsia="zh-CN"/>
              </w:rPr>
              <w:t>施工（含EPC）项目代理业绩的得2分，每有一个建安工程费在人民币10亿元（以项目可研批复金额、概算批复金额或投资备案金额为准）及以上</w:t>
            </w:r>
            <w:r>
              <w:rPr>
                <w:rFonts w:hint="eastAsia" w:ascii="微软雅黑" w:hAnsi="微软雅黑" w:eastAsia="微软雅黑" w:cs="微软雅黑"/>
                <w:color w:val="auto"/>
                <w:sz w:val="21"/>
                <w:szCs w:val="21"/>
                <w:u w:val="single"/>
                <w:lang w:val="en-US" w:eastAsia="zh-CN"/>
              </w:rPr>
              <w:t>卫生建筑</w:t>
            </w:r>
            <w:r>
              <w:rPr>
                <w:rFonts w:hint="eastAsia" w:ascii="微软雅黑" w:hAnsi="微软雅黑" w:eastAsia="微软雅黑" w:cs="微软雅黑"/>
                <w:color w:val="auto"/>
                <w:sz w:val="21"/>
                <w:szCs w:val="21"/>
                <w:u w:val="none"/>
                <w:lang w:val="en-US" w:eastAsia="zh-CN"/>
              </w:rPr>
              <w:t>施工项目代理业绩的得3分，最多得15分，未提供证明材料的不得分。</w:t>
            </w:r>
            <w:bookmarkEnd w:id="114"/>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2.2023年1月1日起至投标文件递交截止时间，投标人每具有一个重庆市公立医疗机构（三级及以上）工程建设项目委托招标代理服务合同（合同期不短于1年）的得2分，最多得10分，未提供证明材料的不得分。</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注：</w:t>
            </w:r>
            <w:r>
              <w:rPr>
                <w:rFonts w:hint="eastAsia" w:ascii="微软雅黑" w:hAnsi="微软雅黑" w:eastAsia="微软雅黑" w:cs="微软雅黑"/>
                <w:color w:val="auto"/>
                <w:sz w:val="21"/>
                <w:szCs w:val="21"/>
                <w:u w:val="single"/>
                <w:lang w:val="en-US" w:eastAsia="zh-CN"/>
              </w:rPr>
              <w:t>公共建筑</w:t>
            </w:r>
            <w:r>
              <w:rPr>
                <w:rFonts w:hint="eastAsia" w:ascii="微软雅黑" w:hAnsi="微软雅黑" w:eastAsia="微软雅黑" w:cs="微软雅黑"/>
                <w:color w:val="auto"/>
                <w:sz w:val="21"/>
                <w:szCs w:val="21"/>
                <w:u w:val="none"/>
                <w:lang w:val="en-US" w:eastAsia="zh-CN"/>
              </w:rPr>
              <w:t>是指办公建筑（包括写字楼、政府部门办公楼等），商业建筑（如商场、金融建筑等），旅游建筑（如酒店、娱乐场所等），科教文卫建筑（包括文化、教育、科研、医疗、卫生、体育建筑等），通信建筑（如邮电、通讯、数据中心、广播用房）、交通运输类建筑（如机场、高铁站、火车站、地铁、汽车站、冷藏库等）以及其他（派出所、仓库、拘留所）等。</w:t>
            </w:r>
          </w:p>
          <w:p>
            <w:pPr>
              <w:keepNext w:val="0"/>
              <w:keepLines w:val="0"/>
              <w:numPr>
                <w:ilvl w:val="0"/>
                <w:numId w:val="0"/>
              </w:numPr>
              <w:suppressLineNumbers w:val="0"/>
              <w:spacing w:before="0" w:beforeAutospacing="0" w:after="0" w:afterAutospacing="0"/>
              <w:ind w:left="0" w:right="0" w:rightChars="0"/>
              <w:rPr>
                <w:rFonts w:hint="default"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w:t>
            </w:r>
            <w:r>
              <w:rPr>
                <w:rFonts w:hint="eastAsia" w:ascii="微软雅黑" w:hAnsi="微软雅黑" w:eastAsia="微软雅黑" w:cs="微软雅黑"/>
                <w:color w:val="auto"/>
                <w:sz w:val="21"/>
                <w:szCs w:val="21"/>
                <w:u w:val="single"/>
                <w:lang w:val="en-US" w:eastAsia="zh-CN"/>
              </w:rPr>
              <w:t>卫生建筑</w:t>
            </w:r>
            <w:r>
              <w:rPr>
                <w:rFonts w:hint="eastAsia" w:ascii="微软雅黑" w:hAnsi="微软雅黑" w:eastAsia="微软雅黑" w:cs="微软雅黑"/>
                <w:color w:val="auto"/>
                <w:sz w:val="21"/>
                <w:szCs w:val="21"/>
                <w:u w:val="none"/>
                <w:lang w:val="en-US" w:eastAsia="zh-CN"/>
              </w:rPr>
              <w:t>是指各类医疗机构的病房、医技楼、门诊部、保健站、卫生所、化验室、药房、病案室、太平间、医疗辅助用房等房屋。</w:t>
            </w:r>
          </w:p>
        </w:tc>
        <w:tc>
          <w:tcPr>
            <w:tcW w:w="153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提供合同复印件或中标公告截图作为证明材料并盖章确认，证明材料须体现所响应条款内容。</w:t>
            </w:r>
          </w:p>
        </w:tc>
      </w:tr>
      <w:tr>
        <w:tblPrEx>
          <w:tblCellMar>
            <w:top w:w="0" w:type="dxa"/>
            <w:left w:w="108" w:type="dxa"/>
            <w:bottom w:w="0" w:type="dxa"/>
            <w:right w:w="108" w:type="dxa"/>
          </w:tblCellMar>
        </w:tblPrEx>
        <w:trPr>
          <w:trHeight w:val="1450" w:hRule="atLeast"/>
        </w:trPr>
        <w:tc>
          <w:tcPr>
            <w:tcW w:w="734" w:type="dxa"/>
            <w:vMerge w:val="continue"/>
            <w:tcBorders>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1098" w:type="dxa"/>
            <w:vMerge w:val="continue"/>
            <w:tcBorders>
              <w:left w:val="single" w:color="000000"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p>
        </w:tc>
        <w:tc>
          <w:tcPr>
            <w:tcW w:w="83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行业荣誉</w:t>
            </w:r>
          </w:p>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5分</w:t>
            </w:r>
          </w:p>
        </w:tc>
        <w:tc>
          <w:tcPr>
            <w:tcW w:w="5875" w:type="dxa"/>
            <w:tcBorders>
              <w:top w:val="single" w:color="000000" w:sz="4" w:space="0"/>
              <w:left w:val="single" w:color="auto" w:sz="4" w:space="0"/>
              <w:bottom w:val="single" w:color="000000" w:sz="4" w:space="0"/>
              <w:right w:val="single" w:color="auto" w:sz="4" w:space="0"/>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3.2023年1月1日起至投标文件递交截止时间，在中国招标投标协会组织的“全国招标代理机构诚信创优活动”中，获得过“AAAAA先进单位”称号的得5分，获得过“AAAA先进单位”称号的得2分。</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该项最多得5分，未获得上述两个称号或未提供证明材料的不得分。</w:t>
            </w:r>
          </w:p>
          <w:p>
            <w:pPr>
              <w:keepNext w:val="0"/>
              <w:keepLines w:val="0"/>
              <w:numPr>
                <w:ilvl w:val="0"/>
                <w:numId w:val="0"/>
              </w:numPr>
              <w:suppressLineNumbers w:val="0"/>
              <w:spacing w:before="0" w:beforeAutospacing="0" w:after="0" w:afterAutospacing="0"/>
              <w:ind w:left="0" w:right="0" w:rightChars="0"/>
              <w:rPr>
                <w:rFonts w:hint="default"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注：同一投标人在不同时期获得上述两个称号不重复计分。</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提供相关证书复印件</w:t>
            </w:r>
            <w:bookmarkStart w:id="115" w:name="OLE_LINK1"/>
            <w:r>
              <w:rPr>
                <w:rFonts w:hint="eastAsia" w:ascii="微软雅黑" w:hAnsi="微软雅黑" w:eastAsia="微软雅黑" w:cs="微软雅黑"/>
                <w:color w:val="000000"/>
                <w:kern w:val="0"/>
                <w:sz w:val="21"/>
                <w:szCs w:val="21"/>
                <w:lang w:val="en-US" w:eastAsia="zh-CN"/>
              </w:rPr>
              <w:t>作为证明材料，并盖章确认。</w:t>
            </w:r>
            <w:bookmarkEnd w:id="115"/>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99"/>
      <w:bookmarkEnd w:id="100"/>
      <w:bookmarkEnd w:id="101"/>
      <w:bookmarkEnd w:id="112"/>
      <w:bookmarkEnd w:id="11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6" w:name="_Toc10687"/>
      <w:bookmarkStart w:id="117" w:name="_Toc106030891"/>
      <w:bookmarkStart w:id="118" w:name="_Toc76462336"/>
      <w:bookmarkStart w:id="119" w:name="_Toc15885"/>
      <w:bookmarkStart w:id="120"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2"/>
      <w:bookmarkEnd w:id="103"/>
      <w:bookmarkEnd w:id="116"/>
      <w:bookmarkEnd w:id="117"/>
      <w:bookmarkEnd w:id="118"/>
      <w:r>
        <w:rPr>
          <w:rFonts w:hint="eastAsia" w:ascii="微软雅黑" w:hAnsi="微软雅黑" w:eastAsia="微软雅黑" w:cs="微软雅黑"/>
          <w:sz w:val="24"/>
          <w:lang w:val="en-US" w:eastAsia="zh-CN"/>
        </w:rPr>
        <w:t>废标条款</w:t>
      </w:r>
      <w:bookmarkEnd w:id="119"/>
      <w:bookmarkEnd w:id="12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21" w:name="_Toc29948"/>
      <w:bookmarkStart w:id="122" w:name="_Toc76462337"/>
      <w:bookmarkStart w:id="123" w:name="_Toc102227313"/>
      <w:bookmarkStart w:id="124" w:name="_Toc106030892"/>
      <w:bookmarkStart w:id="125" w:name="_Toc19388"/>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1"/>
      <w:bookmarkEnd w:id="122"/>
      <w:bookmarkEnd w:id="123"/>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342913389"/>
      <w:bookmarkStart w:id="127" w:name="_Toc32169"/>
      <w:bookmarkStart w:id="128" w:name="_Toc26717"/>
      <w:bookmarkStart w:id="129" w:name="_Toc106030893"/>
      <w:bookmarkStart w:id="130" w:name="_Toc7646233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6"/>
      <w:bookmarkEnd w:id="127"/>
      <w:bookmarkEnd w:id="128"/>
      <w:bookmarkEnd w:id="129"/>
      <w:bookmarkEnd w:id="130"/>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342913391"/>
      <w:bookmarkStart w:id="132" w:name="_Toc76462339"/>
      <w:bookmarkStart w:id="133" w:name="_Toc106030894"/>
      <w:bookmarkStart w:id="134" w:name="_Toc15712"/>
      <w:bookmarkStart w:id="135" w:name="_Toc2947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1"/>
      <w:bookmarkEnd w:id="132"/>
      <w:bookmarkEnd w:id="133"/>
      <w:bookmarkEnd w:id="134"/>
      <w:bookmarkEnd w:id="13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6" w:name="_Toc318159160"/>
      <w:bookmarkStart w:id="137" w:name="_Toc318166429"/>
      <w:bookmarkStart w:id="138" w:name="_Toc318159780"/>
      <w:bookmarkStart w:id="139" w:name="_Toc318159349"/>
    </w:p>
    <w:bookmarkEnd w:id="136"/>
    <w:bookmarkEnd w:id="137"/>
    <w:bookmarkEnd w:id="138"/>
    <w:bookmarkEnd w:id="13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106030895"/>
      <w:bookmarkStart w:id="141" w:name="_Toc23630"/>
      <w:bookmarkStart w:id="142" w:name="_Toc179714297"/>
      <w:bookmarkStart w:id="143" w:name="_Toc102227318"/>
      <w:bookmarkStart w:id="144" w:name="_Toc76462340"/>
      <w:bookmarkStart w:id="145" w:name="_Toc342913392"/>
      <w:bookmarkStart w:id="146" w:name="_Toc2600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40"/>
      <w:bookmarkEnd w:id="141"/>
      <w:bookmarkEnd w:id="142"/>
      <w:bookmarkEnd w:id="143"/>
      <w:bookmarkEnd w:id="144"/>
      <w:bookmarkEnd w:id="145"/>
      <w:bookmarkEnd w:id="14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106030896"/>
      <w:bookmarkStart w:id="148" w:name="_Toc6435"/>
      <w:bookmarkStart w:id="149" w:name="_Toc76462341"/>
      <w:bookmarkStart w:id="150" w:name="_Toc16798"/>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7"/>
      <w:bookmarkEnd w:id="148"/>
      <w:bookmarkEnd w:id="149"/>
      <w:bookmarkEnd w:id="15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106030897"/>
      <w:bookmarkStart w:id="152" w:name="_Toc76462342"/>
      <w:bookmarkStart w:id="153" w:name="_Toc21532"/>
      <w:bookmarkStart w:id="154" w:name="_Toc102227321"/>
      <w:bookmarkStart w:id="155" w:name="_Toc30288"/>
      <w:bookmarkStart w:id="156" w:name="_Toc342913395"/>
      <w:r>
        <w:rPr>
          <w:rFonts w:hint="eastAsia" w:ascii="微软雅黑" w:hAnsi="微软雅黑" w:eastAsia="微软雅黑" w:cs="微软雅黑"/>
          <w:sz w:val="24"/>
        </w:rPr>
        <w:t>五、成交通知</w:t>
      </w:r>
      <w:bookmarkEnd w:id="151"/>
      <w:bookmarkEnd w:id="152"/>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106030898"/>
      <w:bookmarkStart w:id="158" w:name="_Toc5511"/>
      <w:bookmarkStart w:id="159" w:name="_Toc76462343"/>
      <w:bookmarkStart w:id="160" w:name="_Toc2144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7"/>
      <w:bookmarkEnd w:id="158"/>
      <w:bookmarkEnd w:id="159"/>
      <w:bookmarkEnd w:id="16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1" w:name="_Toc106030899"/>
      <w:bookmarkStart w:id="162" w:name="_Toc76462344"/>
      <w:bookmarkStart w:id="163" w:name="_Toc2833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4"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1"/>
      <w:bookmarkEnd w:id="162"/>
      <w:bookmarkEnd w:id="163"/>
      <w:bookmarkStart w:id="165" w:name="_Toc102227322"/>
      <w:bookmarkStart w:id="166" w:name="_Toc342913396"/>
      <w:bookmarkStart w:id="167" w:name="_Toc3372"/>
      <w:bookmarkStart w:id="168" w:name="_Toc106030901"/>
      <w:bookmarkStart w:id="169" w:name="_Toc76462346"/>
      <w:bookmarkStart w:id="170" w:name="_Toc11641055"/>
      <w:bookmarkStart w:id="171" w:name="_Toc12789059"/>
      <w:r>
        <w:rPr>
          <w:rFonts w:hint="eastAsia" w:ascii="微软雅黑" w:hAnsi="微软雅黑" w:eastAsia="微软雅黑" w:cs="微软雅黑"/>
          <w:color w:val="auto"/>
          <w:sz w:val="24"/>
        </w:rPr>
        <w:t>签订</w:t>
      </w:r>
      <w:bookmarkEnd w:id="165"/>
      <w:r>
        <w:rPr>
          <w:rFonts w:hint="eastAsia" w:ascii="微软雅黑" w:hAnsi="微软雅黑" w:eastAsia="微软雅黑" w:cs="微软雅黑"/>
          <w:color w:val="auto"/>
          <w:sz w:val="24"/>
        </w:rPr>
        <w:t>合同</w:t>
      </w:r>
      <w:bookmarkEnd w:id="164"/>
      <w:bookmarkEnd w:id="166"/>
      <w:bookmarkEnd w:id="167"/>
      <w:bookmarkEnd w:id="168"/>
      <w:bookmarkEnd w:id="16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70"/>
      <w:bookmarkEnd w:id="171"/>
    </w:p>
    <w:p>
      <w:pPr>
        <w:pStyle w:val="4"/>
        <w:spacing w:before="200" w:after="200" w:line="240" w:lineRule="auto"/>
        <w:jc w:val="center"/>
        <w:rPr>
          <w:rFonts w:hint="eastAsia" w:ascii="微软雅黑" w:hAnsi="微软雅黑" w:eastAsia="微软雅黑" w:cs="微软雅黑"/>
          <w:b/>
          <w:sz w:val="44"/>
          <w:szCs w:val="20"/>
        </w:rPr>
      </w:pPr>
      <w:bookmarkStart w:id="172" w:name="_Hlt41879464"/>
      <w:bookmarkEnd w:id="172"/>
      <w:bookmarkStart w:id="173" w:name="_Toc106030905"/>
      <w:bookmarkStart w:id="174" w:name="_Toc76462349"/>
      <w:bookmarkStart w:id="175" w:name="_Toc13524"/>
      <w:bookmarkStart w:id="176" w:name="_Toc27984"/>
      <w:r>
        <w:rPr>
          <w:rFonts w:hint="eastAsia" w:ascii="微软雅黑" w:hAnsi="微软雅黑" w:eastAsia="微软雅黑" w:cs="微软雅黑"/>
          <w:b/>
          <w:sz w:val="44"/>
          <w:szCs w:val="20"/>
        </w:rPr>
        <w:t>第六篇  响应文件编制要求</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五、其他资料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CA6D9F"/>
    <w:multiLevelType w:val="singleLevel"/>
    <w:tmpl w:val="EECA6D9F"/>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61218CE"/>
    <w:rsid w:val="06FE671E"/>
    <w:rsid w:val="079B568B"/>
    <w:rsid w:val="07A30BF9"/>
    <w:rsid w:val="07F103E0"/>
    <w:rsid w:val="08183809"/>
    <w:rsid w:val="092E6FC0"/>
    <w:rsid w:val="099E0306"/>
    <w:rsid w:val="09A746B3"/>
    <w:rsid w:val="0A823A37"/>
    <w:rsid w:val="0B2471DE"/>
    <w:rsid w:val="0B4077B6"/>
    <w:rsid w:val="0BB87E47"/>
    <w:rsid w:val="0BC54681"/>
    <w:rsid w:val="0BE364E6"/>
    <w:rsid w:val="0CB4432A"/>
    <w:rsid w:val="0D1F249B"/>
    <w:rsid w:val="0D6266C4"/>
    <w:rsid w:val="0DF26CD2"/>
    <w:rsid w:val="0E691BE1"/>
    <w:rsid w:val="0E727B5D"/>
    <w:rsid w:val="0ECC30A7"/>
    <w:rsid w:val="104363AE"/>
    <w:rsid w:val="11C02D44"/>
    <w:rsid w:val="147A5E14"/>
    <w:rsid w:val="15935DB5"/>
    <w:rsid w:val="15BB3449"/>
    <w:rsid w:val="16024CD6"/>
    <w:rsid w:val="17351C20"/>
    <w:rsid w:val="178B1D79"/>
    <w:rsid w:val="17A1211B"/>
    <w:rsid w:val="18247EA8"/>
    <w:rsid w:val="18ED7A84"/>
    <w:rsid w:val="19255AF5"/>
    <w:rsid w:val="193B151F"/>
    <w:rsid w:val="19425287"/>
    <w:rsid w:val="1A7E6296"/>
    <w:rsid w:val="1AAE78A1"/>
    <w:rsid w:val="1AC5734F"/>
    <w:rsid w:val="1C5F6A76"/>
    <w:rsid w:val="1C766650"/>
    <w:rsid w:val="1C8D0319"/>
    <w:rsid w:val="1CA728DC"/>
    <w:rsid w:val="1CC31343"/>
    <w:rsid w:val="1F0D01CA"/>
    <w:rsid w:val="1F9008B2"/>
    <w:rsid w:val="20055776"/>
    <w:rsid w:val="20A37C92"/>
    <w:rsid w:val="214E5D0B"/>
    <w:rsid w:val="21864056"/>
    <w:rsid w:val="22655A2F"/>
    <w:rsid w:val="23C71C0F"/>
    <w:rsid w:val="2486441F"/>
    <w:rsid w:val="24E61AAB"/>
    <w:rsid w:val="254C6FC4"/>
    <w:rsid w:val="25E7798B"/>
    <w:rsid w:val="265B1B40"/>
    <w:rsid w:val="2A3B6774"/>
    <w:rsid w:val="2AA01F44"/>
    <w:rsid w:val="2CD7370E"/>
    <w:rsid w:val="2D5141FA"/>
    <w:rsid w:val="2DDC15F8"/>
    <w:rsid w:val="2E2D3EDF"/>
    <w:rsid w:val="2F8E2B89"/>
    <w:rsid w:val="300C58E0"/>
    <w:rsid w:val="30895BF5"/>
    <w:rsid w:val="32C66882"/>
    <w:rsid w:val="332D1E43"/>
    <w:rsid w:val="33564527"/>
    <w:rsid w:val="35397720"/>
    <w:rsid w:val="378E072C"/>
    <w:rsid w:val="37A85EFC"/>
    <w:rsid w:val="38141CAD"/>
    <w:rsid w:val="38FE6730"/>
    <w:rsid w:val="396877A1"/>
    <w:rsid w:val="39AA75C6"/>
    <w:rsid w:val="39C353F8"/>
    <w:rsid w:val="3ACE5D4F"/>
    <w:rsid w:val="3C0E31FC"/>
    <w:rsid w:val="3C55524B"/>
    <w:rsid w:val="3CD2331B"/>
    <w:rsid w:val="3DF6488D"/>
    <w:rsid w:val="3E15285A"/>
    <w:rsid w:val="3EEC6CD3"/>
    <w:rsid w:val="3F1C71CA"/>
    <w:rsid w:val="3FEE02A2"/>
    <w:rsid w:val="3FFA0903"/>
    <w:rsid w:val="4000052B"/>
    <w:rsid w:val="406334F2"/>
    <w:rsid w:val="40787A26"/>
    <w:rsid w:val="409F14A1"/>
    <w:rsid w:val="40D95636"/>
    <w:rsid w:val="415F6EA3"/>
    <w:rsid w:val="41B20BF4"/>
    <w:rsid w:val="42395B6E"/>
    <w:rsid w:val="423A7D1B"/>
    <w:rsid w:val="4371698F"/>
    <w:rsid w:val="44D57484"/>
    <w:rsid w:val="45236DFE"/>
    <w:rsid w:val="452C7897"/>
    <w:rsid w:val="45AB16BA"/>
    <w:rsid w:val="467C59FB"/>
    <w:rsid w:val="479F10AA"/>
    <w:rsid w:val="48794403"/>
    <w:rsid w:val="487A6880"/>
    <w:rsid w:val="494C6B8D"/>
    <w:rsid w:val="495312E8"/>
    <w:rsid w:val="49595D88"/>
    <w:rsid w:val="497B7CB3"/>
    <w:rsid w:val="4A417F22"/>
    <w:rsid w:val="4AEC1DD8"/>
    <w:rsid w:val="4B2D12E0"/>
    <w:rsid w:val="4B82758D"/>
    <w:rsid w:val="4BEB6B31"/>
    <w:rsid w:val="4D4E307F"/>
    <w:rsid w:val="4DD36371"/>
    <w:rsid w:val="4E1E28EC"/>
    <w:rsid w:val="4E7E3BEB"/>
    <w:rsid w:val="4F070047"/>
    <w:rsid w:val="4F3C244F"/>
    <w:rsid w:val="4F5A128A"/>
    <w:rsid w:val="4FF705C0"/>
    <w:rsid w:val="5115115D"/>
    <w:rsid w:val="512E1C35"/>
    <w:rsid w:val="521E4A24"/>
    <w:rsid w:val="52CE453E"/>
    <w:rsid w:val="52D92ACB"/>
    <w:rsid w:val="52D93D20"/>
    <w:rsid w:val="5331413B"/>
    <w:rsid w:val="53B4776F"/>
    <w:rsid w:val="53DF1E3A"/>
    <w:rsid w:val="55051FF5"/>
    <w:rsid w:val="558E730F"/>
    <w:rsid w:val="55D12ED5"/>
    <w:rsid w:val="569B202A"/>
    <w:rsid w:val="57857077"/>
    <w:rsid w:val="57EF5962"/>
    <w:rsid w:val="57FA0AD5"/>
    <w:rsid w:val="5875792F"/>
    <w:rsid w:val="591206FA"/>
    <w:rsid w:val="59534283"/>
    <w:rsid w:val="59592E2D"/>
    <w:rsid w:val="5AA16971"/>
    <w:rsid w:val="5B9C3E91"/>
    <w:rsid w:val="5BF33B96"/>
    <w:rsid w:val="5CA67F0E"/>
    <w:rsid w:val="5D8B7FF5"/>
    <w:rsid w:val="5DB83C1E"/>
    <w:rsid w:val="60405A91"/>
    <w:rsid w:val="607A6D16"/>
    <w:rsid w:val="60C15D40"/>
    <w:rsid w:val="60E05AE3"/>
    <w:rsid w:val="61625D90"/>
    <w:rsid w:val="65C328F3"/>
    <w:rsid w:val="66246E50"/>
    <w:rsid w:val="665F56FC"/>
    <w:rsid w:val="667E3DD4"/>
    <w:rsid w:val="68BD663A"/>
    <w:rsid w:val="692F74C0"/>
    <w:rsid w:val="69482C1A"/>
    <w:rsid w:val="696405DD"/>
    <w:rsid w:val="6AC17039"/>
    <w:rsid w:val="6B2E5407"/>
    <w:rsid w:val="6BB443B9"/>
    <w:rsid w:val="6C6752B2"/>
    <w:rsid w:val="6E0E5A3E"/>
    <w:rsid w:val="6F4859CD"/>
    <w:rsid w:val="6FE969BF"/>
    <w:rsid w:val="70003319"/>
    <w:rsid w:val="701245F9"/>
    <w:rsid w:val="71175C34"/>
    <w:rsid w:val="72F20905"/>
    <w:rsid w:val="744B2CC4"/>
    <w:rsid w:val="747D277F"/>
    <w:rsid w:val="74D70DF7"/>
    <w:rsid w:val="750950F5"/>
    <w:rsid w:val="750D16CF"/>
    <w:rsid w:val="76890286"/>
    <w:rsid w:val="76D6519D"/>
    <w:rsid w:val="771F5130"/>
    <w:rsid w:val="789F3DA6"/>
    <w:rsid w:val="78A52377"/>
    <w:rsid w:val="78EF15F1"/>
    <w:rsid w:val="79082185"/>
    <w:rsid w:val="7A6F77AB"/>
    <w:rsid w:val="7AAC4823"/>
    <w:rsid w:val="7B5B7497"/>
    <w:rsid w:val="7BD6204B"/>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basedOn w:val="1"/>
    <w:next w:val="1"/>
    <w:qFormat/>
    <w:uiPriority w:val="0"/>
    <w:pPr>
      <w:spacing w:line="360" w:lineRule="auto"/>
      <w:ind w:firstLine="420"/>
    </w:pPr>
    <w:rPr>
      <w:rFonts w:ascii="宋体" w:hAnsi="宋体"/>
      <w:sz w:val="24"/>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2"/>
    <w:basedOn w:val="24"/>
    <w:next w:val="1"/>
    <w:link w:val="79"/>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引用1"/>
    <w:basedOn w:val="1"/>
    <w:next w:val="1"/>
    <w:qFormat/>
    <w:uiPriority w:val="99"/>
    <w:rPr>
      <w:rFonts w:ascii="Calibri" w:hAnsi="Calibri"/>
      <w:i/>
      <w:iCs/>
      <w:color w:val="000000"/>
      <w:kern w:val="0"/>
      <w:sz w:val="22"/>
      <w:szCs w:val="20"/>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4"/>
    <w:qFormat/>
    <w:uiPriority w:val="0"/>
    <w:rPr>
      <w:rFonts w:ascii="Arial" w:hAnsi="Arial" w:eastAsia="黑体"/>
      <w:b/>
      <w:kern w:val="2"/>
      <w:sz w:val="32"/>
    </w:rPr>
  </w:style>
  <w:style w:type="character" w:customStyle="1" w:styleId="72">
    <w:name w:val="标题 3 Char"/>
    <w:link w:val="5"/>
    <w:qFormat/>
    <w:uiPriority w:val="0"/>
    <w:rPr>
      <w:rFonts w:eastAsia="宋体"/>
      <w:b/>
      <w:kern w:val="2"/>
      <w:sz w:val="32"/>
      <w:lang w:val="en-US" w:eastAsia="zh-CN"/>
    </w:rPr>
  </w:style>
  <w:style w:type="character" w:customStyle="1" w:styleId="73">
    <w:name w:val="批注文字 Char"/>
    <w:link w:val="20"/>
    <w:qFormat/>
    <w:uiPriority w:val="0"/>
    <w:rPr>
      <w:sz w:val="24"/>
    </w:rPr>
  </w:style>
  <w:style w:type="character" w:customStyle="1" w:styleId="74">
    <w:name w:val="正文文本缩进 Char"/>
    <w:link w:val="24"/>
    <w:qFormat/>
    <w:uiPriority w:val="0"/>
    <w:rPr>
      <w:kern w:val="2"/>
      <w:sz w:val="44"/>
    </w:rPr>
  </w:style>
  <w:style w:type="character" w:customStyle="1" w:styleId="75">
    <w:name w:val="日期 Char"/>
    <w:link w:val="33"/>
    <w:qFormat/>
    <w:uiPriority w:val="0"/>
    <w:rPr>
      <w:kern w:val="2"/>
      <w:sz w:val="28"/>
    </w:rPr>
  </w:style>
  <w:style w:type="character" w:customStyle="1" w:styleId="76">
    <w:name w:val="正文文本缩进 2 Char"/>
    <w:link w:val="34"/>
    <w:qFormat/>
    <w:uiPriority w:val="0"/>
    <w:rPr>
      <w:kern w:val="2"/>
      <w:sz w:val="28"/>
    </w:rPr>
  </w:style>
  <w:style w:type="character" w:customStyle="1" w:styleId="77">
    <w:name w:val="脚注文本 Char"/>
    <w:link w:val="41"/>
    <w:qFormat/>
    <w:uiPriority w:val="0"/>
    <w:rPr>
      <w:kern w:val="2"/>
      <w:sz w:val="18"/>
    </w:rPr>
  </w:style>
  <w:style w:type="character" w:customStyle="1" w:styleId="78">
    <w:name w:val="批注主题 Char"/>
    <w:link w:val="55"/>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5"/>
    <w:next w:val="2"/>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8"/>
    <w:qFormat/>
    <w:uiPriority w:val="0"/>
    <w:rPr>
      <w:rFonts w:ascii="宋体" w:hAnsi="Tahoma"/>
    </w:rPr>
  </w:style>
  <w:style w:type="paragraph" w:customStyle="1" w:styleId="14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17</Pages>
  <Words>3470</Words>
  <Characters>3642</Characters>
  <Lines>170</Lines>
  <Paragraphs>47</Paragraphs>
  <TotalTime>0</TotalTime>
  <ScaleCrop>false</ScaleCrop>
  <LinksUpToDate>false</LinksUpToDate>
  <CharactersWithSpaces>3768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2026-04-29T02:58:28Z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F987BA2D819A46AB918EF950F497F81B</vt:lpwstr>
  </property>
  <property fmtid="{D5CDD505-2E9C-101B-9397-08002B2CF9AE}" pid="4" name="KSOTemplateDocerSaveRecord">
    <vt:lpwstr>eyJoZGlkIjoiOTkyNWExNzI1YTY4YmQ0NzNmZDYzNDVhNTgyZmUwMzEiLCJ1c2VySWQiOiIxMjc4NTgxMjc5In0=</vt:lpwstr>
  </property>
</Properties>
</file>