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68"/>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8"/>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黑体" w:eastAsia="黑体"/>
          <w:sz w:val="32"/>
        </w:rPr>
      </w:pPr>
      <w:r>
        <w:rPr>
          <w:rFonts w:hint="eastAsia" w:ascii="方正黑体_GBK" w:hAnsi="宋体" w:eastAsia="方正黑体_GBK" w:cs="Times New Roman"/>
          <w:b w:val="0"/>
          <w:kern w:val="2"/>
          <w:sz w:val="130"/>
          <w:szCs w:val="130"/>
          <w:lang w:val="en-US" w:eastAsia="zh-CN" w:bidi="ar-SA"/>
        </w:rPr>
        <w:t xml:space="preserve">   </w:t>
      </w:r>
    </w:p>
    <w:p>
      <w:pPr>
        <w:pStyle w:val="69"/>
        <w:rPr>
          <w:rFonts w:hint="eastAsia" w:ascii="方正黑体_GBK" w:hAnsi="宋体" w:eastAsia="方正黑体_GBK" w:cs="Times New Roman"/>
          <w:b w:val="0"/>
          <w:kern w:val="2"/>
          <w:sz w:val="44"/>
          <w:szCs w:val="44"/>
          <w:lang w:val="en-US" w:eastAsia="zh-CN" w:bidi="ar-SA"/>
        </w:rPr>
      </w:pPr>
    </w:p>
    <w:p>
      <w:pPr>
        <w:spacing w:line="360" w:lineRule="auto"/>
        <w:ind w:firstLine="1440" w:firstLineChars="4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YKY230351</w:t>
      </w:r>
    </w:p>
    <w:p>
      <w:pPr>
        <w:spacing w:line="360" w:lineRule="auto"/>
        <w:ind w:firstLine="144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国家儿童健康与疾病临床医学研究</w:t>
      </w:r>
    </w:p>
    <w:p>
      <w:pPr>
        <w:spacing w:line="360" w:lineRule="auto"/>
        <w:ind w:firstLine="3240" w:firstLineChars="9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36"/>
          <w:szCs w:val="36"/>
          <w:u w:val="single"/>
          <w:lang w:val="en-US" w:eastAsia="zh-CN"/>
        </w:rPr>
        <w:t>中心宣传文化墙、宣传视频、宣传</w:t>
      </w:r>
    </w:p>
    <w:p>
      <w:pPr>
        <w:spacing w:line="360" w:lineRule="auto"/>
        <w:ind w:firstLine="3240" w:firstLineChars="900"/>
        <w:outlineLvl w:val="0"/>
        <w:rPr>
          <w:rFonts w:hint="default" w:ascii="方正小标宋_GBK" w:hAnsi="宋体" w:eastAsia="方正小标宋_GBK"/>
          <w:sz w:val="36"/>
          <w:szCs w:val="36"/>
          <w:lang w:val="en-US"/>
        </w:rPr>
      </w:pPr>
      <w:r>
        <w:rPr>
          <w:rFonts w:hint="eastAsia" w:ascii="方正小标宋_GBK" w:hAnsi="宋体" w:eastAsia="方正小标宋_GBK"/>
          <w:sz w:val="36"/>
          <w:szCs w:val="36"/>
          <w:u w:val="single"/>
          <w:lang w:val="en-US" w:eastAsia="zh-CN"/>
        </w:rPr>
        <w:t>物料设计制作</w:t>
      </w:r>
    </w:p>
    <w:p>
      <w:pPr>
        <w:spacing w:line="500" w:lineRule="exact"/>
        <w:jc w:val="center"/>
        <w:outlineLvl w:val="0"/>
        <w:rPr>
          <w:rFonts w:ascii="方正小标宋_GBK" w:eastAsia="方正小标宋_GBK"/>
          <w:sz w:val="36"/>
          <w:szCs w:val="36"/>
        </w:rPr>
      </w:pPr>
    </w:p>
    <w:p>
      <w:pPr>
        <w:pStyle w:val="23"/>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9</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_Toc30281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_Toc20304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_Toc20304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_Toc31013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_Toc31013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_Toc20076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_Toc20076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_Toc17191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_Toc17191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_Toc27172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_Toc27172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_Toc4244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项目服务需求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_Toc4244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一、项目基本概况介绍</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_Toc22703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_Toc29619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_Toc29619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_Toc9647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_Toc9647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二、报价方式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_Toc19879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lang w:val="en-US" w:eastAsia="zh-CN"/>
        </w:rPr>
        <w:t>本项目投标人可在投标现场进行第二次报价。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_Toc19879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_Toc12326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_Toc17027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_Toc17027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_Toc19214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_Toc19214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_Toc27379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_Toc13666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_Toc5035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_Toc19521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_Toc19521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_Toc17309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_Toc17309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_Toc26586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成交供应商</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_Toc26586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_Toc21281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_Toc25734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_Toc25734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_Toc25883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_Toc25883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_Toc31166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_Toc6821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_Toc6821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_Toc30124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_Toc30124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_Toc23760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_Toc27246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_Toc27246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_Toc13667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106030870"/>
      <w:bookmarkStart w:id="1" w:name="_Toc24037"/>
      <w:bookmarkStart w:id="2" w:name="_Toc11641050"/>
      <w:bookmarkStart w:id="3" w:name="_Toc12789052"/>
      <w:bookmarkStart w:id="4" w:name="_Toc30281"/>
      <w:bookmarkStart w:id="5" w:name="_Toc76462316"/>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微软雅黑" w:hAnsi="微软雅黑" w:eastAsia="微软雅黑" w:cs="微软雅黑"/>
          <w:sz w:val="28"/>
          <w:szCs w:val="20"/>
        </w:rPr>
      </w:pPr>
      <w:r>
        <w:rPr>
          <w:rFonts w:ascii="方正仿宋_GBK" w:hAnsi="宋体" w:eastAsia="方正仿宋_GBK"/>
          <w:sz w:val="24"/>
          <w:szCs w:val="24"/>
        </w:rPr>
        <w:t xml:space="preserve">    </w:t>
      </w: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b w:val="0"/>
          <w:bCs/>
          <w:sz w:val="24"/>
          <w:szCs w:val="24"/>
          <w:u w:val="single"/>
          <w:lang w:val="en-US" w:eastAsia="zh-CN"/>
        </w:rPr>
        <w:t>国家儿童健康与疾病临床医学研究中心宣传文化墙、宣传视频、宣传物料设计制作</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3856"/>
      <w:bookmarkStart w:id="7" w:name="_Toc317775175"/>
      <w:bookmarkStart w:id="8" w:name="_Toc20304"/>
      <w:bookmarkStart w:id="9" w:name="_Toc106030871"/>
      <w:bookmarkStart w:id="10" w:name="_Toc313893526"/>
      <w:bookmarkStart w:id="11" w:name="_Toc76462317"/>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8"/>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2670"/>
        <w:gridCol w:w="1320"/>
        <w:gridCol w:w="1125"/>
        <w:gridCol w:w="1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61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9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val="en-US" w:eastAsia="zh-CN"/>
              </w:rPr>
              <w:t>最高限价（万元）</w:t>
            </w:r>
          </w:p>
        </w:tc>
        <w:tc>
          <w:tcPr>
            <w:tcW w:w="68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43"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成交供应商</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lang w:val="en-US" w:eastAsia="zh-CN"/>
              </w:rPr>
              <w:t>YYK230351</w:t>
            </w:r>
          </w:p>
        </w:tc>
        <w:tc>
          <w:tcPr>
            <w:tcW w:w="16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sz w:val="21"/>
                <w:szCs w:val="21"/>
                <w:lang w:val="en-US" w:eastAsia="zh-CN"/>
              </w:rPr>
              <w:t>国家儿童健康与疾病临床医学研究中心宣传文化墙、宣传视频、宣传物料设计制作</w:t>
            </w:r>
          </w:p>
        </w:tc>
        <w:tc>
          <w:tcPr>
            <w:tcW w:w="79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35</w:t>
            </w:r>
          </w:p>
        </w:tc>
        <w:tc>
          <w:tcPr>
            <w:tcW w:w="6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10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1013"/>
      <w:r>
        <w:rPr>
          <w:rFonts w:hint="eastAsia" w:ascii="微软雅黑" w:hAnsi="微软雅黑" w:eastAsia="微软雅黑" w:cs="微软雅黑"/>
          <w:sz w:val="24"/>
        </w:rPr>
        <w:t>二、</w:t>
      </w:r>
      <w:bookmarkEnd w:id="12"/>
      <w:bookmarkEnd w:id="13"/>
      <w:bookmarkEnd w:id="16"/>
      <w:bookmarkStart w:id="18" w:name="_Toc4480"/>
      <w:bookmarkStart w:id="19" w:name="_Toc76462319"/>
      <w:bookmarkStart w:id="20" w:name="_Toc106030873"/>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p>
    <w:p>
      <w:pPr>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sz w:val="24"/>
          <w:szCs w:val="24"/>
          <w:lang w:val="en-US" w:eastAsia="zh-CN"/>
        </w:rPr>
        <w:t>1.投标人</w:t>
      </w:r>
      <w:r>
        <w:rPr>
          <w:rFonts w:hint="eastAsia" w:ascii="微软雅黑" w:hAnsi="微软雅黑" w:eastAsia="微软雅黑" w:cs="微软雅黑"/>
          <w:color w:val="auto"/>
          <w:kern w:val="0"/>
          <w:sz w:val="24"/>
          <w:szCs w:val="24"/>
        </w:rPr>
        <w:t>营业执照的经营范围内应包含</w:t>
      </w:r>
      <w:r>
        <w:rPr>
          <w:rFonts w:hint="eastAsia" w:ascii="微软雅黑" w:hAnsi="微软雅黑" w:eastAsia="微软雅黑" w:cs="微软雅黑"/>
          <w:color w:val="auto"/>
          <w:kern w:val="0"/>
          <w:sz w:val="24"/>
          <w:szCs w:val="24"/>
          <w:lang w:val="en-US" w:eastAsia="zh-CN"/>
        </w:rPr>
        <w:t>平面设计、3D设计、园林设计、环境设计、建筑设计、印刷、喷绘、雕刻、广告灯箱及各类广告需要的灯光制作、视频拍摄、视频制作或相同类型的内容</w:t>
      </w:r>
      <w:r>
        <w:rPr>
          <w:rFonts w:hint="eastAsia" w:ascii="微软雅黑" w:hAnsi="微软雅黑" w:eastAsia="微软雅黑" w:cs="微软雅黑"/>
          <w:color w:val="auto"/>
          <w:kern w:val="0"/>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2.本项目允许联合体投标。</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1" w:name="_Toc76462320"/>
      <w:bookmarkStart w:id="22" w:name="_Toc27954"/>
      <w:bookmarkStart w:id="23" w:name="_Toc3285"/>
      <w:bookmarkStart w:id="24" w:name="_Toc106030874"/>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应通过重庆医科大学附属儿童医院电子招投标平台（zbb.chcmu.com）进行注册和报名。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1956"/>
      <w:bookmarkStart w:id="26" w:name="_Toc65660334"/>
      <w:bookmarkStart w:id="27" w:name="_Toc521053053"/>
      <w:bookmarkStart w:id="28" w:name="_Toc20076"/>
      <w:bookmarkStart w:id="29" w:name="_Toc12841"/>
      <w:bookmarkStart w:id="30" w:name="_Toc106034625"/>
      <w:bookmarkStart w:id="31" w:name="_Toc525047161"/>
      <w:bookmarkStart w:id="32" w:name="_Toc6178"/>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成交供应商</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发放后45个日历日内退还至项目报名时所填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rPr>
        <w:t>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成交供应商</w:t>
      </w:r>
      <w:r>
        <w:rPr>
          <w:rFonts w:hint="eastAsia" w:ascii="微软雅黑" w:hAnsi="微软雅黑" w:eastAsia="微软雅黑" w:cs="微软雅黑"/>
          <w:sz w:val="24"/>
          <w:szCs w:val="24"/>
        </w:rPr>
        <w:t>的保证金，将在与我院完成签订本项目合同并提交招标办公室（将合同扫描文件发送至zbb63632469@qq.com）之后45个日历日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525047162"/>
      <w:bookmarkStart w:id="34" w:name="_Toc4355"/>
      <w:bookmarkStart w:id="35" w:name="_Toc65660335"/>
      <w:bookmarkStart w:id="36" w:name="_Toc2945"/>
      <w:bookmarkStart w:id="37" w:name="_Toc106034626"/>
      <w:bookmarkStart w:id="38" w:name="_Toc521053054"/>
      <w:bookmarkStart w:id="39" w:name="_Toc1546"/>
      <w:bookmarkStart w:id="40" w:name="_Toc17191"/>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41" w:name="_Toc521053055"/>
      <w:bookmarkStart w:id="42" w:name="_Toc106034627"/>
      <w:bookmarkStart w:id="43" w:name="_Toc65660336"/>
      <w:bookmarkStart w:id="44" w:name="_Toc525047163"/>
      <w:bookmarkStart w:id="45" w:name="_Toc16269"/>
      <w:bookmarkStart w:id="46" w:name="_Toc65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（一）重庆医科大学附属儿童医院招标办公室所作出的一切书面通知、修改、补充说明、答疑等内容，都是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文件有任何实质性疑问，应当以书面形式向招标方提出质疑，并须将该质疑文件纸质版（须加盖提出质疑单位的公章确认）在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送达重庆医科大学附属儿童医院招标办公室，否则即视为完全放弃对本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文件的质疑权利。如招标人认为上述质疑有回复必要，将以书面形式将回复内容通知所有投标方。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521053056"/>
      <w:bookmarkStart w:id="48" w:name="_Toc65660337"/>
      <w:bookmarkStart w:id="49" w:name="_Toc27172"/>
      <w:bookmarkStart w:id="50" w:name="_Toc106034628"/>
      <w:bookmarkStart w:id="51" w:name="_Toc24901"/>
      <w:bookmarkStart w:id="52" w:name="_Toc10415"/>
      <w:bookmarkStart w:id="53" w:name="_Toc525047164"/>
      <w:bookmarkStart w:id="54" w:name="_Toc1733"/>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联系人：招标办周老师</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箱：zbb63633469@qq.com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微软雅黑" w:hAnsi="微软雅黑" w:eastAsia="微软雅黑" w:cs="微软雅黑"/>
          <w:sz w:val="24"/>
          <w:szCs w:val="24"/>
        </w:rPr>
        <w:t>地  址：重庆市</w:t>
      </w:r>
      <w:r>
        <w:rPr>
          <w:rFonts w:hint="eastAsia" w:ascii="微软雅黑" w:hAnsi="微软雅黑" w:eastAsia="微软雅黑" w:cs="微软雅黑"/>
          <w:sz w:val="24"/>
          <w:szCs w:val="24"/>
          <w:lang w:val="en-US" w:eastAsia="zh-CN"/>
        </w:rPr>
        <w:t>两江新区金渝大道20号重庆医科大学附属儿童医院两江院区科教楼630招标办公室</w:t>
      </w:r>
    </w:p>
    <w:bookmarkEnd w:id="15"/>
    <w:p>
      <w:pPr>
        <w:snapToGrid w:val="0"/>
        <w:spacing w:line="400" w:lineRule="exact"/>
        <w:ind w:firstLine="482" w:firstLineChars="200"/>
        <w:rPr>
          <w:rFonts w:hint="eastAsia" w:ascii="宋体" w:hAnsi="宋体"/>
          <w:b/>
          <w:sz w:val="24"/>
          <w:szCs w:val="24"/>
        </w:rPr>
        <w:sectPr>
          <w:pgSz w:w="11907" w:h="16840"/>
          <w:pgMar w:top="1134" w:right="1418" w:bottom="1134" w:left="1418" w:header="964" w:footer="992" w:gutter="0"/>
          <w:pgNumType w:fmt="numberInDash"/>
          <w:cols w:space="720" w:num="1"/>
          <w:docGrid w:linePitch="312" w:charSpace="0"/>
        </w:sectPr>
      </w:pPr>
    </w:p>
    <w:p>
      <w:pPr>
        <w:spacing w:line="400" w:lineRule="exact"/>
        <w:rPr>
          <w:rFonts w:hint="eastAsia" w:ascii="方正仿宋_GBK" w:hAnsi="宋体" w:eastAsia="方正仿宋_GBK"/>
          <w:sz w:val="24"/>
          <w:szCs w:val="24"/>
        </w:rPr>
      </w:pPr>
      <w:bookmarkStart w:id="55"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6" w:name="_Toc32686"/>
      <w:bookmarkStart w:id="57" w:name="_Toc725"/>
      <w:bookmarkStart w:id="58" w:name="_Toc2070"/>
      <w:bookmarkStart w:id="59" w:name="_Toc11017"/>
      <w:bookmarkStart w:id="60" w:name="_Toc12959"/>
      <w:bookmarkStart w:id="61" w:name="_Toc23143"/>
      <w:bookmarkStart w:id="62" w:name="_Toc1625"/>
      <w:bookmarkStart w:id="63" w:name="_Toc5461"/>
      <w:bookmarkStart w:id="64" w:name="_Toc26176"/>
      <w:bookmarkStart w:id="65" w:name="_Toc75793504"/>
      <w:bookmarkStart w:id="66" w:name="_Toc25639"/>
      <w:bookmarkStart w:id="67" w:name="_Toc1492"/>
      <w:bookmarkStart w:id="68" w:name="_Toc2422"/>
      <w:bookmarkStart w:id="69" w:name="_Toc8649"/>
      <w:bookmarkStart w:id="70" w:name="_Toc19886"/>
      <w:bookmarkStart w:id="71" w:name="_Toc106030380"/>
      <w:bookmarkStart w:id="72" w:name="_Toc4244"/>
      <w:r>
        <w:rPr>
          <w:rFonts w:hint="eastAsia" w:ascii="方正仿宋_GBK" w:hAnsi="Times New Roman" w:eastAsia="方正仿宋_GBK" w:cs="Times New Roman"/>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hAnsi="Times New Roman" w:eastAsia="方正仿宋_GBK" w:cs="Times New Roman"/>
          <w:b/>
          <w:kern w:val="2"/>
          <w:sz w:val="44"/>
          <w:szCs w:val="20"/>
          <w:lang w:val="en-US" w:eastAsia="zh-CN" w:bidi="ar-SA"/>
        </w:rPr>
        <w:t>项目</w:t>
      </w:r>
      <w:r>
        <w:rPr>
          <w:rFonts w:hint="eastAsia" w:ascii="方正仿宋_GBK" w:eastAsia="方正仿宋_GBK" w:cs="Times New Roman"/>
          <w:b/>
          <w:kern w:val="2"/>
          <w:sz w:val="44"/>
          <w:szCs w:val="20"/>
          <w:lang w:val="en-US" w:eastAsia="zh-CN" w:bidi="ar-SA"/>
        </w:rPr>
        <w:t>服务</w:t>
      </w:r>
      <w:r>
        <w:rPr>
          <w:rFonts w:hint="eastAsia" w:ascii="方正仿宋_GBK" w:hAnsi="Times New Roman" w:eastAsia="方正仿宋_GBK" w:cs="Times New Roman"/>
          <w:b/>
          <w:kern w:val="2"/>
          <w:sz w:val="44"/>
          <w:szCs w:val="20"/>
          <w:lang w:val="en-US" w:eastAsia="zh-CN" w:bidi="ar-SA"/>
        </w:rPr>
        <w:t>需求</w:t>
      </w:r>
      <w:bookmarkEnd w:id="71"/>
      <w:bookmarkEnd w:id="7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106030879"/>
      <w:bookmarkStart w:id="74" w:name="_Toc18470"/>
      <w:bookmarkStart w:id="75" w:name="_Toc1866"/>
      <w:bookmarkStart w:id="76" w:name="_Toc76462325"/>
      <w:bookmarkStart w:id="77" w:name="_Toc2625"/>
      <w:bookmarkStart w:id="78" w:name="_Toc7791"/>
      <w:bookmarkStart w:id="79" w:name="_Toc106030882"/>
      <w:bookmarkStart w:id="80" w:name="_Toc76462327"/>
      <w:r>
        <w:rPr>
          <w:rFonts w:hint="eastAsia" w:ascii="微软雅黑" w:hAnsi="微软雅黑" w:eastAsia="微软雅黑" w:cs="微软雅黑"/>
          <w:sz w:val="24"/>
        </w:rPr>
        <w:t>一、项目基本概况介绍</w:t>
      </w:r>
      <w:bookmarkEnd w:id="73"/>
      <w:bookmarkEnd w:id="74"/>
      <w:bookmarkEnd w:id="75"/>
      <w:bookmarkEnd w:id="76"/>
      <w:bookmarkEnd w:id="77"/>
    </w:p>
    <w:tbl>
      <w:tblPr>
        <w:tblStyle w:val="5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79"/>
        <w:gridCol w:w="3550"/>
        <w:gridCol w:w="2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014"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c>
        <w:tc>
          <w:tcPr>
            <w:tcW w:w="1843"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服务期限</w:t>
            </w:r>
          </w:p>
        </w:tc>
        <w:tc>
          <w:tcPr>
            <w:tcW w:w="1142"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4"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lang w:eastAsia="zh-CN"/>
              </w:rPr>
            </w:pPr>
            <w:r>
              <w:rPr>
                <w:rFonts w:hint="eastAsia" w:ascii="微软雅黑" w:hAnsi="微软雅黑" w:eastAsia="微软雅黑" w:cs="微软雅黑"/>
                <w:color w:val="auto"/>
                <w:sz w:val="24"/>
                <w:szCs w:val="24"/>
              </w:rPr>
              <w:t>国家儿童健康与疾病临床医学研究中心宣传文化墙</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宣传视频、宣传物料设计制作</w:t>
            </w:r>
          </w:p>
        </w:tc>
        <w:tc>
          <w:tcPr>
            <w:tcW w:w="1843"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中标通知书发出后1个月内</w:t>
            </w:r>
          </w:p>
        </w:tc>
        <w:tc>
          <w:tcPr>
            <w:tcW w:w="1142"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p>
        </w:tc>
      </w:tr>
    </w:tbl>
    <w:p>
      <w:pPr>
        <w:spacing w:line="400" w:lineRule="exact"/>
        <w:ind w:firstLine="480" w:firstLineChars="200"/>
        <w:rPr>
          <w:rFonts w:hint="eastAsia" w:ascii="微软雅黑" w:hAnsi="微软雅黑" w:eastAsia="微软雅黑" w:cs="微软雅黑"/>
          <w:b/>
          <w:bCs/>
          <w:sz w:val="24"/>
          <w:szCs w:val="24"/>
          <w:lang w:val="en-US" w:eastAsia="zh-CN"/>
        </w:rPr>
      </w:pPr>
      <w:bookmarkStart w:id="81" w:name="_Toc12384"/>
      <w:bookmarkStart w:id="82" w:name="_Toc25495"/>
      <w:bookmarkStart w:id="83" w:name="_Toc106030880"/>
      <w:r>
        <w:rPr>
          <w:rFonts w:hint="eastAsia" w:ascii="微软雅黑" w:hAnsi="微软雅黑" w:eastAsia="微软雅黑" w:cs="微软雅黑"/>
          <w:b/>
          <w:bCs/>
          <w:sz w:val="24"/>
          <w:szCs w:val="24"/>
        </w:rPr>
        <w:t>二、</w:t>
      </w:r>
      <w:bookmarkEnd w:id="81"/>
      <w:bookmarkEnd w:id="82"/>
      <w:bookmarkEnd w:id="83"/>
      <w:r>
        <w:rPr>
          <w:rFonts w:hint="eastAsia" w:ascii="微软雅黑" w:hAnsi="微软雅黑" w:eastAsia="微软雅黑" w:cs="微软雅黑"/>
          <w:b/>
          <w:bCs/>
          <w:sz w:val="24"/>
          <w:szCs w:val="24"/>
          <w:lang w:val="en-US" w:eastAsia="zh-CN"/>
        </w:rPr>
        <w:t>项目内容</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color w:val="auto"/>
          <w:sz w:val="24"/>
          <w:szCs w:val="24"/>
          <w:lang w:val="en-US" w:eastAsia="zh-CN"/>
        </w:rPr>
        <w:t>针对两江院区科教楼8楼中心实验室（电梯间及过道走廊），设计制作</w:t>
      </w:r>
      <w:r>
        <w:rPr>
          <w:rFonts w:hint="eastAsia" w:ascii="微软雅黑" w:hAnsi="微软雅黑" w:eastAsia="微软雅黑" w:cs="微软雅黑"/>
          <w:color w:val="auto"/>
          <w:sz w:val="24"/>
          <w:szCs w:val="24"/>
        </w:rPr>
        <w:t>国家儿童健康与疾病临床医学研究中心文化长廊</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并制作</w:t>
      </w:r>
      <w:r>
        <w:rPr>
          <w:rFonts w:hint="eastAsia" w:ascii="微软雅黑" w:hAnsi="微软雅黑" w:eastAsia="微软雅黑" w:cs="微软雅黑"/>
          <w:color w:val="auto"/>
          <w:sz w:val="24"/>
          <w:szCs w:val="24"/>
        </w:rPr>
        <w:t>宣传视频</w:t>
      </w:r>
      <w:r>
        <w:rPr>
          <w:rFonts w:hint="eastAsia" w:ascii="微软雅黑" w:hAnsi="微软雅黑" w:eastAsia="微软雅黑" w:cs="微软雅黑"/>
          <w:color w:val="auto"/>
          <w:sz w:val="24"/>
          <w:szCs w:val="24"/>
          <w:lang w:val="en-US" w:eastAsia="zh-CN"/>
        </w:rPr>
        <w:t>1部</w:t>
      </w:r>
      <w:r>
        <w:rPr>
          <w:rFonts w:hint="eastAsia" w:ascii="微软雅黑" w:hAnsi="微软雅黑" w:eastAsia="微软雅黑" w:cs="微软雅黑"/>
          <w:color w:val="auto"/>
          <w:sz w:val="24"/>
          <w:szCs w:val="24"/>
        </w:rPr>
        <w:t>以及宣传手册</w:t>
      </w:r>
      <w:r>
        <w:rPr>
          <w:rFonts w:hint="eastAsia" w:ascii="微软雅黑" w:hAnsi="微软雅黑" w:eastAsia="微软雅黑" w:cs="微软雅黑"/>
          <w:color w:val="auto"/>
          <w:sz w:val="24"/>
          <w:szCs w:val="24"/>
          <w:lang w:val="en-US" w:eastAsia="zh-CN"/>
        </w:rPr>
        <w:t>100-200本。</w:t>
      </w:r>
    </w:p>
    <w:p>
      <w:pPr>
        <w:spacing w:line="400" w:lineRule="exact"/>
        <w:ind w:firstLine="480" w:firstLineChars="200"/>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三、服务要求</w:t>
      </w:r>
    </w:p>
    <w:p>
      <w:pPr>
        <w:pageBreakBefore w:val="0"/>
        <w:numPr>
          <w:ilvl w:val="0"/>
          <w:numId w:val="0"/>
        </w:numPr>
        <w:kinsoku/>
        <w:wordWrap/>
        <w:overflowPunct/>
        <w:topLinePunct w:val="0"/>
        <w:autoSpaceDE/>
        <w:autoSpaceDN/>
        <w:bidi w:val="0"/>
        <w:spacing w:line="440" w:lineRule="exact"/>
        <w:ind w:left="420" w:leftChars="0"/>
        <w:jc w:val="both"/>
        <w:textAlignment w:val="auto"/>
        <w:rPr>
          <w:rFonts w:hint="eastAsia" w:ascii="微软雅黑" w:hAnsi="微软雅黑" w:eastAsia="微软雅黑" w:cs="微软雅黑"/>
          <w:b/>
          <w:bCs/>
          <w:i w:val="0"/>
          <w:iCs w:val="0"/>
          <w:color w:val="000000"/>
          <w:kern w:val="0"/>
          <w:sz w:val="36"/>
          <w:szCs w:val="36"/>
          <w:u w:val="none"/>
          <w:lang w:val="en-US" w:eastAsia="zh-CN" w:bidi="ar"/>
        </w:rPr>
      </w:pPr>
      <w:r>
        <w:rPr>
          <w:rFonts w:hint="eastAsia" w:ascii="微软雅黑" w:hAnsi="微软雅黑" w:eastAsia="微软雅黑" w:cs="微软雅黑"/>
          <w:b w:val="0"/>
          <w:bCs w:val="0"/>
          <w:i w:val="0"/>
          <w:iCs w:val="0"/>
          <w:color w:val="000000"/>
          <w:kern w:val="0"/>
          <w:sz w:val="24"/>
          <w:szCs w:val="24"/>
          <w:u w:val="none"/>
          <w:lang w:val="en-US" w:eastAsia="zh-CN" w:bidi="ar"/>
        </w:rPr>
        <w:t>（一）中心文化长廊制作要求</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总体要求</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通过对采购人中心文化长廊</w:t>
      </w:r>
      <w:r>
        <w:rPr>
          <w:rFonts w:hint="eastAsia" w:ascii="微软雅黑" w:hAnsi="微软雅黑" w:eastAsia="微软雅黑" w:cs="微软雅黑"/>
          <w:sz w:val="24"/>
          <w:szCs w:val="24"/>
        </w:rPr>
        <w:t>布展内容的科学梳理与规划，全方位展示我院在儿童健康与疾病临床医学领域的重大引领示范作用，多角度展示我院实施国家创新驱动发展战略的成效、合作与开发风采。</w:t>
      </w:r>
      <w:r>
        <w:rPr>
          <w:rFonts w:hint="eastAsia" w:ascii="微软雅黑" w:hAnsi="微软雅黑" w:eastAsia="微软雅黑" w:cs="微软雅黑"/>
          <w:sz w:val="24"/>
          <w:szCs w:val="24"/>
          <w:lang w:val="en-US" w:eastAsia="zh-CN"/>
        </w:rPr>
        <w:t>中心文化长廊制作需包含整体设计、制作、安装、灯光、人工、材料、运输等制作过程中产生的所有费用。相关上墙材料需以PVC装饰为主，并搭配相关灯光装饰。墙面整体采用墙绘设计，墙绘材料符合国家环保标准。局部采用浮雕设计，浮雕厚度不低于40mm，根据整体设计，浮雕部分不低于20m²。顶面采用造型冲孔发光铝板，环形灯带造型。文字及标识材质，根据设计需求。采用亚克力、拉丝铜字、树脂发光字。LED用于各种灯光效果。提高表现墙绘及其他材质的质感。不锈钢造型，根据设计需求可采用烤漆、电镀、仿铜仿金等。</w:t>
      </w:r>
    </w:p>
    <w:p>
      <w:pPr>
        <w:pStyle w:val="34"/>
        <w:spacing w:line="400" w:lineRule="exact"/>
        <w:ind w:left="0" w:firstLine="540" w:firstLineChars="0"/>
        <w:rPr>
          <w:rFonts w:hint="eastAsia" w:ascii="微软雅黑" w:hAnsi="微软雅黑" w:eastAsia="微软雅黑" w:cs="微软雅黑"/>
          <w:sz w:val="24"/>
          <w:szCs w:val="24"/>
        </w:rPr>
      </w:pPr>
      <w:bookmarkStart w:id="84" w:name="_Toc101957783"/>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深化设计的主要内容</w:t>
      </w:r>
      <w:bookmarkEnd w:id="84"/>
    </w:p>
    <w:p>
      <w:pPr>
        <w:pStyle w:val="34"/>
        <w:spacing w:line="400" w:lineRule="exact"/>
        <w:ind w:left="0" w:firstLine="700" w:firstLineChars="29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2.1展陈内容及规模</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根据医院现有房屋条件，拟于科教楼8楼电梯厅及右侧走廊，墙面面积约150平方米；围绕“中心历程”、“研究方向”、“成果奖励”等具体内容布局展陈。</w:t>
      </w:r>
    </w:p>
    <w:p>
      <w:pPr>
        <w:pStyle w:val="34"/>
        <w:spacing w:line="400" w:lineRule="exact"/>
        <w:ind w:left="0" w:firstLine="700" w:firstLineChars="29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2.2展厅功能布局整体策划、配套功能设施装修、展台、展板设计；功能分区、参观流线以及视觉效果设计；</w:t>
      </w:r>
    </w:p>
    <w:p>
      <w:pPr>
        <w:pStyle w:val="34"/>
        <w:spacing w:line="400" w:lineRule="exact"/>
        <w:ind w:left="0" w:firstLine="700" w:firstLineChars="29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2.3声光电展项等新型展示技术应用设计；</w:t>
      </w:r>
    </w:p>
    <w:p>
      <w:pPr>
        <w:pStyle w:val="34"/>
        <w:spacing w:line="400" w:lineRule="exact"/>
        <w:ind w:left="0" w:firstLine="700" w:firstLineChars="29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2.4展厅效果图设计（各分区深化空间效果图、上墙平面设计图）；</w:t>
      </w:r>
    </w:p>
    <w:p>
      <w:pPr>
        <w:pStyle w:val="34"/>
        <w:spacing w:line="400" w:lineRule="exact"/>
        <w:ind w:left="0" w:firstLine="700" w:firstLineChars="29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2.5布展预算清单编制。</w:t>
      </w:r>
    </w:p>
    <w:p>
      <w:pPr>
        <w:pStyle w:val="34"/>
        <w:spacing w:line="400" w:lineRule="exact"/>
        <w:ind w:left="0" w:firstLine="540" w:firstLineChars="0"/>
        <w:rPr>
          <w:rFonts w:hint="eastAsia" w:ascii="微软雅黑" w:hAnsi="微软雅黑" w:eastAsia="微软雅黑" w:cs="微软雅黑"/>
          <w:sz w:val="24"/>
          <w:szCs w:val="24"/>
        </w:rPr>
      </w:pPr>
      <w:bookmarkStart w:id="85" w:name="_Toc101957784"/>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设计要求</w:t>
      </w:r>
      <w:bookmarkEnd w:id="85"/>
    </w:p>
    <w:p>
      <w:pPr>
        <w:pStyle w:val="34"/>
        <w:spacing w:line="400" w:lineRule="exact"/>
        <w:ind w:left="0" w:firstLine="700" w:firstLineChars="29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3.1</w:t>
      </w:r>
      <w:r>
        <w:rPr>
          <w:rFonts w:hint="eastAsia" w:ascii="微软雅黑" w:hAnsi="微软雅黑" w:eastAsia="微软雅黑" w:cs="微软雅黑"/>
          <w:sz w:val="24"/>
          <w:szCs w:val="24"/>
        </w:rPr>
        <w:t>突显展示主题，提炼文化。投标人提供展陈大纲，进行数字化展项设计。</w:t>
      </w:r>
    </w:p>
    <w:p>
      <w:pPr>
        <w:pStyle w:val="34"/>
        <w:spacing w:line="400" w:lineRule="exact"/>
        <w:ind w:left="0" w:firstLine="700" w:firstLineChars="29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3.2</w:t>
      </w:r>
      <w:r>
        <w:rPr>
          <w:rFonts w:hint="eastAsia" w:ascii="微软雅黑" w:hAnsi="微软雅黑" w:eastAsia="微软雅黑" w:cs="微软雅黑"/>
          <w:sz w:val="24"/>
          <w:szCs w:val="24"/>
        </w:rPr>
        <w:t>充分结合空间设计，保留空间设计风格。力争形式与内容完美结合。</w:t>
      </w:r>
    </w:p>
    <w:p>
      <w:pPr>
        <w:pStyle w:val="34"/>
        <w:spacing w:line="400" w:lineRule="exact"/>
        <w:ind w:left="0" w:firstLine="700" w:firstLineChars="29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3.3</w:t>
      </w:r>
      <w:r>
        <w:rPr>
          <w:rFonts w:hint="eastAsia" w:ascii="微软雅黑" w:hAnsi="微软雅黑" w:eastAsia="微软雅黑" w:cs="微软雅黑"/>
          <w:sz w:val="24"/>
          <w:szCs w:val="24"/>
        </w:rPr>
        <w:t>风格要考虑总体协调，相关展示力求大方、高雅、精炼。</w:t>
      </w:r>
    </w:p>
    <w:p>
      <w:pPr>
        <w:pStyle w:val="34"/>
        <w:spacing w:line="400" w:lineRule="exact"/>
        <w:ind w:left="0" w:firstLine="700" w:firstLineChars="29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3.4</w:t>
      </w:r>
      <w:r>
        <w:rPr>
          <w:rFonts w:hint="eastAsia" w:ascii="微软雅黑" w:hAnsi="微软雅黑" w:eastAsia="微软雅黑" w:cs="微软雅黑"/>
          <w:sz w:val="24"/>
          <w:szCs w:val="24"/>
        </w:rPr>
        <w:t>要本着以突出重点主题内容与形式亮点和规模适度适用原则，选用技术成熟、便于操作、制作、运行和维护成本低，使用寿命长、后期跟踪服务完善的产品。</w:t>
      </w:r>
    </w:p>
    <w:p>
      <w:pPr>
        <w:pStyle w:val="34"/>
        <w:spacing w:line="400" w:lineRule="exact"/>
        <w:ind w:left="0" w:firstLine="700" w:firstLineChars="29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3.5</w:t>
      </w:r>
      <w:r>
        <w:rPr>
          <w:rFonts w:hint="eastAsia" w:ascii="微软雅黑" w:hAnsi="微软雅黑" w:eastAsia="微软雅黑" w:cs="微软雅黑"/>
          <w:sz w:val="24"/>
          <w:szCs w:val="24"/>
        </w:rPr>
        <w:t>选用材料要合理，以不燃或阻燃的材料为主，材料要求环保；主要</w:t>
      </w:r>
      <w:r>
        <w:rPr>
          <w:rFonts w:hint="eastAsia" w:ascii="微软雅黑" w:hAnsi="微软雅黑" w:eastAsia="微软雅黑" w:cs="微软雅黑"/>
          <w:sz w:val="24"/>
          <w:szCs w:val="24"/>
          <w:lang w:val="en-US" w:eastAsia="zh-CN"/>
        </w:rPr>
        <w:t>灯光</w:t>
      </w:r>
      <w:r>
        <w:rPr>
          <w:rFonts w:hint="eastAsia" w:ascii="微软雅黑" w:hAnsi="微软雅黑" w:eastAsia="微软雅黑" w:cs="微软雅黑"/>
          <w:sz w:val="24"/>
          <w:szCs w:val="24"/>
        </w:rPr>
        <w:t>电子设备按要求选用。</w:t>
      </w:r>
    </w:p>
    <w:p>
      <w:pPr>
        <w:pStyle w:val="34"/>
        <w:spacing w:line="400" w:lineRule="exact"/>
        <w:ind w:left="0" w:firstLine="700" w:firstLineChars="29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3.6</w:t>
      </w:r>
      <w:r>
        <w:rPr>
          <w:rFonts w:hint="eastAsia" w:ascii="微软雅黑" w:hAnsi="微软雅黑" w:eastAsia="微软雅黑" w:cs="微软雅黑"/>
          <w:sz w:val="24"/>
          <w:szCs w:val="24"/>
        </w:rPr>
        <w:t>提倡使用性价比较高的新材料、新工艺、新技术。</w:t>
      </w:r>
    </w:p>
    <w:p>
      <w:pPr>
        <w:pStyle w:val="34"/>
        <w:spacing w:line="400" w:lineRule="exact"/>
        <w:ind w:left="0" w:firstLine="700" w:firstLineChars="29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3.7</w:t>
      </w:r>
      <w:r>
        <w:rPr>
          <w:rFonts w:hint="eastAsia" w:ascii="微软雅黑" w:hAnsi="微软雅黑" w:eastAsia="微软雅黑" w:cs="微软雅黑"/>
          <w:sz w:val="24"/>
          <w:szCs w:val="24"/>
        </w:rPr>
        <w:t>展厅布展效果图设计（各分区深化空间效果图、上墙平面设计图）。</w:t>
      </w:r>
    </w:p>
    <w:p>
      <w:pPr>
        <w:pStyle w:val="34"/>
        <w:spacing w:line="400" w:lineRule="exact"/>
        <w:ind w:left="0" w:firstLine="540" w:firstLineChars="0"/>
        <w:rPr>
          <w:rFonts w:hint="eastAsia" w:ascii="微软雅黑" w:hAnsi="微软雅黑" w:eastAsia="微软雅黑" w:cs="微软雅黑"/>
          <w:sz w:val="24"/>
          <w:szCs w:val="24"/>
        </w:rPr>
      </w:pPr>
      <w:bookmarkStart w:id="86" w:name="_Toc101957785"/>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设计、施工质量标准</w:t>
      </w:r>
      <w:bookmarkEnd w:id="86"/>
    </w:p>
    <w:p>
      <w:pPr>
        <w:pStyle w:val="34"/>
        <w:spacing w:line="400" w:lineRule="exact"/>
        <w:ind w:left="0" w:firstLine="700" w:firstLineChars="29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4.1</w:t>
      </w:r>
      <w:r>
        <w:rPr>
          <w:rFonts w:hint="eastAsia" w:ascii="微软雅黑" w:hAnsi="微软雅黑" w:eastAsia="微软雅黑" w:cs="微软雅黑"/>
          <w:sz w:val="24"/>
          <w:szCs w:val="24"/>
        </w:rPr>
        <w:t>本工程要求施工质量达到</w:t>
      </w:r>
      <w:r>
        <w:rPr>
          <w:rFonts w:hint="eastAsia" w:ascii="微软雅黑" w:hAnsi="微软雅黑" w:eastAsia="微软雅黑" w:cs="微软雅黑"/>
          <w:sz w:val="24"/>
          <w:szCs w:val="24"/>
          <w:lang w:val="en-US" w:eastAsia="zh-CN"/>
        </w:rPr>
        <w:t>国家相关</w:t>
      </w:r>
      <w:r>
        <w:rPr>
          <w:rFonts w:hint="eastAsia" w:ascii="微软雅黑" w:hAnsi="微软雅黑" w:eastAsia="微软雅黑" w:cs="微软雅黑"/>
          <w:sz w:val="24"/>
          <w:szCs w:val="24"/>
        </w:rPr>
        <w:t>标准，用于本项目工程的材料除达到国家规定的环保要求外，还必须达到相关建筑材料、建筑行业的规范要求。所有木质垫材及暗材必须做三层防火漆处理，与结构或后砌墙接触的面必须用环保防腐材料做防腐处理。</w:t>
      </w:r>
    </w:p>
    <w:p>
      <w:pPr>
        <w:pStyle w:val="34"/>
        <w:spacing w:line="400" w:lineRule="exact"/>
        <w:ind w:left="0" w:firstLine="700" w:firstLineChars="29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4.2</w:t>
      </w:r>
      <w:r>
        <w:rPr>
          <w:rFonts w:hint="eastAsia" w:ascii="微软雅黑" w:hAnsi="微软雅黑" w:eastAsia="微软雅黑" w:cs="微软雅黑"/>
          <w:sz w:val="24"/>
          <w:szCs w:val="24"/>
        </w:rPr>
        <w:t>墙面整体采用墙绘设计，墙绘材料符合国家环保标准。</w:t>
      </w:r>
    </w:p>
    <w:p>
      <w:pPr>
        <w:pStyle w:val="34"/>
        <w:spacing w:line="400" w:lineRule="exact"/>
        <w:ind w:left="0" w:firstLine="700" w:firstLineChars="29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4.3</w:t>
      </w:r>
      <w:r>
        <w:rPr>
          <w:rFonts w:hint="eastAsia" w:ascii="微软雅黑" w:hAnsi="微软雅黑" w:eastAsia="微软雅黑" w:cs="微软雅黑"/>
          <w:sz w:val="24"/>
          <w:szCs w:val="24"/>
        </w:rPr>
        <w:t>局部采用浮雕设计，厚度不低于40mm，根据设计，浮雕部分不低于20m²。</w:t>
      </w:r>
    </w:p>
    <w:p>
      <w:pPr>
        <w:pStyle w:val="34"/>
        <w:spacing w:line="400" w:lineRule="exact"/>
        <w:ind w:left="0" w:firstLine="700" w:firstLineChars="29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4.4</w:t>
      </w:r>
      <w:r>
        <w:rPr>
          <w:rFonts w:hint="eastAsia" w:ascii="微软雅黑" w:hAnsi="微软雅黑" w:eastAsia="微软雅黑" w:cs="微软雅黑"/>
          <w:sz w:val="24"/>
          <w:szCs w:val="24"/>
        </w:rPr>
        <w:t>顶面采用造型冲孔发光铝板，环形灯带造型。</w:t>
      </w:r>
    </w:p>
    <w:p>
      <w:pPr>
        <w:pStyle w:val="34"/>
        <w:spacing w:line="400" w:lineRule="exact"/>
        <w:ind w:left="0" w:firstLine="700" w:firstLineChars="29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4.5</w:t>
      </w:r>
      <w:r>
        <w:rPr>
          <w:rFonts w:hint="eastAsia" w:ascii="微软雅黑" w:hAnsi="微软雅黑" w:eastAsia="微软雅黑" w:cs="微软雅黑"/>
          <w:sz w:val="24"/>
          <w:szCs w:val="24"/>
        </w:rPr>
        <w:t>文字及标识材质，根据设计需求。采用亚克力、拉丝铜字、树脂发光字</w:t>
      </w:r>
      <w:r>
        <w:rPr>
          <w:rFonts w:hint="eastAsia" w:ascii="微软雅黑" w:hAnsi="微软雅黑" w:eastAsia="微软雅黑" w:cs="微软雅黑"/>
          <w:sz w:val="24"/>
          <w:szCs w:val="24"/>
          <w:lang w:eastAsia="zh-CN"/>
        </w:rPr>
        <w:t>等</w:t>
      </w:r>
      <w:r>
        <w:rPr>
          <w:rFonts w:hint="eastAsia" w:ascii="微软雅黑" w:hAnsi="微软雅黑" w:eastAsia="微软雅黑" w:cs="微软雅黑"/>
          <w:sz w:val="24"/>
          <w:szCs w:val="24"/>
        </w:rPr>
        <w:t>。</w:t>
      </w:r>
    </w:p>
    <w:p>
      <w:pPr>
        <w:pStyle w:val="34"/>
        <w:spacing w:line="400" w:lineRule="exact"/>
        <w:ind w:left="0" w:firstLine="700" w:firstLineChars="29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4.6</w:t>
      </w:r>
      <w:r>
        <w:rPr>
          <w:rFonts w:hint="eastAsia" w:ascii="微软雅黑" w:hAnsi="微软雅黑" w:eastAsia="微软雅黑" w:cs="微软雅黑"/>
          <w:sz w:val="24"/>
          <w:szCs w:val="24"/>
        </w:rPr>
        <w:t>LED用于各种灯光效果。提高表现墙绘及其他材质的质感。</w:t>
      </w:r>
    </w:p>
    <w:p>
      <w:pPr>
        <w:pStyle w:val="34"/>
        <w:spacing w:line="400" w:lineRule="exact"/>
        <w:ind w:left="0" w:firstLine="700" w:firstLineChars="29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4.7</w:t>
      </w:r>
      <w:r>
        <w:rPr>
          <w:rFonts w:hint="eastAsia" w:ascii="微软雅黑" w:hAnsi="微软雅黑" w:eastAsia="微软雅黑" w:cs="微软雅黑"/>
          <w:sz w:val="24"/>
          <w:szCs w:val="24"/>
        </w:rPr>
        <w:t>不锈钢造型，根据设计需求可采用烤漆、电镀、仿铜仿金等。</w:t>
      </w:r>
    </w:p>
    <w:p>
      <w:pPr>
        <w:pStyle w:val="34"/>
        <w:spacing w:line="400" w:lineRule="exact"/>
        <w:ind w:left="0" w:firstLine="540" w:firstLineChars="0"/>
        <w:rPr>
          <w:rFonts w:hint="eastAsia" w:ascii="微软雅黑" w:hAnsi="微软雅黑" w:eastAsia="微软雅黑" w:cs="微软雅黑"/>
          <w:sz w:val="24"/>
          <w:szCs w:val="24"/>
        </w:rPr>
      </w:pPr>
      <w:bookmarkStart w:id="87" w:name="_Toc101957786"/>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设计成果要求</w:t>
      </w:r>
      <w:bookmarkEnd w:id="87"/>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本次设计的所有成果内容及深度应严格符合相关法律、法规、标准和技术规范的要求。所有成果均应有符合要求的电子文档及相应的成果光盘。</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5.1</w:t>
      </w:r>
      <w:r>
        <w:rPr>
          <w:rFonts w:hint="eastAsia" w:ascii="微软雅黑" w:hAnsi="微软雅黑" w:eastAsia="微软雅黑" w:cs="微软雅黑"/>
          <w:sz w:val="24"/>
          <w:szCs w:val="24"/>
        </w:rPr>
        <w:t>设计图纸</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应包含展厅空间设计部分、多媒体展示部分的深化设计效果图。</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5.2</w:t>
      </w:r>
      <w:r>
        <w:rPr>
          <w:rFonts w:hint="eastAsia" w:ascii="微软雅黑" w:hAnsi="微软雅黑" w:eastAsia="微软雅黑" w:cs="微软雅黑"/>
          <w:sz w:val="24"/>
          <w:szCs w:val="24"/>
        </w:rPr>
        <w:t>布展清单</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应包含完成布展工作的详细工程量清单。</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5.3</w:t>
      </w:r>
      <w:r>
        <w:rPr>
          <w:rFonts w:hint="eastAsia" w:ascii="微软雅黑" w:hAnsi="微软雅黑" w:eastAsia="微软雅黑" w:cs="微软雅黑"/>
          <w:sz w:val="24"/>
          <w:szCs w:val="24"/>
        </w:rPr>
        <w:t>技术方案演示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投标人需提供</w:t>
      </w: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0分钟以内的技术方案演示，可采取视频、PPT、现场演说等形式。</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注：工程量清单及项目位置详见《附件-项目工程量清单及位置分布图》</w:t>
      </w:r>
    </w:p>
    <w:p>
      <w:pPr>
        <w:keepNext w:val="0"/>
        <w:keepLines w:val="0"/>
        <w:pageBreakBefore w:val="0"/>
        <w:widowControl w:val="0"/>
        <w:kinsoku/>
        <w:wordWrap/>
        <w:overflowPunct/>
        <w:topLinePunct w:val="0"/>
        <w:autoSpaceDE w:val="0"/>
        <w:autoSpaceDN w:val="0"/>
        <w:bidi w:val="0"/>
        <w:adjustRightInd/>
        <w:snapToGrid/>
        <w:spacing w:line="500" w:lineRule="exact"/>
        <w:ind w:firstLine="480" w:firstLineChars="200"/>
        <w:jc w:val="both"/>
        <w:textAlignment w:val="auto"/>
        <w:rPr>
          <w:rFonts w:hint="eastAsia" w:ascii="微软雅黑" w:hAnsi="微软雅黑" w:eastAsia="微软雅黑" w:cs="微软雅黑"/>
          <w:b w:val="0"/>
          <w:bCs w:val="0"/>
          <w:i w:val="0"/>
          <w:iCs w:val="0"/>
          <w:color w:val="000000"/>
          <w:kern w:val="0"/>
          <w:sz w:val="24"/>
          <w:szCs w:val="24"/>
          <w:u w:val="none"/>
          <w:lang w:val="en-US" w:eastAsia="zh-CN" w:bidi="ar"/>
        </w:rPr>
      </w:pPr>
      <w:r>
        <w:rPr>
          <w:rFonts w:hint="eastAsia" w:ascii="微软雅黑" w:hAnsi="微软雅黑" w:eastAsia="微软雅黑" w:cs="微软雅黑"/>
          <w:b w:val="0"/>
          <w:bCs w:val="0"/>
          <w:i w:val="0"/>
          <w:iCs w:val="0"/>
          <w:color w:val="000000"/>
          <w:kern w:val="0"/>
          <w:sz w:val="24"/>
          <w:szCs w:val="24"/>
          <w:u w:val="none"/>
          <w:lang w:val="en-US" w:eastAsia="zh-CN" w:bidi="ar"/>
        </w:rPr>
        <w:t>（二）中心宣传视频制作要求</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项目内容：展现重庆医科大学附属儿童医院60余年，在临床、教学、科研、管理方面的发展历程，突出医院取得的发展成果。展现我院在儿童健康与疾病临床医学领域的重大引领示范作用，多角度展示我院实施国家创新驱动发展战略的成效、合作与开发风采。中心宣传视频制作需视频格式为高清MP4，视频编码H.264，宽高比：16:9，分辨率1920*1080，时长5至10分钟。整个制作费用包含拍摄设备（航拍、摄像等）、文案编撰、视频剪辑、配音、版权、人员支出等。</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2.视频时长与数量：5-10分钟左右的宣传视频1个。</w:t>
      </w:r>
    </w:p>
    <w:p>
      <w:pPr>
        <w:pStyle w:val="34"/>
        <w:spacing w:line="400" w:lineRule="exact"/>
        <w:ind w:left="0" w:firstLine="540" w:firstLineChars="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3.分辨率：拍摄素材达到4K (4096×2160）或以上画质，成片达到数字高清 (1920*1080)或以上画质，画面比例为16:9。</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4.语种版本：国语、中文简体。</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5.声道：2.1立体声。</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6.摄制设备：使用电影级摄影器材，专业灯光器材等辅助器材，专业航拍器，专业剪辑系统及达芬奇调色系统。（不低于以上配置）</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7.帧频：每秒25帧及以上。</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8.输出格式：视频格式需满足在不同平台播放，且支持地址转换。</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9.后期制作：</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（1）采用达芬奇校色、特效包装、三维动画制作（片头、片尾、片花）。</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（2）配音采用国家一级配音演员配音，配合中文字幕。</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（3）音乐、音效运用与主题相得益彰。</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（4）文字精炼、凸显主题、配音字幕准确无误、字幕条运用恰当。</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（5）有拍摄制作方案，描述清晰，完整可行。摄制方案质量保障，服务团队人力及资源保障。</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（6）策划案具有医院、中心文化特色，内容恰当、有创意，针对该项目有详尽的拍摄方案及后期制作方案，具备自有团队人员、专业设备器材等。</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（三）中心宣传册制作需求参数</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中心宣传册应采用铜版纸制作，包含排版设计、封面设计、装订、印刷等内容。</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1.页面大小：210mm*285mm。</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2.字体：字体清晰、易读，字号根据版面大小和文章内容适当选择。</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3.图片：插图的尺寸、质量、颜色等应与版面整体协调，像素不低于300dpi。</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4.配色：版面配色应具有整体感和协调感。</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5.印制：材质应选用合适的材质，保证印制质量。</w:t>
      </w:r>
    </w:p>
    <w:p>
      <w:pPr>
        <w:pStyle w:val="34"/>
        <w:spacing w:line="400" w:lineRule="exact"/>
        <w:ind w:left="0" w:firstLine="54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6.设计、审读、校对等要符合国家新闻出版总署公布《图书质量管理规定》，保证书籍差错率不超过万分之一。</w:t>
      </w:r>
    </w:p>
    <w:tbl>
      <w:tblPr>
        <w:tblStyle w:val="58"/>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5"/>
        <w:gridCol w:w="1119"/>
        <w:gridCol w:w="2401"/>
        <w:gridCol w:w="1140"/>
        <w:gridCol w:w="1068"/>
        <w:gridCol w:w="29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2" w:hRule="atLeast"/>
          <w:jc w:val="center"/>
        </w:trPr>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序号</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类别</w:t>
            </w:r>
          </w:p>
        </w:tc>
        <w:tc>
          <w:tcPr>
            <w:tcW w:w="12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名称</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数量</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单位</w:t>
            </w:r>
          </w:p>
        </w:tc>
        <w:tc>
          <w:tcPr>
            <w:tcW w:w="151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2" w:hRule="atLeast"/>
          <w:jc w:val="center"/>
        </w:trPr>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w:t>
            </w:r>
          </w:p>
        </w:tc>
        <w:tc>
          <w:tcPr>
            <w:tcW w:w="5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设计</w:t>
            </w:r>
          </w:p>
        </w:tc>
        <w:tc>
          <w:tcPr>
            <w:tcW w:w="12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封面封底</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项</w:t>
            </w:r>
          </w:p>
        </w:tc>
        <w:tc>
          <w:tcPr>
            <w:tcW w:w="151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200g/250g铜版纸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2" w:hRule="atLeast"/>
          <w:jc w:val="center"/>
        </w:trPr>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w:t>
            </w:r>
          </w:p>
        </w:tc>
        <w:tc>
          <w:tcPr>
            <w:tcW w:w="5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right="0" w:firstLine="540" w:firstLineChars="0"/>
              <w:jc w:val="center"/>
              <w:rPr>
                <w:rFonts w:hint="eastAsia" w:ascii="微软雅黑" w:hAnsi="微软雅黑" w:eastAsia="微软雅黑" w:cs="微软雅黑"/>
                <w:sz w:val="24"/>
                <w:szCs w:val="24"/>
                <w:lang w:val="en-US" w:eastAsia="zh-CN"/>
              </w:rPr>
            </w:pPr>
          </w:p>
        </w:tc>
        <w:tc>
          <w:tcPr>
            <w:tcW w:w="12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内页排版设计</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48</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页</w:t>
            </w:r>
          </w:p>
        </w:tc>
        <w:tc>
          <w:tcPr>
            <w:tcW w:w="151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108g/128g铜版纸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jc w:val="center"/>
        </w:trPr>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w:t>
            </w:r>
          </w:p>
        </w:tc>
        <w:tc>
          <w:tcPr>
            <w:tcW w:w="5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制作</w:t>
            </w:r>
          </w:p>
        </w:tc>
        <w:tc>
          <w:tcPr>
            <w:tcW w:w="12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打样</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项</w:t>
            </w:r>
          </w:p>
        </w:tc>
        <w:tc>
          <w:tcPr>
            <w:tcW w:w="151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铜版纸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 w:hRule="atLeast"/>
          <w:jc w:val="center"/>
        </w:trPr>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w:t>
            </w:r>
          </w:p>
        </w:tc>
        <w:tc>
          <w:tcPr>
            <w:tcW w:w="5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right="0" w:firstLine="540" w:firstLineChars="0"/>
              <w:jc w:val="center"/>
              <w:rPr>
                <w:rFonts w:hint="eastAsia" w:ascii="微软雅黑" w:hAnsi="微软雅黑" w:eastAsia="微软雅黑" w:cs="微软雅黑"/>
                <w:sz w:val="24"/>
                <w:szCs w:val="24"/>
                <w:lang w:val="en-US" w:eastAsia="zh-CN"/>
              </w:rPr>
            </w:pPr>
          </w:p>
        </w:tc>
        <w:tc>
          <w:tcPr>
            <w:tcW w:w="12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印刷</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100</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册</w:t>
            </w:r>
          </w:p>
        </w:tc>
        <w:tc>
          <w:tcPr>
            <w:tcW w:w="151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4"/>
              <w:keepNext w:val="0"/>
              <w:keepLines w:val="0"/>
              <w:suppressLineNumbers w:val="0"/>
              <w:spacing w:before="0" w:beforeAutospacing="0" w:after="0" w:afterAutospacing="0" w:line="400" w:lineRule="exact"/>
              <w:ind w:left="0" w:leftChars="0" w:right="0" w:firstLine="0" w:firstLineChars="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铜版纸</w:t>
            </w:r>
          </w:p>
        </w:tc>
      </w:tr>
    </w:tbl>
    <w:p>
      <w:pPr>
        <w:pStyle w:val="34"/>
        <w:spacing w:line="400" w:lineRule="exact"/>
        <w:ind w:left="0" w:firstLine="540" w:firstLineChars="0"/>
        <w:rPr>
          <w:rFonts w:hint="default" w:ascii="方正仿宋_GBK" w:hAnsi="宋体" w:eastAsia="方正仿宋_GBK" w:cs="Times New Roman"/>
          <w:sz w:val="24"/>
          <w:szCs w:val="24"/>
          <w:lang w:val="en-US" w:eastAsia="zh-CN"/>
        </w:rPr>
      </w:pPr>
    </w:p>
    <w:p>
      <w:pPr>
        <w:rPr>
          <w:rFonts w:hint="eastAsia" w:ascii="方正仿宋_GBK" w:hAnsi="Times New Roman" w:eastAsia="方正仿宋_GBK" w:cs="Times New Roman"/>
          <w:b/>
          <w:sz w:val="44"/>
          <w:szCs w:val="20"/>
        </w:rPr>
      </w:pPr>
      <w:r>
        <w:rPr>
          <w:rFonts w:hint="eastAsia" w:ascii="方正仿宋_GBK" w:hAnsi="Times New Roman" w:eastAsia="方正仿宋_GBK" w:cs="Times New Roman"/>
          <w:b/>
          <w:sz w:val="44"/>
          <w:szCs w:val="20"/>
        </w:rPr>
        <w:br w:type="page"/>
      </w:r>
    </w:p>
    <w:p>
      <w:pPr>
        <w:pStyle w:val="4"/>
        <w:spacing w:before="200" w:after="200" w:line="240" w:lineRule="auto"/>
        <w:jc w:val="center"/>
        <w:rPr>
          <w:rFonts w:hint="eastAsia" w:ascii="方正仿宋_GBK" w:hAnsi="Times New Roman" w:eastAsia="方正仿宋_GBK" w:cs="Times New Roman"/>
          <w:b/>
          <w:sz w:val="44"/>
          <w:szCs w:val="20"/>
        </w:rPr>
      </w:pPr>
      <w:bookmarkStart w:id="88" w:name="_Toc22703"/>
      <w:r>
        <w:rPr>
          <w:rFonts w:hint="eastAsia" w:ascii="方正仿宋_GBK" w:hAnsi="Times New Roman" w:eastAsia="方正仿宋_GBK" w:cs="Times New Roman"/>
          <w:b/>
          <w:sz w:val="44"/>
          <w:szCs w:val="20"/>
        </w:rPr>
        <w:t xml:space="preserve">第三篇  </w:t>
      </w:r>
      <w:bookmarkEnd w:id="55"/>
      <w:r>
        <w:rPr>
          <w:rFonts w:hint="eastAsia" w:ascii="方正仿宋_GBK" w:hAnsi="Times New Roman" w:eastAsia="方正仿宋_GBK" w:cs="Times New Roman"/>
          <w:b/>
          <w:sz w:val="44"/>
          <w:szCs w:val="20"/>
        </w:rPr>
        <w:t>项目商务需求</w:t>
      </w:r>
      <w:bookmarkEnd w:id="78"/>
      <w:bookmarkEnd w:id="79"/>
      <w:bookmarkEnd w:id="80"/>
      <w:bookmarkEnd w:id="88"/>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服务时间、租赁地点及验收方式</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微软雅黑" w:hAnsi="微软雅黑" w:eastAsia="微软雅黑" w:cs="微软雅黑"/>
                <w:b w:val="0"/>
                <w:bCs w:val="0"/>
                <w:color w:val="auto"/>
                <w:kern w:val="2"/>
                <w:sz w:val="24"/>
                <w:szCs w:val="24"/>
                <w:lang w:val="en-US" w:eastAsia="zh-CN" w:bidi="ar-SA"/>
              </w:rPr>
            </w:pPr>
            <w:r>
              <w:rPr>
                <w:rFonts w:hint="eastAsia" w:ascii="微软雅黑" w:hAnsi="微软雅黑" w:eastAsia="微软雅黑" w:cs="微软雅黑"/>
                <w:b w:val="0"/>
                <w:bCs w:val="0"/>
                <w:color w:val="auto"/>
                <w:kern w:val="2"/>
                <w:sz w:val="24"/>
                <w:szCs w:val="24"/>
                <w:lang w:val="en-US" w:eastAsia="zh-CN" w:bidi="ar-SA"/>
              </w:rPr>
              <w:t>服务期限：自中标通知书发出之日起1个月内</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微软雅黑" w:hAnsi="微软雅黑" w:eastAsia="微软雅黑" w:cs="微软雅黑"/>
                <w:b w:val="0"/>
                <w:bCs w:val="0"/>
                <w:color w:val="auto"/>
                <w:kern w:val="2"/>
                <w:sz w:val="24"/>
                <w:szCs w:val="24"/>
                <w:lang w:val="en-US" w:eastAsia="zh-CN" w:bidi="ar-SA"/>
              </w:rPr>
            </w:pPr>
            <w:r>
              <w:rPr>
                <w:rFonts w:hint="eastAsia" w:ascii="微软雅黑" w:hAnsi="微软雅黑" w:eastAsia="微软雅黑" w:cs="微软雅黑"/>
                <w:b w:val="0"/>
                <w:bCs w:val="0"/>
                <w:color w:val="auto"/>
                <w:kern w:val="2"/>
                <w:sz w:val="24"/>
                <w:szCs w:val="24"/>
                <w:lang w:val="en-US" w:eastAsia="zh-CN" w:bidi="ar-SA"/>
              </w:rPr>
              <w:t>交货地点：重庆医科大学附属儿童医院</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微软雅黑" w:hAnsi="微软雅黑" w:eastAsia="微软雅黑" w:cs="微软雅黑"/>
                <w:b w:val="0"/>
                <w:bCs w:val="0"/>
                <w:color w:val="auto"/>
                <w:kern w:val="2"/>
                <w:sz w:val="24"/>
                <w:szCs w:val="24"/>
                <w:lang w:val="en-US" w:eastAsia="zh-CN"/>
              </w:rPr>
            </w:pPr>
            <w:r>
              <w:rPr>
                <w:rFonts w:hint="eastAsia" w:ascii="微软雅黑" w:hAnsi="微软雅黑" w:eastAsia="微软雅黑" w:cs="微软雅黑"/>
                <w:b w:val="0"/>
                <w:bCs w:val="0"/>
                <w:color w:val="auto"/>
                <w:kern w:val="2"/>
                <w:sz w:val="24"/>
                <w:szCs w:val="24"/>
                <w:lang w:val="en-US" w:eastAsia="zh-CN" w:bidi="ar-SA"/>
              </w:rPr>
              <w:t>验收方式</w:t>
            </w:r>
            <w:r>
              <w:rPr>
                <w:rFonts w:hint="eastAsia" w:ascii="微软雅黑" w:hAnsi="微软雅黑" w:eastAsia="微软雅黑" w:cs="微软雅黑"/>
                <w:sz w:val="24"/>
                <w:szCs w:val="24"/>
                <w:lang w:val="en-US" w:eastAsia="zh-CN"/>
              </w:rPr>
              <w:t>：采购人根据合同约定内容进行验收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微软雅黑" w:hAnsi="微软雅黑" w:eastAsia="微软雅黑" w:cs="微软雅黑"/>
                <w:b w:val="0"/>
                <w:bCs w:val="0"/>
                <w:color w:val="auto"/>
                <w:kern w:val="2"/>
                <w:sz w:val="24"/>
                <w:szCs w:val="24"/>
                <w:lang w:val="en-US" w:eastAsia="zh-CN" w:bidi="ar-SA"/>
              </w:rPr>
            </w:pPr>
            <w:r>
              <w:rPr>
                <w:rFonts w:hint="eastAsia" w:ascii="微软雅黑" w:hAnsi="微软雅黑" w:eastAsia="微软雅黑" w:cs="微软雅黑"/>
                <w:color w:val="auto"/>
                <w:sz w:val="24"/>
                <w:szCs w:val="24"/>
                <w:lang w:val="en-US" w:eastAsia="zh-CN"/>
              </w:rPr>
              <w:t>项目完成后成交供应商需提供本次项目拍摄的所有视频素材文件，在交付视频完成后3月内，在不改变视频结构的前提下可无偿按照采购人相关的修改意见作相应调整。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本项目</w:t>
            </w:r>
            <w:bookmarkStart w:id="218" w:name="_GoBack"/>
            <w:bookmarkEnd w:id="218"/>
            <w:r>
              <w:rPr>
                <w:rFonts w:hint="eastAsia" w:ascii="微软雅黑" w:hAnsi="微软雅黑" w:eastAsia="微软雅黑" w:cs="微软雅黑"/>
                <w:sz w:val="24"/>
                <w:szCs w:val="24"/>
              </w:rPr>
              <w:t>报价</w:t>
            </w:r>
            <w:r>
              <w:rPr>
                <w:rFonts w:hint="eastAsia" w:ascii="微软雅黑" w:hAnsi="微软雅黑" w:eastAsia="微软雅黑" w:cs="微软雅黑"/>
                <w:kern w:val="0"/>
                <w:sz w:val="24"/>
                <w:szCs w:val="24"/>
              </w:rPr>
              <w:t>须为</w:t>
            </w:r>
            <w:r>
              <w:rPr>
                <w:rFonts w:hint="eastAsia" w:ascii="微软雅黑" w:hAnsi="微软雅黑" w:eastAsia="微软雅黑" w:cs="微软雅黑"/>
                <w:kern w:val="0"/>
                <w:sz w:val="24"/>
                <w:szCs w:val="24"/>
                <w:lang w:val="en-US" w:eastAsia="zh-CN"/>
              </w:rPr>
              <w:t>总价包干</w:t>
            </w:r>
            <w:r>
              <w:rPr>
                <w:rFonts w:hint="eastAsia" w:ascii="微软雅黑" w:hAnsi="微软雅黑" w:eastAsia="微软雅黑" w:cs="微软雅黑"/>
                <w:kern w:val="0"/>
                <w:sz w:val="24"/>
                <w:szCs w:val="24"/>
              </w:rPr>
              <w:t>报价</w:t>
            </w:r>
            <w:r>
              <w:rPr>
                <w:rFonts w:hint="eastAsia" w:ascii="微软雅黑" w:hAnsi="微软雅黑" w:eastAsia="微软雅黑" w:cs="微软雅黑"/>
                <w:sz w:val="24"/>
                <w:szCs w:val="24"/>
              </w:rPr>
              <w:t>，包括完成本项目所需</w:t>
            </w:r>
            <w:r>
              <w:rPr>
                <w:rFonts w:hint="eastAsia" w:ascii="微软雅黑" w:hAnsi="微软雅黑" w:eastAsia="微软雅黑" w:cs="微软雅黑"/>
                <w:sz w:val="24"/>
                <w:szCs w:val="24"/>
                <w:lang w:val="en-US" w:eastAsia="zh-CN"/>
              </w:rPr>
              <w:t>的所有费用（</w:t>
            </w:r>
            <w:r>
              <w:rPr>
                <w:rFonts w:hint="eastAsia" w:ascii="微软雅黑" w:hAnsi="微软雅黑" w:eastAsia="微软雅黑" w:cs="微软雅黑"/>
                <w:b w:val="0"/>
                <w:bCs w:val="0"/>
                <w:color w:val="auto"/>
                <w:kern w:val="0"/>
                <w:sz w:val="24"/>
                <w:szCs w:val="24"/>
                <w:lang w:eastAsia="zh-CN"/>
              </w:rPr>
              <w:t>包含</w:t>
            </w:r>
            <w:r>
              <w:rPr>
                <w:rFonts w:hint="eastAsia" w:ascii="微软雅黑" w:hAnsi="微软雅黑" w:eastAsia="微软雅黑" w:cs="微软雅黑"/>
                <w:b w:val="0"/>
                <w:bCs w:val="0"/>
                <w:color w:val="auto"/>
                <w:kern w:val="0"/>
                <w:sz w:val="24"/>
                <w:szCs w:val="24"/>
                <w:lang w:val="en-US" w:eastAsia="zh-CN"/>
              </w:rPr>
              <w:t>且不限于设计费、制作费、拍摄费、后期制作费、施工费</w:t>
            </w:r>
            <w:r>
              <w:rPr>
                <w:rFonts w:hint="eastAsia" w:ascii="微软雅黑" w:hAnsi="微软雅黑" w:eastAsia="微软雅黑" w:cs="微软雅黑"/>
                <w:b w:val="0"/>
                <w:bCs w:val="0"/>
                <w:color w:val="auto"/>
                <w:kern w:val="0"/>
                <w:sz w:val="24"/>
                <w:szCs w:val="24"/>
                <w:lang w:eastAsia="zh-CN"/>
              </w:rPr>
              <w:t>等</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及各种应纳的税费。因</w:t>
            </w:r>
            <w:r>
              <w:rPr>
                <w:rFonts w:hint="eastAsia" w:ascii="微软雅黑" w:hAnsi="微软雅黑" w:eastAsia="微软雅黑" w:cs="微软雅黑"/>
                <w:sz w:val="24"/>
                <w:szCs w:val="24"/>
                <w:lang w:eastAsia="zh-CN"/>
              </w:rPr>
              <w:t>成交供应商</w:t>
            </w:r>
            <w:r>
              <w:rPr>
                <w:rFonts w:hint="eastAsia" w:ascii="微软雅黑" w:hAnsi="微软雅黑" w:eastAsia="微软雅黑" w:cs="微软雅黑"/>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（一）合同签订之后，成交供应商向采购人开具合同金额30%的发票，采购人收到发票后20个工作日内支付。</w:t>
            </w:r>
          </w:p>
          <w:p>
            <w:pPr>
              <w:pStyle w:val="143"/>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Cs w:val="20"/>
                <w:lang w:val="en-US" w:eastAsia="zh-CN"/>
              </w:rPr>
            </w:pPr>
            <w:r>
              <w:rPr>
                <w:rFonts w:hint="eastAsia" w:ascii="微软雅黑" w:hAnsi="微软雅黑" w:eastAsia="微软雅黑" w:cs="微软雅黑"/>
                <w:sz w:val="24"/>
                <w:szCs w:val="24"/>
                <w:lang w:val="en-US" w:eastAsia="zh-CN"/>
              </w:rPr>
              <w:t>（二）验收合格之后，成交供应商向采购人开具合同金额剩余70%的发票，采购人收到发票后20个工作日内支付。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必须在响应文件中对以上条款和服务承诺明确列出，承诺内容必须达到本篇及</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文件其他条款的要求。</w:t>
            </w:r>
          </w:p>
          <w:p>
            <w:pPr>
              <w:keepNext w:val="0"/>
              <w:keepLines w:val="0"/>
              <w:suppressLineNumbers w:val="0"/>
              <w:spacing w:before="0" w:beforeAutospacing="0" w:after="0" w:afterAutospacing="0"/>
              <w:ind w:left="0" w:right="0"/>
              <w:rPr>
                <w:rFonts w:hint="eastAsia" w:ascii="微软雅黑" w:hAnsi="微软雅黑" w:eastAsia="微软雅黑" w:cs="微软雅黑"/>
                <w:b w:val="0"/>
                <w:bCs w:val="0"/>
                <w:kern w:val="2"/>
                <w:sz w:val="24"/>
                <w:szCs w:val="24"/>
                <w:lang w:val="en-US" w:eastAsia="zh-CN" w:bidi="ar-SA"/>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其他未尽事宜由供需双方在采购合同中详细约定。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b w:val="0"/>
                <w:bCs w:val="0"/>
                <w:color w:val="auto"/>
                <w:kern w:val="2"/>
                <w:sz w:val="24"/>
                <w:szCs w:val="24"/>
                <w:lang w:val="en-US" w:eastAsia="zh-CN" w:bidi="ar-SA"/>
              </w:rPr>
            </w:pPr>
            <w:r>
              <w:rPr>
                <w:rFonts w:hint="eastAsia" w:ascii="微软雅黑" w:hAnsi="微软雅黑" w:eastAsia="微软雅黑" w:cs="微软雅黑"/>
                <w:color w:val="auto"/>
                <w:sz w:val="24"/>
                <w:szCs w:val="24"/>
              </w:rPr>
              <w:t>采购人在中华人民共和国境内使用</w:t>
            </w:r>
            <w:r>
              <w:rPr>
                <w:rFonts w:hint="eastAsia" w:ascii="微软雅黑" w:hAnsi="微软雅黑" w:eastAsia="微软雅黑" w:cs="微软雅黑"/>
                <w:color w:val="auto"/>
                <w:sz w:val="24"/>
                <w:szCs w:val="24"/>
                <w:lang w:eastAsia="zh-CN"/>
              </w:rPr>
              <w:t>成交供应商</w:t>
            </w:r>
            <w:r>
              <w:rPr>
                <w:rFonts w:hint="eastAsia" w:ascii="微软雅黑" w:hAnsi="微软雅黑" w:eastAsia="微软雅黑" w:cs="微软雅黑"/>
                <w:color w:val="auto"/>
                <w:sz w:val="24"/>
                <w:szCs w:val="24"/>
              </w:rPr>
              <w:t>提供的货物及服务时免受第三方提出的侵犯其专利权或其它知识产权的起诉。如果第三方提出侵权指控，</w:t>
            </w:r>
            <w:r>
              <w:rPr>
                <w:rFonts w:hint="eastAsia" w:ascii="微软雅黑" w:hAnsi="微软雅黑" w:eastAsia="微软雅黑" w:cs="微软雅黑"/>
                <w:color w:val="auto"/>
                <w:sz w:val="24"/>
                <w:szCs w:val="24"/>
                <w:lang w:eastAsia="zh-CN"/>
              </w:rPr>
              <w:t>成交供应商</w:t>
            </w:r>
            <w:r>
              <w:rPr>
                <w:rFonts w:hint="eastAsia" w:ascii="微软雅黑" w:hAnsi="微软雅黑" w:eastAsia="微软雅黑" w:cs="微软雅黑"/>
                <w:color w:val="auto"/>
                <w:sz w:val="24"/>
                <w:szCs w:val="24"/>
              </w:rPr>
              <w:t>应承担由此而引起的一切法律责任和</w:t>
            </w:r>
            <w:r>
              <w:rPr>
                <w:rFonts w:hint="eastAsia" w:ascii="微软雅黑" w:hAnsi="微软雅黑" w:eastAsia="微软雅黑" w:cs="微软雅黑"/>
                <w:color w:val="auto"/>
                <w:sz w:val="24"/>
                <w:szCs w:val="24"/>
                <w:lang w:val="en-US" w:eastAsia="zh-CN"/>
              </w:rPr>
              <w:t>经济责任</w:t>
            </w:r>
            <w:r>
              <w:rPr>
                <w:rFonts w:hint="eastAsia" w:ascii="微软雅黑" w:hAnsi="微软雅黑" w:eastAsia="微软雅黑" w:cs="微软雅黑"/>
                <w:color w:val="auto"/>
                <w:sz w:val="24"/>
                <w:szCs w:val="24"/>
              </w:rPr>
              <w:t>。</w:t>
            </w:r>
          </w:p>
        </w:tc>
      </w:tr>
    </w:tbl>
    <w:p>
      <w:pPr>
        <w:pStyle w:val="68"/>
        <w:rPr>
          <w:rFonts w:hint="eastAsia"/>
        </w:rPr>
      </w:pPr>
    </w:p>
    <w:p>
      <w:pPr>
        <w:rPr>
          <w:rFonts w:hint="eastAsia" w:ascii="方正仿宋_GBK" w:hAnsi="Times New Roman" w:eastAsia="方正仿宋_GBK" w:cs="Times New Roman"/>
          <w:b/>
          <w:sz w:val="44"/>
          <w:szCs w:val="20"/>
        </w:rPr>
      </w:pPr>
      <w:bookmarkStart w:id="89" w:name="_Toc6692"/>
      <w:bookmarkStart w:id="90" w:name="_Toc106030887"/>
      <w:bookmarkStart w:id="91" w:name="_Toc76462332"/>
      <w:r>
        <w:rPr>
          <w:rFonts w:hint="eastAsia" w:ascii="方正仿宋_GBK" w:hAnsi="Times New Roman" w:eastAsia="方正仿宋_GBK" w:cs="Times New Roman"/>
          <w:b/>
          <w:sz w:val="44"/>
          <w:szCs w:val="20"/>
        </w:rPr>
        <w:br w:type="page"/>
      </w:r>
    </w:p>
    <w:bookmarkEnd w:id="89"/>
    <w:bookmarkEnd w:id="90"/>
    <w:bookmarkEnd w:id="91"/>
    <w:p>
      <w:pPr>
        <w:pStyle w:val="4"/>
        <w:pageBreakBefore w:val="0"/>
        <w:spacing w:before="200" w:after="200" w:line="240" w:lineRule="auto"/>
        <w:jc w:val="center"/>
        <w:rPr>
          <w:rFonts w:hint="eastAsia" w:ascii="微软雅黑" w:hAnsi="微软雅黑" w:eastAsia="微软雅黑" w:cs="微软雅黑"/>
          <w:b/>
          <w:sz w:val="44"/>
          <w:szCs w:val="20"/>
        </w:rPr>
      </w:pPr>
      <w:bookmarkStart w:id="92" w:name="_Toc641"/>
      <w:bookmarkStart w:id="93" w:name="_Toc29619"/>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92"/>
      <w:bookmarkEnd w:id="9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4" w:name="_Toc106030888"/>
      <w:bookmarkStart w:id="95" w:name="_Toc9647"/>
      <w:bookmarkStart w:id="96" w:name="_Toc13485"/>
      <w:bookmarkStart w:id="97" w:name="_Toc76462333"/>
      <w:bookmarkStart w:id="98" w:name="_Toc1495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4"/>
      <w:bookmarkEnd w:id="95"/>
      <w:bookmarkEnd w:id="96"/>
      <w:bookmarkEnd w:id="97"/>
      <w:bookmarkEnd w:id="9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936"/>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kern w:val="0"/>
                <w:sz w:val="21"/>
                <w:szCs w:val="21"/>
              </w:rPr>
            </w:pPr>
            <w:r>
              <w:rPr>
                <w:rFonts w:hint="eastAsia" w:ascii="微软雅黑" w:hAnsi="微软雅黑" w:eastAsia="微软雅黑" w:cs="微软雅黑"/>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kern w:val="0"/>
                <w:sz w:val="21"/>
                <w:szCs w:val="21"/>
              </w:rPr>
            </w:pPr>
            <w:r>
              <w:rPr>
                <w:rFonts w:hint="eastAsia" w:ascii="微软雅黑" w:hAnsi="微软雅黑" w:eastAsia="微软雅黑" w:cs="微软雅黑"/>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kern w:val="0"/>
                <w:sz w:val="21"/>
                <w:szCs w:val="21"/>
              </w:rPr>
            </w:pPr>
            <w:r>
              <w:rPr>
                <w:rFonts w:hint="eastAsia" w:ascii="微软雅黑" w:hAnsi="微软雅黑" w:eastAsia="微软雅黑" w:cs="微软雅黑"/>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936"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b/>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c>
          <w:tcPr>
            <w:tcW w:w="2936"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c>
          <w:tcPr>
            <w:tcW w:w="2936"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按“第一篇三、</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资格要求（三）本项目的特定资格要求”的要求提交（如果有）。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keepNext w:val="0"/>
              <w:keepLines w:val="0"/>
              <w:suppressLineNumbers w:val="0"/>
              <w:spacing w:before="0" w:beforeAutospacing="0" w:after="0" w:afterAutospacing="0"/>
              <w:ind w:left="0" w:right="0"/>
              <w:jc w:val="left"/>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936" w:type="dxa"/>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bookmarkStart w:id="99" w:name="_Toc1231"/>
      <w:bookmarkStart w:id="100" w:name="_Toc25824"/>
      <w:r>
        <w:rPr>
          <w:rFonts w:hint="eastAsia" w:ascii="微软雅黑" w:hAnsi="微软雅黑" w:eastAsia="微软雅黑" w:cs="微软雅黑"/>
          <w:sz w:val="24"/>
          <w:lang w:val="en-US" w:eastAsia="zh-CN"/>
        </w:rPr>
        <w:t>二、报价方式</w:t>
      </w:r>
      <w:bookmarkEnd w:id="99"/>
    </w:p>
    <w:p>
      <w:pPr>
        <w:pStyle w:val="4"/>
        <w:adjustRightInd w:val="0"/>
        <w:snapToGrid w:val="0"/>
        <w:spacing w:before="0" w:after="0" w:line="400" w:lineRule="exact"/>
        <w:ind w:firstLine="480" w:firstLineChars="200"/>
        <w:rPr>
          <w:rFonts w:hint="eastAsia" w:ascii="微软雅黑" w:hAnsi="微软雅黑" w:eastAsia="微软雅黑" w:cs="微软雅黑"/>
          <w:b w:val="0"/>
          <w:bCs/>
          <w:sz w:val="24"/>
          <w:lang w:val="en-US" w:eastAsia="zh-CN"/>
        </w:rPr>
      </w:pPr>
      <w:bookmarkStart w:id="101" w:name="_Toc19879"/>
      <w:bookmarkStart w:id="102" w:name="_Toc5837"/>
      <w:r>
        <w:rPr>
          <w:rFonts w:hint="eastAsia" w:ascii="微软雅黑" w:hAnsi="微软雅黑" w:eastAsia="微软雅黑" w:cs="微软雅黑"/>
          <w:b w:val="0"/>
          <w:bCs/>
          <w:sz w:val="24"/>
          <w:szCs w:val="24"/>
          <w:lang w:val="en-US" w:eastAsia="zh-CN"/>
        </w:rPr>
        <w:t>本项目投标人可在投标现场进行第二次报价。</w:t>
      </w:r>
      <w:bookmarkEnd w:id="101"/>
      <w:bookmarkEnd w:id="10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3" w:name="_Toc12326"/>
      <w:r>
        <w:rPr>
          <w:rFonts w:hint="eastAsia" w:ascii="微软雅黑" w:hAnsi="微软雅黑" w:eastAsia="微软雅黑" w:cs="微软雅黑"/>
          <w:sz w:val="24"/>
          <w:lang w:val="en-US" w:eastAsia="zh-CN"/>
        </w:rPr>
        <w:t>三、评标方法</w:t>
      </w:r>
      <w:bookmarkEnd w:id="100"/>
      <w:bookmarkEnd w:id="103"/>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评审得分相同的，由采购人委托评标委员会按照招标文件规定的方式确定一个投标人获得中标人推荐资格，招标文件未规定的采取随机抽取方式确定，其他同品牌投标人不作为中标候选人。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bookmarkStart w:id="104" w:name="_Toc18577"/>
      <w:bookmarkStart w:id="105" w:name="_Toc76462334"/>
      <w:bookmarkStart w:id="106" w:name="_Toc17027"/>
      <w:bookmarkStart w:id="107" w:name="_Toc30944"/>
      <w:bookmarkStart w:id="108" w:name="_Toc106030889"/>
      <w:bookmarkStart w:id="109" w:name="_Toc102227320"/>
      <w:bookmarkStart w:id="110" w:name="_Toc342913394"/>
      <w:r>
        <w:rPr>
          <w:rFonts w:hint="eastAsia" w:ascii="微软雅黑" w:hAnsi="微软雅黑" w:eastAsia="微软雅黑" w:cs="微软雅黑"/>
          <w:sz w:val="24"/>
          <w:lang w:val="en-US" w:eastAsia="zh-CN"/>
        </w:rPr>
        <w:t>四、评审标准</w:t>
      </w:r>
      <w:bookmarkEnd w:id="104"/>
      <w:bookmarkEnd w:id="105"/>
      <w:bookmarkEnd w:id="106"/>
      <w:bookmarkEnd w:id="107"/>
      <w:bookmarkEnd w:id="108"/>
    </w:p>
    <w:tbl>
      <w:tblPr>
        <w:tblStyle w:val="58"/>
        <w:tblW w:w="97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1265"/>
        <w:gridCol w:w="1125"/>
        <w:gridCol w:w="5025"/>
        <w:gridCol w:w="1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bookmarkStart w:id="111" w:name="_Toc76462335"/>
            <w:bookmarkStart w:id="112" w:name="_Toc31497"/>
            <w:bookmarkStart w:id="113" w:name="_Toc106030890"/>
            <w:bookmarkStart w:id="114" w:name="_Toc10063"/>
            <w:r>
              <w:rPr>
                <w:rFonts w:hint="eastAsia" w:ascii="微软雅黑" w:hAnsi="微软雅黑" w:eastAsia="微软雅黑" w:cs="微软雅黑"/>
                <w:b/>
                <w:sz w:val="21"/>
                <w:szCs w:val="21"/>
              </w:rPr>
              <w:t>序号</w:t>
            </w:r>
          </w:p>
        </w:tc>
        <w:tc>
          <w:tcPr>
            <w:tcW w:w="126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评分因素及权重</w:t>
            </w: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分值</w:t>
            </w:r>
          </w:p>
        </w:tc>
        <w:tc>
          <w:tcPr>
            <w:tcW w:w="50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评分标准</w:t>
            </w:r>
          </w:p>
        </w:tc>
        <w:tc>
          <w:tcPr>
            <w:tcW w:w="1477" w:type="dxa"/>
            <w:noWrap w:val="0"/>
            <w:vAlign w:val="center"/>
          </w:tcPr>
          <w:p>
            <w:pPr>
              <w:pStyle w:val="238"/>
              <w:keepNext w:val="0"/>
              <w:keepLines w:val="0"/>
              <w:pageBreakBefore w:val="0"/>
              <w:widowControl w:val="0"/>
              <w:suppressLineNumbers w:val="0"/>
              <w:kinsoku/>
              <w:wordWrap/>
              <w:overflowPunct/>
              <w:topLinePunct w:val="0"/>
              <w:autoSpaceDE/>
              <w:autoSpaceDN/>
              <w:bidi w:val="0"/>
              <w:adjustRightInd w:val="0"/>
              <w:snapToGrid w:val="0"/>
              <w:spacing w:before="0" w:after="0" w:line="240" w:lineRule="auto"/>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1" w:hRule="atLeast"/>
        </w:trPr>
        <w:tc>
          <w:tcPr>
            <w:tcW w:w="81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bookmarkStart w:id="115" w:name="OLE_LINK7" w:colFirst="3" w:colLast="3"/>
            <w:bookmarkStart w:id="116" w:name="OLE_LINK8" w:colFirst="3" w:colLast="3"/>
            <w:bookmarkStart w:id="117" w:name="_Hlk523824638"/>
            <w:r>
              <w:rPr>
                <w:rFonts w:hint="eastAsia" w:ascii="微软雅黑" w:hAnsi="微软雅黑" w:eastAsia="微软雅黑" w:cs="微软雅黑"/>
                <w:sz w:val="21"/>
                <w:szCs w:val="21"/>
              </w:rPr>
              <w:t>1</w:t>
            </w:r>
          </w:p>
        </w:tc>
        <w:tc>
          <w:tcPr>
            <w:tcW w:w="126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投标</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报价</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10</w:t>
            </w:r>
            <w:r>
              <w:rPr>
                <w:rFonts w:hint="eastAsia" w:ascii="微软雅黑" w:hAnsi="微软雅黑" w:eastAsia="微软雅黑" w:cs="微软雅黑"/>
                <w:sz w:val="21"/>
                <w:szCs w:val="21"/>
              </w:rPr>
              <w:t>%）</w:t>
            </w: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10分</w:t>
            </w:r>
          </w:p>
        </w:tc>
        <w:tc>
          <w:tcPr>
            <w:tcW w:w="50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有效的投标报价中的最低价为评标基准价，其价格分为满分。其他投标人的价格分统一按照下列公式计算。投标报价得分＝（基准价/最后报价）×价格权值×100</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rPr>
              <w:t>。</w:t>
            </w:r>
          </w:p>
        </w:tc>
        <w:tc>
          <w:tcPr>
            <w:tcW w:w="1477"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38" w:right="0"/>
              <w:textAlignment w:val="auto"/>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9707" w:type="dxa"/>
            <w:gridSpan w:val="5"/>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38" w:right="0"/>
              <w:jc w:val="left"/>
              <w:textAlignment w:val="auto"/>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投标人须满足“第二篇 项目服务需求”中的所有条款，如有任一条不满足则被视为无效投标，不再进入后续评审环节。</w:t>
            </w:r>
          </w:p>
        </w:tc>
      </w:tr>
      <w:bookmarkEnd w:id="115"/>
      <w:bookmarkEnd w:id="116"/>
      <w:bookmarkEnd w:id="11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7" w:hRule="atLeast"/>
        </w:trPr>
        <w:tc>
          <w:tcPr>
            <w:tcW w:w="815" w:type="dxa"/>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265" w:type="dxa"/>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技术</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部分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80</w:t>
            </w:r>
            <w:r>
              <w:rPr>
                <w:rFonts w:hint="eastAsia" w:ascii="微软雅黑" w:hAnsi="微软雅黑" w:eastAsia="微软雅黑" w:cs="微软雅黑"/>
                <w:sz w:val="21"/>
                <w:szCs w:val="21"/>
              </w:rPr>
              <w:t>%）</w:t>
            </w: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40分</w:t>
            </w:r>
          </w:p>
        </w:tc>
        <w:tc>
          <w:tcPr>
            <w:tcW w:w="50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1.宣传文化墙设计方案及创作构想</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方案设计中对本项目建设目标意义理解深刻、对中心文化进行高度提炼；定位准确、展示内容准确完整，具备行业特色及重庆特色。方案整体设计理念、设计元素、色彩运用、设计风格；空间设计与建筑空间相契合，布局合理，具备艺术性、美观性。造型和风格能充分展现简约大气，行业元素和文化元素完美结合。制作方案，描述清晰，完整可行。</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评分设置</w:t>
            </w:r>
            <w:r>
              <w:rPr>
                <w:rFonts w:hint="eastAsia" w:ascii="微软雅黑" w:hAnsi="微软雅黑" w:eastAsia="微软雅黑" w:cs="微软雅黑"/>
                <w:sz w:val="21"/>
                <w:szCs w:val="21"/>
                <w:lang w:val="en-US" w:eastAsia="zh-CN"/>
              </w:rPr>
              <w:t>6</w:t>
            </w:r>
            <w:r>
              <w:rPr>
                <w:rFonts w:hint="eastAsia" w:ascii="微软雅黑" w:hAnsi="微软雅黑" w:eastAsia="微软雅黑" w:cs="微软雅黑"/>
                <w:sz w:val="21"/>
                <w:szCs w:val="21"/>
              </w:rPr>
              <w:t>挡：优</w:t>
            </w:r>
            <w:r>
              <w:rPr>
                <w:rFonts w:hint="eastAsia" w:ascii="微软雅黑" w:hAnsi="微软雅黑" w:eastAsia="微软雅黑" w:cs="微软雅黑"/>
                <w:sz w:val="21"/>
                <w:szCs w:val="21"/>
                <w:lang w:val="en-US" w:eastAsia="zh-CN"/>
              </w:rPr>
              <w:t>15</w:t>
            </w:r>
            <w:r>
              <w:rPr>
                <w:rFonts w:hint="eastAsia" w:ascii="微软雅黑" w:hAnsi="微软雅黑" w:eastAsia="微软雅黑" w:cs="微软雅黑"/>
                <w:sz w:val="21"/>
                <w:szCs w:val="21"/>
              </w:rPr>
              <w:t>分</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良</w:t>
            </w:r>
            <w:r>
              <w:rPr>
                <w:rFonts w:hint="eastAsia" w:ascii="微软雅黑" w:hAnsi="微软雅黑" w:eastAsia="微软雅黑" w:cs="微软雅黑"/>
                <w:sz w:val="21"/>
                <w:szCs w:val="21"/>
                <w:lang w:val="en-US" w:eastAsia="zh-CN"/>
              </w:rPr>
              <w:t>好10</w:t>
            </w:r>
            <w:r>
              <w:rPr>
                <w:rFonts w:hint="eastAsia" w:ascii="微软雅黑" w:hAnsi="微软雅黑" w:eastAsia="微软雅黑" w:cs="微软雅黑"/>
                <w:sz w:val="21"/>
                <w:szCs w:val="21"/>
              </w:rPr>
              <w:t>分</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良8分、中7</w:t>
            </w:r>
            <w:r>
              <w:rPr>
                <w:rFonts w:hint="eastAsia" w:ascii="微软雅黑" w:hAnsi="微软雅黑" w:eastAsia="微软雅黑" w:cs="微软雅黑"/>
                <w:sz w:val="21"/>
                <w:szCs w:val="21"/>
              </w:rPr>
              <w:t>分</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较差3分、</w:t>
            </w:r>
            <w:r>
              <w:rPr>
                <w:rFonts w:hint="eastAsia" w:ascii="微软雅黑" w:hAnsi="微软雅黑" w:eastAsia="微软雅黑" w:cs="微软雅黑"/>
                <w:sz w:val="21"/>
                <w:szCs w:val="21"/>
              </w:rPr>
              <w:t>差</w:t>
            </w:r>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sz w:val="21"/>
                <w:szCs w:val="21"/>
              </w:rPr>
              <w:t>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2.样品及设计效果方案演示</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设计方案应包含2个角度360度全景效果图，3d漫游视频，现场空间尺寸设计效果图、上墙平面设计图，上墙平面设计图不低于10张，应体现出国家儿童健康与疾病临床医学研究中心文化价值同时需具备艺术性、美观性。</w:t>
            </w:r>
            <w:r>
              <w:rPr>
                <w:rFonts w:hint="eastAsia" w:ascii="微软雅黑" w:hAnsi="微软雅黑" w:eastAsia="微软雅黑" w:cs="微软雅黑"/>
                <w:sz w:val="21"/>
                <w:szCs w:val="21"/>
              </w:rPr>
              <w:t>②</w:t>
            </w:r>
            <w:r>
              <w:rPr>
                <w:rFonts w:hint="eastAsia" w:ascii="微软雅黑" w:hAnsi="微软雅黑" w:eastAsia="微软雅黑" w:cs="微软雅黑"/>
                <w:sz w:val="21"/>
                <w:szCs w:val="21"/>
                <w:lang w:val="en-US" w:eastAsia="zh-CN"/>
              </w:rPr>
              <w:t>样品展示应按照实际上墙材质进行展示，并标注使用材质。</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评分设置</w:t>
            </w:r>
            <w:r>
              <w:rPr>
                <w:rFonts w:hint="eastAsia" w:ascii="微软雅黑" w:hAnsi="微软雅黑" w:eastAsia="微软雅黑" w:cs="微软雅黑"/>
                <w:sz w:val="21"/>
                <w:szCs w:val="21"/>
                <w:lang w:val="en-US" w:eastAsia="zh-CN"/>
              </w:rPr>
              <w:t>6</w:t>
            </w:r>
            <w:r>
              <w:rPr>
                <w:rFonts w:hint="eastAsia" w:ascii="微软雅黑" w:hAnsi="微软雅黑" w:eastAsia="微软雅黑" w:cs="微软雅黑"/>
                <w:sz w:val="21"/>
                <w:szCs w:val="21"/>
              </w:rPr>
              <w:t>挡：优</w:t>
            </w:r>
            <w:r>
              <w:rPr>
                <w:rFonts w:hint="eastAsia" w:ascii="微软雅黑" w:hAnsi="微软雅黑" w:eastAsia="微软雅黑" w:cs="微软雅黑"/>
                <w:sz w:val="21"/>
                <w:szCs w:val="21"/>
                <w:lang w:val="en-US" w:eastAsia="zh-CN"/>
              </w:rPr>
              <w:t>15</w:t>
            </w:r>
            <w:r>
              <w:rPr>
                <w:rFonts w:hint="eastAsia" w:ascii="微软雅黑" w:hAnsi="微软雅黑" w:eastAsia="微软雅黑" w:cs="微软雅黑"/>
                <w:sz w:val="21"/>
                <w:szCs w:val="21"/>
              </w:rPr>
              <w:t>分</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良</w:t>
            </w:r>
            <w:r>
              <w:rPr>
                <w:rFonts w:hint="eastAsia" w:ascii="微软雅黑" w:hAnsi="微软雅黑" w:eastAsia="微软雅黑" w:cs="微软雅黑"/>
                <w:sz w:val="21"/>
                <w:szCs w:val="21"/>
                <w:lang w:val="en-US" w:eastAsia="zh-CN"/>
              </w:rPr>
              <w:t>好10</w:t>
            </w:r>
            <w:r>
              <w:rPr>
                <w:rFonts w:hint="eastAsia" w:ascii="微软雅黑" w:hAnsi="微软雅黑" w:eastAsia="微软雅黑" w:cs="微软雅黑"/>
                <w:sz w:val="21"/>
                <w:szCs w:val="21"/>
              </w:rPr>
              <w:t>分</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良8分、中7</w:t>
            </w:r>
            <w:r>
              <w:rPr>
                <w:rFonts w:hint="eastAsia" w:ascii="微软雅黑" w:hAnsi="微软雅黑" w:eastAsia="微软雅黑" w:cs="微软雅黑"/>
                <w:sz w:val="21"/>
                <w:szCs w:val="21"/>
              </w:rPr>
              <w:t>分</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较差3分、</w:t>
            </w:r>
            <w:r>
              <w:rPr>
                <w:rFonts w:hint="eastAsia" w:ascii="微软雅黑" w:hAnsi="微软雅黑" w:eastAsia="微软雅黑" w:cs="微软雅黑"/>
                <w:sz w:val="21"/>
                <w:szCs w:val="21"/>
              </w:rPr>
              <w:t>差</w:t>
            </w:r>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sz w:val="21"/>
                <w:szCs w:val="21"/>
              </w:rPr>
              <w:t>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3.项目经验</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提供公司3年内相关宣传设计制作案例进行展示。</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 w:val="21"/>
                <w:szCs w:val="21"/>
              </w:rPr>
              <w:t>评分设置</w:t>
            </w:r>
            <w:r>
              <w:rPr>
                <w:rFonts w:hint="eastAsia" w:ascii="微软雅黑" w:hAnsi="微软雅黑" w:eastAsia="微软雅黑" w:cs="微软雅黑"/>
                <w:sz w:val="21"/>
                <w:szCs w:val="21"/>
                <w:lang w:val="en-US" w:eastAsia="zh-CN"/>
              </w:rPr>
              <w:t>6</w:t>
            </w:r>
            <w:r>
              <w:rPr>
                <w:rFonts w:hint="eastAsia" w:ascii="微软雅黑" w:hAnsi="微软雅黑" w:eastAsia="微软雅黑" w:cs="微软雅黑"/>
                <w:sz w:val="21"/>
                <w:szCs w:val="21"/>
              </w:rPr>
              <w:t>挡：优</w:t>
            </w:r>
            <w:r>
              <w:rPr>
                <w:rFonts w:hint="eastAsia" w:ascii="微软雅黑" w:hAnsi="微软雅黑" w:eastAsia="微软雅黑" w:cs="微软雅黑"/>
                <w:sz w:val="21"/>
                <w:szCs w:val="21"/>
                <w:lang w:val="en-US" w:eastAsia="zh-CN"/>
              </w:rPr>
              <w:t>10</w:t>
            </w:r>
            <w:r>
              <w:rPr>
                <w:rFonts w:hint="eastAsia" w:ascii="微软雅黑" w:hAnsi="微软雅黑" w:eastAsia="微软雅黑" w:cs="微软雅黑"/>
                <w:sz w:val="21"/>
                <w:szCs w:val="21"/>
              </w:rPr>
              <w:t>分</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良</w:t>
            </w:r>
            <w:r>
              <w:rPr>
                <w:rFonts w:hint="eastAsia" w:ascii="微软雅黑" w:hAnsi="微软雅黑" w:eastAsia="微软雅黑" w:cs="微软雅黑"/>
                <w:sz w:val="21"/>
                <w:szCs w:val="21"/>
                <w:lang w:val="en-US" w:eastAsia="zh-CN"/>
              </w:rPr>
              <w:t>好8</w:t>
            </w:r>
            <w:r>
              <w:rPr>
                <w:rFonts w:hint="eastAsia" w:ascii="微软雅黑" w:hAnsi="微软雅黑" w:eastAsia="微软雅黑" w:cs="微软雅黑"/>
                <w:sz w:val="21"/>
                <w:szCs w:val="21"/>
              </w:rPr>
              <w:t>分</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良6分、中5</w:t>
            </w:r>
            <w:r>
              <w:rPr>
                <w:rFonts w:hint="eastAsia" w:ascii="微软雅黑" w:hAnsi="微软雅黑" w:eastAsia="微软雅黑" w:cs="微软雅黑"/>
                <w:sz w:val="21"/>
                <w:szCs w:val="21"/>
              </w:rPr>
              <w:t>分</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较差3分、</w:t>
            </w:r>
            <w:r>
              <w:rPr>
                <w:rFonts w:hint="eastAsia" w:ascii="微软雅黑" w:hAnsi="微软雅黑" w:eastAsia="微软雅黑" w:cs="微软雅黑"/>
                <w:sz w:val="21"/>
                <w:szCs w:val="21"/>
              </w:rPr>
              <w:t>差</w:t>
            </w:r>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sz w:val="21"/>
                <w:szCs w:val="21"/>
              </w:rPr>
              <w:t>分。</w:t>
            </w:r>
          </w:p>
        </w:tc>
        <w:tc>
          <w:tcPr>
            <w:tcW w:w="1477" w:type="dxa"/>
            <w:noWrap w:val="0"/>
            <w:vAlign w:val="center"/>
          </w:tcPr>
          <w:p>
            <w:pPr>
              <w:pStyle w:val="23"/>
              <w:keepNext w:val="0"/>
              <w:keepLines w:val="0"/>
              <w:suppressLineNumbers w:val="0"/>
              <w:spacing w:before="0" w:beforeAutospacing="0" w:after="0" w:afterAutospacing="0" w:line="240" w:lineRule="auto"/>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rPr>
              <w:t>投标人根据招标文件提供的资料进行项目理解与分析后自行策展方案</w:t>
            </w:r>
            <w:r>
              <w:rPr>
                <w:rFonts w:hint="eastAsia" w:ascii="微软雅黑" w:hAnsi="微软雅黑" w:eastAsia="微软雅黑" w:cs="微软雅黑"/>
                <w:sz w:val="21"/>
                <w:szCs w:val="21"/>
                <w:lang w:val="en-US" w:eastAsia="zh-CN"/>
              </w:rPr>
              <w:t>，格式内容自拟。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3" w:hRule="atLeast"/>
        </w:trPr>
        <w:tc>
          <w:tcPr>
            <w:tcW w:w="815"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p>
        </w:tc>
        <w:tc>
          <w:tcPr>
            <w:tcW w:w="1265"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40分</w:t>
            </w:r>
          </w:p>
        </w:tc>
        <w:tc>
          <w:tcPr>
            <w:tcW w:w="5025" w:type="dxa"/>
            <w:noWrap w:val="0"/>
            <w:vAlign w:val="center"/>
          </w:tcPr>
          <w:p>
            <w:pPr>
              <w:pStyle w:val="16"/>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textAlignment w:val="baseline"/>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1.投标人在招标现场播放1—2部近五年（从2018年1月1日起至今）摄制过的同类型宣传片，并对本项目提出创作构想，演示时长5分钟-8分钟。</w:t>
            </w:r>
          </w:p>
          <w:p>
            <w:pPr>
              <w:pStyle w:val="16"/>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textAlignment w:val="baseline"/>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评分设置6挡：优15分、良好10分、良8分、中7分、较差3分、差1分。</w:t>
            </w:r>
          </w:p>
          <w:p>
            <w:pPr>
              <w:pStyle w:val="16"/>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textAlignment w:val="baseline"/>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2.提供现场方案描述及展示：</w:t>
            </w:r>
          </w:p>
          <w:p>
            <w:pPr>
              <w:pStyle w:val="16"/>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textAlignment w:val="baseline"/>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2.1有拍摄制作方案，描述清晰，完整可行，且策划方案具有医院、中心文化特色，内容恰当、有创意。</w:t>
            </w:r>
          </w:p>
          <w:p>
            <w:pPr>
              <w:pStyle w:val="16"/>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textAlignment w:val="baseline"/>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评分设置6挡：优15分、良好10分、良8分、中7分、较差3分、差1分。</w:t>
            </w:r>
          </w:p>
          <w:p>
            <w:pPr>
              <w:pStyle w:val="16"/>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textAlignment w:val="baseline"/>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2.2摄制方案质量保障，服务团队人力及资源保障。</w:t>
            </w:r>
          </w:p>
          <w:p>
            <w:pPr>
              <w:pStyle w:val="16"/>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textAlignment w:val="baseline"/>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针对该项目有详尽的拍摄方案及后期制作方案，具备自有团队人员、专业设备器材等。</w:t>
            </w:r>
          </w:p>
          <w:p>
            <w:pPr>
              <w:pStyle w:val="16"/>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textAlignment w:val="baseline"/>
              <w:rPr>
                <w:rFonts w:hint="eastAsia" w:ascii="微软雅黑" w:hAnsi="微软雅黑" w:eastAsia="微软雅黑" w:cs="微软雅黑"/>
                <w:sz w:val="21"/>
                <w:szCs w:val="21"/>
                <w:lang w:val="en-US" w:eastAsia="zh-Hans"/>
              </w:rPr>
            </w:pPr>
            <w:r>
              <w:rPr>
                <w:rFonts w:hint="eastAsia" w:ascii="微软雅黑" w:hAnsi="微软雅黑" w:eastAsia="微软雅黑" w:cs="微软雅黑"/>
                <w:sz w:val="21"/>
                <w:szCs w:val="21"/>
                <w:lang w:val="en-US" w:eastAsia="zh-CN"/>
              </w:rPr>
              <w:t>评分设置6挡：优10分、良好8分、良6分、中5分、较差3分、差1分。</w:t>
            </w:r>
          </w:p>
        </w:tc>
        <w:tc>
          <w:tcPr>
            <w:tcW w:w="1477" w:type="dxa"/>
            <w:noWrap w:val="0"/>
            <w:vAlign w:val="center"/>
          </w:tcPr>
          <w:p>
            <w:pPr>
              <w:pStyle w:val="16"/>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textAlignment w:val="baseline"/>
              <w:rPr>
                <w:rFonts w:hint="eastAsia" w:ascii="微软雅黑" w:hAnsi="微软雅黑" w:eastAsia="微软雅黑" w:cs="微软雅黑"/>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707" w:type="dxa"/>
            <w:gridSpan w:val="5"/>
            <w:noWrap w:val="0"/>
            <w:vAlign w:val="center"/>
          </w:tcPr>
          <w:p>
            <w:pPr>
              <w:keepNext w:val="0"/>
              <w:keepLines w:val="0"/>
              <w:pageBreakBefore w:val="0"/>
              <w:widowControl w:val="0"/>
              <w:suppressLineNumbers w:val="0"/>
              <w:tabs>
                <w:tab w:val="left" w:pos="2497"/>
              </w:tabs>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val="en-US" w:eastAsia="zh-CN"/>
              </w:rPr>
              <w:t>投标人须满足“第三篇 项目商务需求”中的所有条款，如有任一条不满足则被视为无效投标，不再进入后续评审环节。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5" w:hRule="atLeast"/>
        </w:trPr>
        <w:tc>
          <w:tcPr>
            <w:tcW w:w="81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126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商务</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部分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sz w:val="21"/>
                <w:szCs w:val="21"/>
                <w:lang w:eastAsia="zh-CN"/>
              </w:rPr>
              <w:t>0</w:t>
            </w:r>
            <w:r>
              <w:rPr>
                <w:rFonts w:hint="eastAsia" w:ascii="微软雅黑" w:hAnsi="微软雅黑" w:eastAsia="微软雅黑" w:cs="微软雅黑"/>
                <w:sz w:val="21"/>
                <w:szCs w:val="21"/>
              </w:rPr>
              <w:t>%）</w:t>
            </w: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10分</w:t>
            </w:r>
          </w:p>
        </w:tc>
        <w:tc>
          <w:tcPr>
            <w:tcW w:w="50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1.投标人近三年来（从2020年1月1日起）具有为政府机关、事业单位、高校或三甲医院宣传设计制作合同，每个得1分，该部分最多得2分。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2.投标人近三年来（从2020年1月1日起）具有为政府机关及事业单位完成视频拍摄制作合同，每个得1分，（以上必须是视频摄制类项目，不含投播及推广），该部分最多得3分。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3.投标人近五年来（从2018年1月1日起）独立完成的视频作品荣获：国家级奖项，每有1项得3分；省市级奖项，每有1项得1分；该部分最多得5分。</w:t>
            </w:r>
          </w:p>
        </w:tc>
        <w:tc>
          <w:tcPr>
            <w:tcW w:w="1477"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1.提供合同或中标通知书复印件并加盖公章，原件备查。</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2.提供获奖作品的合同复印件及获奖证明复印件，以列表的形式提供委托单位联系人及电话。</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19214"/>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111"/>
      <w:bookmarkEnd w:id="112"/>
      <w:bookmarkEnd w:id="113"/>
      <w:bookmarkEnd w:id="114"/>
      <w:bookmarkEnd w:id="11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的法定代表人（或其授权代表）或自然人未参加</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bookmarkStart w:id="119" w:name="_Toc10687"/>
      <w:bookmarkStart w:id="120" w:name="_Toc31119"/>
      <w:bookmarkStart w:id="121" w:name="_Toc76462336"/>
      <w:bookmarkStart w:id="122" w:name="_Toc106030891"/>
      <w:bookmarkStart w:id="123" w:name="_Toc27379"/>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109"/>
      <w:bookmarkEnd w:id="110"/>
      <w:bookmarkEnd w:id="119"/>
      <w:bookmarkEnd w:id="120"/>
      <w:bookmarkEnd w:id="121"/>
      <w:bookmarkEnd w:id="122"/>
      <w:r>
        <w:rPr>
          <w:rFonts w:hint="eastAsia" w:ascii="微软雅黑" w:hAnsi="微软雅黑" w:eastAsia="微软雅黑" w:cs="微软雅黑"/>
          <w:sz w:val="24"/>
          <w:lang w:val="en-US" w:eastAsia="zh-CN"/>
        </w:rPr>
        <w:t>废标条款</w:t>
      </w:r>
      <w:bookmarkEnd w:id="123"/>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（三）在采购过程中符合要求的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或者报价未超过采购预算的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不足3家的</w:t>
      </w:r>
      <w:r>
        <w:rPr>
          <w:rFonts w:hint="eastAsia" w:ascii="微软雅黑" w:hAnsi="微软雅黑" w:eastAsia="微软雅黑" w:cs="微软雅黑"/>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采购任务变更或取消的。</w:t>
      </w:r>
    </w:p>
    <w:p>
      <w:pPr>
        <w:spacing w:line="400" w:lineRule="exact"/>
        <w:ind w:firstLine="480" w:firstLineChars="200"/>
        <w:rPr>
          <w:rFonts w:ascii="宋体" w:hAnsi="宋体"/>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微软雅黑" w:hAnsi="微软雅黑" w:eastAsia="微软雅黑" w:cs="微软雅黑"/>
          <w:b/>
          <w:bCs w:val="0"/>
          <w:sz w:val="44"/>
          <w:szCs w:val="20"/>
        </w:rPr>
      </w:pPr>
      <w:bookmarkStart w:id="124" w:name="_Toc102227313"/>
      <w:bookmarkStart w:id="125" w:name="_Toc29948"/>
      <w:bookmarkStart w:id="126" w:name="_Toc13666"/>
      <w:bookmarkStart w:id="127" w:name="_Toc106030892"/>
      <w:bookmarkStart w:id="128" w:name="_Toc76462337"/>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24"/>
      <w:bookmarkEnd w:id="125"/>
      <w:bookmarkEnd w:id="126"/>
      <w:bookmarkEnd w:id="127"/>
      <w:bookmarkEnd w:id="128"/>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342913389"/>
      <w:bookmarkStart w:id="130" w:name="_Toc26717"/>
      <w:bookmarkStart w:id="131" w:name="_Toc5035"/>
      <w:bookmarkStart w:id="132" w:name="_Toc106030893"/>
      <w:bookmarkStart w:id="133" w:name="_Toc7646233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29"/>
      <w:bookmarkEnd w:id="130"/>
      <w:bookmarkEnd w:id="131"/>
      <w:bookmarkEnd w:id="132"/>
      <w:bookmarkEnd w:id="133"/>
    </w:p>
    <w:p>
      <w:pPr>
        <w:pStyle w:val="143"/>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4" w:name="_Toc106030894"/>
      <w:bookmarkStart w:id="135" w:name="_Toc342913391"/>
      <w:bookmarkStart w:id="136" w:name="_Toc19521"/>
      <w:bookmarkStart w:id="137" w:name="_Toc76462339"/>
      <w:bookmarkStart w:id="138" w:name="_Toc15712"/>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34"/>
      <w:bookmarkEnd w:id="135"/>
      <w:bookmarkEnd w:id="136"/>
      <w:bookmarkEnd w:id="137"/>
      <w:bookmarkEnd w:id="138"/>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39" w:name="_Toc318159780"/>
      <w:bookmarkStart w:id="140" w:name="_Toc318166429"/>
      <w:bookmarkStart w:id="141" w:name="_Toc318159160"/>
      <w:bookmarkStart w:id="142" w:name="_Toc318159349"/>
    </w:p>
    <w:bookmarkEnd w:id="139"/>
    <w:bookmarkEnd w:id="140"/>
    <w:bookmarkEnd w:id="141"/>
    <w:bookmarkEnd w:id="142"/>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342913392"/>
      <w:bookmarkStart w:id="144" w:name="_Toc179714297"/>
      <w:bookmarkStart w:id="145" w:name="_Toc76462340"/>
      <w:bookmarkStart w:id="146" w:name="_Toc17309"/>
      <w:bookmarkStart w:id="147" w:name="_Toc26007"/>
      <w:bookmarkStart w:id="148" w:name="_Toc102227318"/>
      <w:bookmarkStart w:id="149" w:name="_Toc106030895"/>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43"/>
      <w:bookmarkEnd w:id="144"/>
      <w:bookmarkEnd w:id="145"/>
      <w:bookmarkEnd w:id="146"/>
      <w:bookmarkEnd w:id="147"/>
      <w:bookmarkEnd w:id="148"/>
      <w:bookmarkEnd w:id="14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1.响应文件一式六份，其中正本一份，副本五份，电子文档（</w:t>
      </w:r>
      <w:r>
        <w:rPr>
          <w:rFonts w:hint="eastAsia" w:ascii="微软雅黑" w:hAnsi="微软雅黑" w:eastAsia="微软雅黑" w:cs="微软雅黑"/>
          <w:sz w:val="24"/>
          <w:szCs w:val="24"/>
          <w:lang w:val="en-US" w:eastAsia="zh-CN"/>
        </w:rPr>
        <w:t>正本PDF版</w:t>
      </w:r>
      <w:r>
        <w:rPr>
          <w:rFonts w:hint="eastAsia" w:ascii="微软雅黑" w:hAnsi="微软雅黑" w:eastAsia="微软雅黑" w:cs="微软雅黑"/>
          <w:sz w:val="24"/>
          <w:szCs w:val="24"/>
        </w:rPr>
        <w:t>）一份；副本可为正本的复印件，应与正本一致，如出现不一致情况以正本为准。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“第七篇响应文件编制要求”要求签署或盖章。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0" w:name="_Toc76462341"/>
      <w:bookmarkStart w:id="151" w:name="_Toc106030896"/>
      <w:bookmarkStart w:id="152" w:name="_Toc26586"/>
      <w:bookmarkStart w:id="153" w:name="_Toc6435"/>
      <w:r>
        <w:rPr>
          <w:rFonts w:hint="eastAsia" w:ascii="微软雅黑" w:hAnsi="微软雅黑" w:eastAsia="微软雅黑" w:cs="微软雅黑"/>
          <w:sz w:val="24"/>
        </w:rPr>
        <w:t>四、</w:t>
      </w:r>
      <w:r>
        <w:rPr>
          <w:rFonts w:hint="eastAsia" w:ascii="微软雅黑" w:hAnsi="微软雅黑" w:eastAsia="微软雅黑" w:cs="微软雅黑"/>
          <w:sz w:val="24"/>
          <w:lang w:eastAsia="zh-CN"/>
        </w:rPr>
        <w:t>成交供应商</w:t>
      </w:r>
      <w:r>
        <w:rPr>
          <w:rFonts w:hint="eastAsia" w:ascii="微软雅黑" w:hAnsi="微软雅黑" w:eastAsia="微软雅黑" w:cs="微软雅黑"/>
          <w:sz w:val="24"/>
        </w:rPr>
        <w:t>的确认和变更</w:t>
      </w:r>
      <w:bookmarkEnd w:id="150"/>
      <w:bookmarkEnd w:id="151"/>
      <w:bookmarkEnd w:id="152"/>
      <w:bookmarkEnd w:id="153"/>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成交供应商</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成交供应商</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成交供应商</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成交供应商</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成交供应商</w:t>
      </w:r>
      <w:r>
        <w:rPr>
          <w:rFonts w:hint="eastAsia" w:ascii="微软雅黑" w:hAnsi="微软雅黑" w:eastAsia="微软雅黑" w:cs="微软雅黑"/>
          <w:color w:val="auto"/>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4" w:name="_Toc102227321"/>
      <w:bookmarkStart w:id="155" w:name="_Toc106030897"/>
      <w:bookmarkStart w:id="156" w:name="_Toc21532"/>
      <w:bookmarkStart w:id="157" w:name="_Toc76462342"/>
      <w:bookmarkStart w:id="158" w:name="_Toc342913395"/>
      <w:bookmarkStart w:id="159" w:name="_Toc21281"/>
      <w:r>
        <w:rPr>
          <w:rFonts w:hint="eastAsia" w:ascii="微软雅黑" w:hAnsi="微软雅黑" w:eastAsia="微软雅黑" w:cs="微软雅黑"/>
          <w:sz w:val="24"/>
        </w:rPr>
        <w:t>五、成交通知</w:t>
      </w:r>
      <w:bookmarkEnd w:id="154"/>
      <w:bookmarkEnd w:id="155"/>
      <w:bookmarkEnd w:id="156"/>
      <w:bookmarkEnd w:id="157"/>
      <w:bookmarkEnd w:id="158"/>
      <w:bookmarkEnd w:id="15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成交供应商</w:t>
      </w:r>
      <w:r>
        <w:rPr>
          <w:rFonts w:hint="eastAsia" w:ascii="微软雅黑" w:hAnsi="微软雅黑" w:eastAsia="微软雅黑" w:cs="微软雅黑"/>
          <w:sz w:val="24"/>
          <w:szCs w:val="24"/>
        </w:rPr>
        <w:t>确定后，招标办将在重庆医科大学附属儿童医院电子招投标平台（zbb.chcmu.com）上发布成交结果公告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val="en-US" w:eastAsia="zh-CN"/>
        </w:rPr>
        <w:t>招标办公室</w:t>
      </w:r>
      <w:r>
        <w:rPr>
          <w:rFonts w:hint="eastAsia" w:ascii="微软雅黑" w:hAnsi="微软雅黑" w:eastAsia="微软雅黑" w:cs="微软雅黑"/>
          <w:sz w:val="24"/>
          <w:szCs w:val="24"/>
        </w:rPr>
        <w:t>将平台内发出《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0" w:name="_Toc106030898"/>
      <w:bookmarkStart w:id="161" w:name="_Toc76462343"/>
      <w:bookmarkStart w:id="162" w:name="_Toc21448"/>
      <w:bookmarkStart w:id="163" w:name="_Toc25734"/>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60"/>
      <w:bookmarkEnd w:id="161"/>
      <w:bookmarkEnd w:id="162"/>
      <w:bookmarkEnd w:id="16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64" w:name="_Toc106030899"/>
      <w:bookmarkStart w:id="165" w:name="_Toc28334"/>
      <w:bookmarkStart w:id="166" w:name="_Toc76462344"/>
    </w:p>
    <w:p>
      <w:pPr>
        <w:pStyle w:val="4"/>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7" w:name="_Toc25883"/>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64"/>
      <w:bookmarkEnd w:id="165"/>
      <w:bookmarkEnd w:id="166"/>
      <w:bookmarkStart w:id="168" w:name="_Toc102227322"/>
      <w:bookmarkStart w:id="169" w:name="_Toc342913396"/>
      <w:bookmarkStart w:id="170" w:name="_Toc76462346"/>
      <w:bookmarkStart w:id="171" w:name="_Toc3372"/>
      <w:bookmarkStart w:id="172" w:name="_Toc106030901"/>
      <w:bookmarkStart w:id="173" w:name="_Toc11641055"/>
      <w:bookmarkStart w:id="174" w:name="_Toc12789059"/>
      <w:r>
        <w:rPr>
          <w:rFonts w:hint="eastAsia" w:ascii="微软雅黑" w:hAnsi="微软雅黑" w:eastAsia="微软雅黑" w:cs="微软雅黑"/>
          <w:color w:val="auto"/>
          <w:sz w:val="24"/>
        </w:rPr>
        <w:t>签订</w:t>
      </w:r>
      <w:bookmarkEnd w:id="168"/>
      <w:r>
        <w:rPr>
          <w:rFonts w:hint="eastAsia" w:ascii="微软雅黑" w:hAnsi="微软雅黑" w:eastAsia="微软雅黑" w:cs="微软雅黑"/>
          <w:color w:val="auto"/>
          <w:sz w:val="24"/>
        </w:rPr>
        <w:t>合同</w:t>
      </w:r>
      <w:bookmarkEnd w:id="167"/>
      <w:bookmarkEnd w:id="169"/>
      <w:bookmarkEnd w:id="170"/>
      <w:bookmarkEnd w:id="171"/>
      <w:bookmarkEnd w:id="172"/>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（二）中标人未在规定时间内递交合同或放弃中标资格，则招标人将有充分的理由废除授标，将中标人纳入</w:t>
      </w:r>
      <w:r>
        <w:rPr>
          <w:rFonts w:hint="eastAsia" w:ascii="微软雅黑" w:hAnsi="微软雅黑" w:eastAsia="微软雅黑" w:cs="微软雅黑"/>
          <w:color w:val="auto"/>
          <w:sz w:val="24"/>
          <w:lang w:val="en-US" w:eastAsia="zh-CN"/>
        </w:rPr>
        <w:t>招标人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招标人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73"/>
      <w:bookmarkEnd w:id="174"/>
    </w:p>
    <w:p>
      <w:pPr>
        <w:pStyle w:val="4"/>
        <w:spacing w:before="200" w:after="200" w:line="240" w:lineRule="auto"/>
        <w:jc w:val="center"/>
        <w:rPr>
          <w:rFonts w:hint="eastAsia" w:ascii="微软雅黑" w:hAnsi="微软雅黑" w:eastAsia="微软雅黑" w:cs="微软雅黑"/>
          <w:b/>
          <w:sz w:val="44"/>
          <w:szCs w:val="20"/>
        </w:rPr>
      </w:pPr>
      <w:bookmarkStart w:id="175" w:name="_Hlt41879464"/>
      <w:bookmarkEnd w:id="175"/>
      <w:bookmarkStart w:id="176" w:name="_Toc31166"/>
      <w:bookmarkStart w:id="177" w:name="_Toc106030905"/>
      <w:bookmarkStart w:id="178" w:name="_Toc27984"/>
      <w:bookmarkStart w:id="179" w:name="_Toc76462349"/>
      <w:r>
        <w:rPr>
          <w:rFonts w:hint="eastAsia" w:ascii="微软雅黑" w:hAnsi="微软雅黑" w:eastAsia="微软雅黑" w:cs="微软雅黑"/>
          <w:b/>
          <w:sz w:val="44"/>
          <w:szCs w:val="20"/>
        </w:rPr>
        <w:t>第六篇  响应文件编制要求</w:t>
      </w:r>
      <w:bookmarkEnd w:id="176"/>
      <w:bookmarkEnd w:id="177"/>
      <w:bookmarkEnd w:id="178"/>
      <w:bookmarkEnd w:id="17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（二）明细报价表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二、服务部分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（一）服务响应偏离表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（一）联合体协议或分包意向协议（格式自定）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80" w:name="_Toc76462350"/>
      <w:bookmarkStart w:id="181" w:name="_Toc313008356"/>
      <w:bookmarkStart w:id="182" w:name="_Toc313888360"/>
      <w:bookmarkStart w:id="183" w:name="_Toc342913419"/>
      <w:bookmarkStart w:id="184" w:name="_Toc15994"/>
      <w:bookmarkStart w:id="185" w:name="_Toc106030906"/>
      <w:bookmarkStart w:id="186" w:name="_Toc283382454"/>
      <w:bookmarkStart w:id="187" w:name="_Toc12789073"/>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88" w:name="_Toc6821"/>
      <w:r>
        <w:rPr>
          <w:rFonts w:hint="eastAsia" w:ascii="微软雅黑" w:hAnsi="微软雅黑" w:eastAsia="微软雅黑" w:cs="微软雅黑"/>
          <w:sz w:val="24"/>
        </w:rPr>
        <w:t>一、经济部分</w:t>
      </w:r>
      <w:bookmarkEnd w:id="180"/>
      <w:bookmarkEnd w:id="181"/>
      <w:bookmarkEnd w:id="182"/>
      <w:bookmarkEnd w:id="183"/>
      <w:bookmarkEnd w:id="184"/>
      <w:bookmarkEnd w:id="185"/>
      <w:bookmarkEnd w:id="188"/>
    </w:p>
    <w:bookmarkEnd w:id="186"/>
    <w:bookmarkEnd w:id="187"/>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pPr>
        <w:tabs>
          <w:tab w:val="left" w:pos="6300"/>
        </w:tabs>
        <w:snapToGrid w:val="0"/>
        <w:spacing w:line="312" w:lineRule="auto"/>
        <w:ind w:firstLine="480" w:firstLineChars="200"/>
        <w:jc w:val="left"/>
        <w:rPr>
          <w:rFonts w:hint="eastAsia" w:ascii="微软雅黑" w:hAnsi="微软雅黑" w:eastAsia="微软雅黑" w:cs="微软雅黑"/>
          <w:b w:val="0"/>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投标</w:t>
            </w:r>
            <w:r>
              <w:rPr>
                <w:rFonts w:hint="eastAsia" w:ascii="微软雅黑" w:hAnsi="微软雅黑" w:eastAsia="微软雅黑" w:cs="微软雅黑"/>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（小写）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投标</w:t>
            </w:r>
            <w:r>
              <w:rPr>
                <w:rFonts w:hint="eastAsia" w:ascii="微软雅黑" w:hAnsi="微软雅黑" w:eastAsia="微软雅黑" w:cs="微软雅黑"/>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（大写）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微软雅黑" w:hAnsi="微软雅黑" w:eastAsia="微软雅黑" w:cs="微软雅黑"/>
                <w:color w:val="auto"/>
                <w:sz w:val="24"/>
                <w:szCs w:val="24"/>
                <w:lang w:val="en-US"/>
              </w:rPr>
            </w:pPr>
            <w:r>
              <w:rPr>
                <w:rFonts w:hint="eastAsia" w:ascii="微软雅黑" w:hAnsi="微软雅黑" w:eastAsia="微软雅黑" w:cs="微软雅黑"/>
                <w:color w:val="auto"/>
                <w:sz w:val="24"/>
                <w:szCs w:val="24"/>
                <w:lang w:val="en-US" w:eastAsia="zh-CN"/>
              </w:rPr>
              <w:t>服务期限</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自中标通知书发出后1个月内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tabs>
          <w:tab w:val="left" w:pos="2895"/>
        </w:tabs>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（二）明细报价表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189" w:name="OLE_LINK1"/>
      <w:bookmarkStart w:id="190" w:name="OLE_LINK2"/>
      <w:r>
        <w:rPr>
          <w:rFonts w:hint="eastAsia" w:ascii="微软雅黑" w:hAnsi="微软雅黑" w:eastAsia="微软雅黑" w:cs="微软雅黑"/>
          <w:sz w:val="24"/>
          <w:szCs w:val="28"/>
        </w:rPr>
        <w:t>。</w:t>
      </w:r>
      <w:bookmarkEnd w:id="189"/>
      <w:bookmarkEnd w:id="190"/>
    </w:p>
    <w:p>
      <w:pPr>
        <w:pStyle w:val="38"/>
        <w:spacing w:line="360" w:lineRule="auto"/>
        <w:rPr>
          <w:rFonts w:hint="eastAsia" w:ascii="微软雅黑" w:hAnsi="微软雅黑" w:eastAsia="微软雅黑" w:cs="微软雅黑"/>
          <w:sz w:val="24"/>
          <w:szCs w:val="24"/>
        </w:rPr>
      </w:pPr>
    </w:p>
    <w:p>
      <w:pPr>
        <w:pStyle w:val="38"/>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snapToGrid w:val="0"/>
        <w:spacing w:line="360" w:lineRule="auto"/>
        <w:ind w:firstLine="480" w:firstLineChars="200"/>
        <w:rPr>
          <w:rFonts w:hint="eastAsia" w:ascii="微软雅黑" w:hAnsi="微软雅黑" w:eastAsia="微软雅黑" w:cs="微软雅黑"/>
          <w:sz w:val="24"/>
          <w:szCs w:val="24"/>
          <w:bdr w:val="single" w:color="auto" w:sz="4" w:space="0"/>
        </w:rPr>
        <w:sectPr>
          <w:headerReference r:id="rId16"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eastAsia" w:ascii="微软雅黑" w:hAnsi="微软雅黑" w:eastAsia="微软雅黑" w:cs="微软雅黑"/>
          <w:sz w:val="24"/>
          <w:szCs w:val="24"/>
          <w:lang w:val="en-US" w:eastAsia="zh-CN"/>
        </w:rPr>
      </w:pPr>
      <w:bookmarkStart w:id="191" w:name="_Toc342913420"/>
      <w:bookmarkStart w:id="192" w:name="_Toc106030907"/>
      <w:bookmarkStart w:id="193" w:name="_Toc313008357"/>
      <w:bookmarkStart w:id="194" w:name="_Toc18669"/>
      <w:bookmarkStart w:id="195" w:name="_Toc76462351"/>
      <w:bookmarkStart w:id="196" w:name="_Toc313888361"/>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开标现场最终报价表</w:t>
      </w: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b w:val="0"/>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投标</w:t>
            </w:r>
            <w:r>
              <w:rPr>
                <w:rFonts w:hint="eastAsia" w:ascii="微软雅黑" w:hAnsi="微软雅黑" w:eastAsia="微软雅黑" w:cs="微软雅黑"/>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（小写）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投标</w:t>
            </w:r>
            <w:r>
              <w:rPr>
                <w:rFonts w:hint="eastAsia" w:ascii="微软雅黑" w:hAnsi="微软雅黑" w:eastAsia="微软雅黑" w:cs="微软雅黑"/>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（大写）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微软雅黑" w:hAnsi="微软雅黑" w:eastAsia="微软雅黑" w:cs="微软雅黑"/>
                <w:color w:val="auto"/>
                <w:sz w:val="24"/>
                <w:szCs w:val="24"/>
                <w:lang w:val="en-US"/>
              </w:rPr>
            </w:pPr>
            <w:r>
              <w:rPr>
                <w:rFonts w:hint="eastAsia" w:ascii="微软雅黑" w:hAnsi="微软雅黑" w:eastAsia="微软雅黑" w:cs="微软雅黑"/>
                <w:color w:val="auto"/>
                <w:sz w:val="24"/>
                <w:szCs w:val="24"/>
                <w:lang w:val="en-US" w:eastAsia="zh-CN"/>
              </w:rPr>
              <w:t>服务期限</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自中标通知书发出后1个月内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p>
    <w:p>
      <w:pPr>
        <w:rPr>
          <w:rFonts w:hint="eastAsia" w:ascii="微软雅黑" w:hAnsi="微软雅黑" w:eastAsia="微软雅黑" w:cs="微软雅黑"/>
          <w:sz w:val="24"/>
        </w:rPr>
      </w:pPr>
    </w:p>
    <w:p>
      <w:pPr>
        <w:rPr>
          <w:rFonts w:hint="eastAsia" w:ascii="微软雅黑" w:hAnsi="微软雅黑" w:eastAsia="微软雅黑" w:cs="微软雅黑"/>
          <w:sz w:val="24"/>
        </w:rPr>
      </w:pPr>
    </w:p>
    <w:p>
      <w:pPr>
        <w:rPr>
          <w:rFonts w:hint="eastAsia" w:ascii="微软雅黑" w:hAnsi="微软雅黑" w:eastAsia="微软雅黑" w:cs="微软雅黑"/>
          <w:sz w:val="24"/>
        </w:rPr>
      </w:pPr>
    </w:p>
    <w:p>
      <w:pPr>
        <w:rPr>
          <w:rFonts w:hint="eastAsia" w:ascii="微软雅黑" w:hAnsi="微软雅黑" w:eastAsia="微软雅黑" w:cs="微软雅黑"/>
          <w:sz w:val="24"/>
        </w:rPr>
      </w:pPr>
      <w:r>
        <w:rPr>
          <w:rFonts w:hint="eastAsia" w:ascii="微软雅黑" w:hAnsi="微软雅黑" w:eastAsia="微软雅黑" w:cs="微软雅黑"/>
          <w:b/>
          <w:bCs/>
          <w:color w:val="FF0000"/>
          <w:sz w:val="24"/>
          <w:szCs w:val="24"/>
          <w:lang w:eastAsia="zh-CN"/>
        </w:rPr>
        <w:t>注：该表投标报价部分于现场填写并提交，</w:t>
      </w:r>
      <w:r>
        <w:rPr>
          <w:rFonts w:hint="eastAsia" w:ascii="微软雅黑" w:hAnsi="微软雅黑" w:eastAsia="微软雅黑" w:cs="微软雅黑"/>
          <w:b/>
          <w:bCs/>
          <w:color w:val="FF0000"/>
          <w:sz w:val="24"/>
          <w:szCs w:val="24"/>
          <w:lang w:val="en-US" w:eastAsia="zh-CN"/>
        </w:rPr>
        <w:t>其余部分应提前填写并盖章确认</w:t>
      </w:r>
      <w:r>
        <w:rPr>
          <w:rFonts w:hint="eastAsia" w:ascii="微软雅黑" w:hAnsi="微软雅黑" w:eastAsia="微软雅黑" w:cs="微软雅黑"/>
          <w:b/>
          <w:bCs/>
          <w:color w:val="FF0000"/>
          <w:sz w:val="24"/>
          <w:szCs w:val="24"/>
          <w:lang w:eastAsia="zh-CN"/>
        </w:rPr>
        <w:t>。</w:t>
      </w:r>
      <w:r>
        <w:rPr>
          <w:rFonts w:hint="eastAsia" w:ascii="微软雅黑" w:hAnsi="微软雅黑" w:eastAsia="微软雅黑" w:cs="微软雅黑"/>
          <w:sz w:val="24"/>
        </w:rPr>
        <w:br w:type="page"/>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97" w:name="_Toc30124"/>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服务</w:t>
      </w:r>
      <w:r>
        <w:rPr>
          <w:rFonts w:hint="eastAsia" w:ascii="微软雅黑" w:hAnsi="微软雅黑" w:eastAsia="微软雅黑" w:cs="微软雅黑"/>
          <w:sz w:val="24"/>
        </w:rPr>
        <w:t>部分</w:t>
      </w:r>
      <w:bookmarkEnd w:id="191"/>
      <w:bookmarkEnd w:id="192"/>
      <w:bookmarkEnd w:id="193"/>
      <w:bookmarkEnd w:id="194"/>
      <w:bookmarkEnd w:id="195"/>
      <w:bookmarkEnd w:id="196"/>
      <w:bookmarkEnd w:id="197"/>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服务要求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需求”中所列条款进行比较和响应；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szCs w:val="24"/>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（二）其他资料（格式自定）</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198" w:name="_Toc23760"/>
      <w:bookmarkStart w:id="199" w:name="_Toc106030908"/>
      <w:bookmarkStart w:id="200" w:name="_Toc30639"/>
      <w:bookmarkStart w:id="201" w:name="_Toc313888362"/>
      <w:bookmarkStart w:id="202" w:name="_Toc342913421"/>
      <w:bookmarkStart w:id="203" w:name="_Toc313008358"/>
      <w:bookmarkStart w:id="204" w:name="_Toc76462352"/>
      <w:r>
        <w:rPr>
          <w:rFonts w:hint="eastAsia" w:ascii="微软雅黑" w:hAnsi="微软雅黑" w:eastAsia="微软雅黑" w:cs="微软雅黑"/>
          <w:sz w:val="24"/>
        </w:rPr>
        <w:t>三、商务部分</w:t>
      </w:r>
      <w:bookmarkEnd w:id="198"/>
      <w:bookmarkEnd w:id="199"/>
      <w:bookmarkEnd w:id="200"/>
      <w:bookmarkEnd w:id="201"/>
      <w:bookmarkEnd w:id="202"/>
      <w:bookmarkEnd w:id="203"/>
      <w:bookmarkEnd w:id="20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1"/>
              </w:rPr>
              <w:t>提醒：请注明具体内容以及响应文件中具体内容的位置（页码）</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项目商务需求”中所列条款进行比较和响应；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rPr>
        <w:t>2.本表可扩展。</w:t>
      </w:r>
    </w:p>
    <w:p>
      <w:pPr>
        <w:snapToGrid w:val="0"/>
        <w:spacing w:line="400" w:lineRule="exact"/>
        <w:ind w:firstLine="480" w:firstLineChars="200"/>
        <w:rPr>
          <w:rFonts w:hint="eastAsia" w:ascii="微软雅黑" w:hAnsi="微软雅黑" w:eastAsia="微软雅黑" w:cs="微软雅黑"/>
          <w:sz w:val="24"/>
          <w:szCs w:val="24"/>
        </w:rPr>
      </w:pPr>
      <w:bookmarkStart w:id="205" w:name="_Toc283382459"/>
      <w:r>
        <w:rPr>
          <w:rFonts w:hint="eastAsia" w:ascii="微软雅黑" w:hAnsi="微软雅黑" w:eastAsia="微软雅黑" w:cs="微软雅黑"/>
          <w:sz w:val="24"/>
          <w:szCs w:val="24"/>
        </w:rPr>
        <w:t>（二）其它优惠承诺（格式自定）</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05"/>
      <w:bookmarkStart w:id="206" w:name="_Toc26948"/>
      <w:bookmarkStart w:id="207" w:name="_Toc76462353"/>
      <w:bookmarkStart w:id="208" w:name="_Toc342913422"/>
      <w:bookmarkStart w:id="209" w:name="_Toc313888363"/>
      <w:bookmarkStart w:id="210" w:name="_Toc313008359"/>
      <w:bookmarkStart w:id="211" w:name="_Toc27246"/>
      <w:bookmarkStart w:id="212" w:name="_Toc106030909"/>
      <w:r>
        <w:rPr>
          <w:rFonts w:hint="eastAsia" w:ascii="微软雅黑" w:hAnsi="微软雅黑" w:eastAsia="微软雅黑" w:cs="微软雅黑"/>
          <w:sz w:val="24"/>
        </w:rPr>
        <w:t>四、资格条件</w:t>
      </w:r>
      <w:bookmarkEnd w:id="206"/>
      <w:bookmarkEnd w:id="207"/>
      <w:bookmarkEnd w:id="208"/>
      <w:bookmarkEnd w:id="209"/>
      <w:bookmarkEnd w:id="210"/>
      <w:bookmarkEnd w:id="211"/>
      <w:bookmarkEnd w:id="212"/>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w:t>
      </w:r>
      <w:r>
        <w:rPr>
          <w:rFonts w:hint="eastAsia" w:ascii="微软雅黑" w:hAnsi="微软雅黑" w:eastAsia="微软雅黑" w:cs="微软雅黑"/>
          <w:sz w:val="24"/>
          <w:lang w:val="en-US" w:eastAsia="zh-CN"/>
        </w:rPr>
        <w:t>投标</w:t>
      </w:r>
      <w:r>
        <w:rPr>
          <w:rFonts w:hint="eastAsia" w:ascii="微软雅黑" w:hAnsi="微软雅黑" w:eastAsia="微软雅黑" w:cs="微软雅黑"/>
          <w:sz w:val="24"/>
        </w:rPr>
        <w:t>、签约等具体工作，并签署全部有关文件、协议及合同。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被授权人：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none"/>
        </w:rPr>
        <w:t xml:space="preserve">重庆医科大学附属儿童医院  </w:t>
      </w:r>
      <w:r>
        <w:rPr>
          <w:rFonts w:hint="eastAsia" w:ascii="微软雅黑" w:hAnsi="微软雅黑" w:eastAsia="微软雅黑" w:cs="微软雅黑"/>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w:t>
      </w:r>
      <w:r>
        <w:rPr>
          <w:rFonts w:hint="eastAsia" w:ascii="微软雅黑" w:hAnsi="微软雅黑" w:eastAsia="微软雅黑" w:cs="微软雅黑"/>
          <w:sz w:val="24"/>
          <w:szCs w:val="24"/>
          <w:u w:val="single"/>
          <w:lang w:eastAsia="zh-CN"/>
        </w:rPr>
        <w:t>投标单位</w:t>
      </w:r>
      <w:r>
        <w:rPr>
          <w:rFonts w:hint="eastAsia" w:ascii="微软雅黑" w:hAnsi="微软雅黑" w:eastAsia="微软雅黑" w:cs="微软雅黑"/>
          <w:sz w:val="24"/>
          <w:szCs w:val="24"/>
          <w:u w:val="single"/>
        </w:rPr>
        <w:t>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所有要求。</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w:t>
      </w:r>
      <w:r>
        <w:rPr>
          <w:rFonts w:hint="eastAsia" w:ascii="微软雅黑" w:hAnsi="微软雅黑" w:eastAsia="微软雅黑" w:cs="微软雅黑"/>
          <w:sz w:val="24"/>
          <w:szCs w:val="24"/>
          <w:lang w:eastAsia="zh-CN"/>
        </w:rPr>
        <w:t>投标单位</w:t>
      </w:r>
      <w:r>
        <w:rPr>
          <w:rFonts w:hint="eastAsia" w:ascii="微软雅黑" w:hAnsi="微软雅黑" w:eastAsia="微软雅黑" w:cs="微软雅黑"/>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要求提交的</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中规定的各项要求以及我方</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的各项承诺，按《政府采购法》、《</w:t>
      </w:r>
      <w:r>
        <w:rPr>
          <w:rFonts w:hint="eastAsia" w:ascii="微软雅黑" w:hAnsi="微软雅黑" w:eastAsia="微软雅黑" w:cs="微软雅黑"/>
          <w:sz w:val="24"/>
          <w:szCs w:val="24"/>
          <w:lang w:val="en-US" w:eastAsia="zh-CN"/>
        </w:rPr>
        <w:t>民法典</w:t>
      </w:r>
      <w:r>
        <w:rPr>
          <w:rFonts w:hint="eastAsia" w:ascii="微软雅黑" w:hAnsi="微软雅黑" w:eastAsia="微软雅黑" w:cs="微软雅黑"/>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8"/>
        <w:rPr>
          <w:rFonts w:hint="eastAsia" w:ascii="微软雅黑" w:hAnsi="微软雅黑" w:eastAsia="微软雅黑" w:cs="微软雅黑"/>
        </w:rPr>
      </w:pPr>
    </w:p>
    <w:p>
      <w:pPr>
        <w:pStyle w:val="69"/>
        <w:rPr>
          <w:rFonts w:hint="eastAsia" w:ascii="微软雅黑" w:hAnsi="微软雅黑" w:eastAsia="微软雅黑" w:cs="微软雅黑"/>
        </w:rPr>
      </w:pPr>
    </w:p>
    <w:p>
      <w:pPr>
        <w:pStyle w:val="69"/>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13" w:name="_Toc14422"/>
      <w:r>
        <w:rPr>
          <w:rFonts w:ascii="方正仿宋_GBK" w:hAnsi="宋体" w:eastAsia="方正仿宋_GBK"/>
          <w:b w:val="0"/>
          <w:sz w:val="28"/>
        </w:rPr>
        <w:br w:type="page"/>
      </w:r>
      <w:bookmarkStart w:id="214" w:name="_Toc8805"/>
      <w:bookmarkStart w:id="215" w:name="_Toc106030910"/>
      <w:bookmarkStart w:id="216" w:name="_Toc76462354"/>
      <w:bookmarkStart w:id="217" w:name="_Toc13667"/>
      <w:r>
        <w:rPr>
          <w:rFonts w:hint="eastAsia" w:ascii="微软雅黑" w:hAnsi="微软雅黑" w:eastAsia="微软雅黑" w:cs="微软雅黑"/>
          <w:sz w:val="24"/>
        </w:rPr>
        <w:t>五、其他资料</w:t>
      </w:r>
      <w:bookmarkEnd w:id="213"/>
      <w:bookmarkEnd w:id="214"/>
      <w:bookmarkEnd w:id="215"/>
      <w:bookmarkEnd w:id="216"/>
      <w:bookmarkEnd w:id="21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一</w:t>
      </w:r>
      <w:r>
        <w:rPr>
          <w:rFonts w:hint="eastAsia" w:ascii="微软雅黑" w:hAnsi="微软雅黑" w:eastAsia="微软雅黑" w:cs="微软雅黑"/>
          <w:sz w:val="24"/>
          <w:szCs w:val="24"/>
        </w:rPr>
        <w:t>）联合体协议或分包意向协议（格式自定）</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其他与项目有关的资料</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Arial Unicode MS"/>
    <w:panose1 w:val="02000000000000000000"/>
    <w:charset w:val="86"/>
    <w:family w:val="script"/>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hint="eastAsia"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BC54681"/>
    <w:rsid w:val="0D1F249B"/>
    <w:rsid w:val="147A5E14"/>
    <w:rsid w:val="15935DB5"/>
    <w:rsid w:val="15BB3449"/>
    <w:rsid w:val="17351C20"/>
    <w:rsid w:val="178B1D79"/>
    <w:rsid w:val="17A1211B"/>
    <w:rsid w:val="18ED7A84"/>
    <w:rsid w:val="19255AF5"/>
    <w:rsid w:val="192F10C8"/>
    <w:rsid w:val="193B151F"/>
    <w:rsid w:val="1A7E6296"/>
    <w:rsid w:val="1F0D01CA"/>
    <w:rsid w:val="21864056"/>
    <w:rsid w:val="2486441F"/>
    <w:rsid w:val="2AA01F44"/>
    <w:rsid w:val="2E2D3EDF"/>
    <w:rsid w:val="300C58E0"/>
    <w:rsid w:val="332D1E43"/>
    <w:rsid w:val="35397720"/>
    <w:rsid w:val="389D5F5A"/>
    <w:rsid w:val="3ACE5D4F"/>
    <w:rsid w:val="3C55524B"/>
    <w:rsid w:val="3DF6488D"/>
    <w:rsid w:val="3EEC6CD3"/>
    <w:rsid w:val="3F1C71CA"/>
    <w:rsid w:val="406334F2"/>
    <w:rsid w:val="409F14A1"/>
    <w:rsid w:val="415F6EA3"/>
    <w:rsid w:val="41B20BF4"/>
    <w:rsid w:val="452C7897"/>
    <w:rsid w:val="48794403"/>
    <w:rsid w:val="494C6B8D"/>
    <w:rsid w:val="497B7CB3"/>
    <w:rsid w:val="4B2D12E0"/>
    <w:rsid w:val="4BEB6B31"/>
    <w:rsid w:val="4DD36371"/>
    <w:rsid w:val="4F070047"/>
    <w:rsid w:val="4F3C244F"/>
    <w:rsid w:val="5115115D"/>
    <w:rsid w:val="514F31E7"/>
    <w:rsid w:val="521E4A24"/>
    <w:rsid w:val="52D92ACB"/>
    <w:rsid w:val="53B4776F"/>
    <w:rsid w:val="53DF1E3A"/>
    <w:rsid w:val="558E730F"/>
    <w:rsid w:val="57857077"/>
    <w:rsid w:val="5CA67F0E"/>
    <w:rsid w:val="61625D90"/>
    <w:rsid w:val="68BD663A"/>
    <w:rsid w:val="692F74C0"/>
    <w:rsid w:val="696405DD"/>
    <w:rsid w:val="6F4859CD"/>
    <w:rsid w:val="6FE969BF"/>
    <w:rsid w:val="701245F9"/>
    <w:rsid w:val="71175C34"/>
    <w:rsid w:val="741020C6"/>
    <w:rsid w:val="747D277F"/>
    <w:rsid w:val="74D70DF7"/>
    <w:rsid w:val="750950F5"/>
    <w:rsid w:val="750D16CF"/>
    <w:rsid w:val="789F3DA6"/>
    <w:rsid w:val="78A52377"/>
    <w:rsid w:val="78EF15F1"/>
    <w:rsid w:val="79082185"/>
    <w:rsid w:val="7A6F77AB"/>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0">
    <w:name w:val="Default Paragraph Font"/>
    <w:qFormat/>
    <w:uiPriority w:val="0"/>
  </w:style>
  <w:style w:type="table" w:default="1" w:styleId="5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 w:val="21"/>
      <w:szCs w:val="21"/>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3"/>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4"/>
    <w:qFormat/>
    <w:uiPriority w:val="0"/>
  </w:style>
  <w:style w:type="paragraph" w:styleId="34">
    <w:name w:val="Body Text Indent 2"/>
    <w:basedOn w:val="1"/>
    <w:link w:val="75"/>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6"/>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0"/>
    <w:next w:val="20"/>
    <w:link w:val="77"/>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4"/>
    <w:link w:val="78"/>
    <w:qFormat/>
    <w:uiPriority w:val="0"/>
    <w:pPr>
      <w:spacing w:after="120" w:afterLines="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4"/>
    <w:qFormat/>
    <w:uiPriority w:val="0"/>
    <w:rPr>
      <w:rFonts w:ascii="Arial" w:hAnsi="Arial" w:eastAsia="黑体"/>
      <w:b/>
      <w:kern w:val="2"/>
      <w:sz w:val="32"/>
    </w:rPr>
  </w:style>
  <w:style w:type="character" w:customStyle="1" w:styleId="71">
    <w:name w:val="标题 3 Char"/>
    <w:link w:val="5"/>
    <w:qFormat/>
    <w:uiPriority w:val="0"/>
    <w:rPr>
      <w:rFonts w:eastAsia="宋体"/>
      <w:b/>
      <w:kern w:val="2"/>
      <w:sz w:val="32"/>
      <w:lang w:val="en-US" w:eastAsia="zh-CN"/>
    </w:rPr>
  </w:style>
  <w:style w:type="character" w:customStyle="1" w:styleId="72">
    <w:name w:val="批注文字 Char"/>
    <w:link w:val="20"/>
    <w:qFormat/>
    <w:uiPriority w:val="0"/>
    <w:rPr>
      <w:sz w:val="24"/>
    </w:rPr>
  </w:style>
  <w:style w:type="character" w:customStyle="1" w:styleId="73">
    <w:name w:val="正文文本缩进 Char"/>
    <w:link w:val="24"/>
    <w:qFormat/>
    <w:uiPriority w:val="0"/>
    <w:rPr>
      <w:kern w:val="2"/>
      <w:sz w:val="44"/>
    </w:rPr>
  </w:style>
  <w:style w:type="character" w:customStyle="1" w:styleId="74">
    <w:name w:val="日期 Char"/>
    <w:link w:val="33"/>
    <w:qFormat/>
    <w:uiPriority w:val="0"/>
    <w:rPr>
      <w:kern w:val="2"/>
      <w:sz w:val="28"/>
    </w:rPr>
  </w:style>
  <w:style w:type="character" w:customStyle="1" w:styleId="75">
    <w:name w:val="正文文本缩进 2 Char"/>
    <w:link w:val="34"/>
    <w:qFormat/>
    <w:uiPriority w:val="0"/>
    <w:rPr>
      <w:kern w:val="2"/>
      <w:sz w:val="28"/>
    </w:rPr>
  </w:style>
  <w:style w:type="character" w:customStyle="1" w:styleId="76">
    <w:name w:val="脚注文本 Char"/>
    <w:link w:val="41"/>
    <w:qFormat/>
    <w:uiPriority w:val="0"/>
    <w:rPr>
      <w:kern w:val="2"/>
      <w:sz w:val="18"/>
    </w:rPr>
  </w:style>
  <w:style w:type="character" w:customStyle="1" w:styleId="77">
    <w:name w:val="批注主题 Char"/>
    <w:link w:val="55"/>
    <w:qFormat/>
    <w:uiPriority w:val="0"/>
  </w:style>
  <w:style w:type="character" w:customStyle="1" w:styleId="78">
    <w:name w:val="正文首行缩进 2 Char"/>
    <w:link w:val="57"/>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5"/>
    <w:next w:val="56"/>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4"/>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3"/>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1"/>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8"/>
    <w:qFormat/>
    <w:uiPriority w:val="0"/>
    <w:rPr>
      <w:rFonts w:ascii="宋体" w:hAnsi="Tahoma"/>
    </w:rPr>
  </w:style>
  <w:style w:type="paragraph" w:customStyle="1" w:styleId="147">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beforeLines="0" w:beforeAutospacing="0" w:after="720" w:afterLines="0" w:afterAutospacing="0"/>
    </w:pPr>
    <w:rPr>
      <w:sz w:val="28"/>
    </w:rPr>
  </w:style>
  <w:style w:type="paragraph" w:customStyle="1" w:styleId="170">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6">
    <w:name w:val=" 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1">
    <w:name w:val=" 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 Char Char Char"/>
    <w:basedOn w:val="1"/>
    <w:qFormat/>
    <w:uiPriority w:val="0"/>
    <w:rPr>
      <w:rFonts w:ascii="Tahoma" w:hAnsi="Tahoma"/>
      <w:sz w:val="24"/>
    </w:rPr>
  </w:style>
  <w:style w:type="paragraph" w:customStyle="1" w:styleId="200">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8">
    <w:name w:val="正文表格"/>
    <w:basedOn w:val="1"/>
    <w:qFormat/>
    <w:uiPriority w:val="0"/>
    <w:pPr>
      <w:adjustRightInd w:val="0"/>
      <w:spacing w:before="40" w:beforeLines="0" w:beforeAutospacing="0" w:after="40" w:afterLines="0" w:afterAutospacing="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Body Text Indent 2"/>
    <w:basedOn w:val="1"/>
    <w:qFormat/>
    <w:uiPriority w:val="0"/>
    <w:pPr>
      <w:adjustRightInd w:val="0"/>
      <w:spacing w:before="120" w:beforeLines="0" w:beforeAutospacing="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afterLines="0" w:afterAutospacing="0" w:line="360" w:lineRule="auto"/>
      <w:ind w:firstLine="200" w:firstLineChars="200"/>
    </w:pPr>
    <w:rPr>
      <w:sz w:val="24"/>
    </w:rPr>
  </w:style>
  <w:style w:type="paragraph" w:customStyle="1" w:styleId="226">
    <w:name w:val=" Char"/>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 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 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4">
    <w:name w:val="No Spacing"/>
    <w:qFormat/>
    <w:uiPriority w:val="1"/>
    <w:pPr>
      <w:widowControl w:val="0"/>
      <w:jc w:val="both"/>
    </w:pPr>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17</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2023-09-07T02:45:02Z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