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1064"/>
        <w:gridCol w:w="927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064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27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YG253160</w:t>
            </w:r>
          </w:p>
        </w:tc>
        <w:tc>
          <w:tcPr>
            <w:tcW w:w="1064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MINI-P4垂直电泳槽购买铂金丝</w:t>
            </w:r>
          </w:p>
        </w:tc>
        <w:tc>
          <w:tcPr>
            <w:tcW w:w="927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适用于MINI-P4（</w:t>
            </w:r>
            <w:r>
              <w:rPr>
                <w:rFonts w:hint="eastAsia"/>
                <w:lang w:val="en-US" w:eastAsia="zh-CN"/>
              </w:rPr>
              <w:t>韦克斯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两江院区儿童心血管疾病研究室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米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彭晓兵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4790"/>
      <w:bookmarkStart w:id="1" w:name="_Toc20884"/>
      <w:bookmarkStart w:id="2" w:name="_Toc16651"/>
      <w:bookmarkStart w:id="3" w:name="_Toc10476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※本项目为一次性报价，以投标文件中的报价为最终报价，不再二次报价。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871BBE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AFE35B8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6E304E0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146C55"/>
    <w:rsid w:val="5A47702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3345F0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1993</Words>
  <Characters>2046</Characters>
  <Lines>15</Lines>
  <Paragraphs>4</Paragraphs>
  <TotalTime>5</TotalTime>
  <ScaleCrop>false</ScaleCrop>
  <LinksUpToDate>false</LinksUpToDate>
  <CharactersWithSpaces>2305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2026-05-29T02:15:37Z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