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YGH260125</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b w:val="0"/>
          <w:bCs w:val="0"/>
          <w:sz w:val="36"/>
          <w:szCs w:val="36"/>
          <w:u w:val="single"/>
          <w:lang w:eastAsia="zh-CN"/>
        </w:rPr>
        <w:t>我院开展第三方员工满意度调查</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1641050"/>
      <w:bookmarkStart w:id="1" w:name="_Toc24037"/>
      <w:bookmarkStart w:id="2" w:name="_Toc11153"/>
      <w:bookmarkStart w:id="3" w:name="_Toc106030870"/>
      <w:bookmarkStart w:id="4" w:name="_Toc12789052"/>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eastAsia="zh-CN"/>
        </w:rPr>
        <w:t>我院开展第三方员工满意度调查</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13893526"/>
      <w:bookmarkStart w:id="7" w:name="_Toc317775175"/>
      <w:bookmarkStart w:id="8" w:name="_Toc3856"/>
      <w:bookmarkStart w:id="9" w:name="_Toc76462317"/>
      <w:bookmarkStart w:id="10" w:name="_Toc106030871"/>
      <w:bookmarkStart w:id="11" w:name="_Toc22314"/>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3277"/>
        <w:gridCol w:w="1489"/>
        <w:gridCol w:w="1211"/>
        <w:gridCol w:w="1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29"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83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w:t>
            </w:r>
          </w:p>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rPr>
            </w:pPr>
            <w:r>
              <w:rPr>
                <w:rFonts w:hint="eastAsia" w:ascii="微软雅黑" w:hAnsi="微软雅黑" w:eastAsia="微软雅黑" w:cs="微软雅黑"/>
                <w:b/>
                <w:bCs/>
                <w:kern w:val="0"/>
                <w:sz w:val="21"/>
                <w:szCs w:val="24"/>
                <w:lang w:val="en-US" w:eastAsia="zh-CN"/>
              </w:rPr>
              <w:t>（万元）</w:t>
            </w:r>
          </w:p>
        </w:tc>
        <w:tc>
          <w:tcPr>
            <w:tcW w:w="67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802"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YGH260125</w:t>
            </w:r>
          </w:p>
        </w:tc>
        <w:tc>
          <w:tcPr>
            <w:tcW w:w="182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我院开展第三方员工满意度调查</w:t>
            </w:r>
          </w:p>
        </w:tc>
        <w:tc>
          <w:tcPr>
            <w:tcW w:w="83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15</w:t>
            </w:r>
          </w:p>
        </w:tc>
        <w:tc>
          <w:tcPr>
            <w:tcW w:w="67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8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334"/>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（二）本项目的特定资格要求：无</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76462320"/>
      <w:bookmarkStart w:id="22" w:name="_Toc12821"/>
      <w:bookmarkStart w:id="23" w:name="_Toc27954"/>
      <w:bookmarkStart w:id="24" w:name="_Toc10603087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178"/>
      <w:bookmarkStart w:id="26" w:name="_Toc525047161"/>
      <w:bookmarkStart w:id="27" w:name="_Toc11956"/>
      <w:bookmarkStart w:id="28" w:name="_Toc65660334"/>
      <w:bookmarkStart w:id="29" w:name="_Toc521053053"/>
      <w:bookmarkStart w:id="30" w:name="_Toc29385"/>
      <w:bookmarkStart w:id="31" w:name="_Toc12841"/>
      <w:bookmarkStart w:id="32" w:name="_Toc10603462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2945"/>
      <w:bookmarkStart w:id="34" w:name="_Toc65660335"/>
      <w:bookmarkStart w:id="35" w:name="_Toc4355"/>
      <w:bookmarkStart w:id="36" w:name="_Toc106034626"/>
      <w:bookmarkStart w:id="37" w:name="_Toc521053054"/>
      <w:bookmarkStart w:id="38" w:name="_Toc525047162"/>
      <w:bookmarkStart w:id="39" w:name="_Toc21937"/>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6563"/>
      <w:bookmarkStart w:id="42" w:name="_Toc521053055"/>
      <w:bookmarkStart w:id="43" w:name="_Toc525047163"/>
      <w:bookmarkStart w:id="44" w:name="_Toc16269"/>
      <w:bookmarkStart w:id="45" w:name="_Toc65660336"/>
      <w:bookmarkStart w:id="46" w:name="_Toc106034627"/>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10415"/>
      <w:bookmarkStart w:id="49" w:name="_Toc1733"/>
      <w:bookmarkStart w:id="50" w:name="_Toc525047164"/>
      <w:bookmarkStart w:id="51" w:name="_Toc65660337"/>
      <w:bookmarkStart w:id="52" w:name="_Toc32668"/>
      <w:bookmarkStart w:id="53" w:name="_Toc24901"/>
      <w:bookmarkStart w:id="54"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2959"/>
      <w:bookmarkStart w:id="56" w:name="_Toc32686"/>
      <w:bookmarkStart w:id="57" w:name="_Toc5461"/>
      <w:bookmarkStart w:id="58" w:name="_Toc1625"/>
      <w:bookmarkStart w:id="59" w:name="_Toc2422"/>
      <w:bookmarkStart w:id="60" w:name="_Toc26176"/>
      <w:bookmarkStart w:id="61" w:name="_Toc1492"/>
      <w:bookmarkStart w:id="62" w:name="_Toc11017"/>
      <w:bookmarkStart w:id="63" w:name="_Toc19886"/>
      <w:bookmarkStart w:id="64" w:name="_Toc25639"/>
      <w:bookmarkStart w:id="65" w:name="_Toc8649"/>
      <w:bookmarkStart w:id="66" w:name="_Toc75793504"/>
      <w:bookmarkStart w:id="67" w:name="_Toc23143"/>
      <w:bookmarkStart w:id="68" w:name="_Toc2070"/>
      <w:bookmarkStart w:id="69" w:name="_Toc725"/>
      <w:bookmarkStart w:id="70" w:name="_Toc1255"/>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06030879"/>
      <w:bookmarkStart w:id="74" w:name="_Toc76462325"/>
      <w:bookmarkStart w:id="75" w:name="_Toc3117"/>
      <w:bookmarkStart w:id="76" w:name="_Toc3196"/>
      <w:bookmarkStart w:id="77" w:name="_Toc15127"/>
      <w:bookmarkStart w:id="78" w:name="_Toc32516"/>
      <w:bookmarkStart w:id="79" w:name="_Toc1866"/>
      <w:bookmarkStart w:id="80" w:name="_Toc18470"/>
      <w:bookmarkStart w:id="81" w:name="_Toc76462327"/>
      <w:bookmarkStart w:id="82" w:name="_Toc106030882"/>
      <w:bookmarkStart w:id="83" w:name="_Toc7791"/>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3"/>
        <w:gridCol w:w="3369"/>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31"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749"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合同有效期</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b w:val="0"/>
                <w:bCs/>
                <w:sz w:val="24"/>
                <w:szCs w:val="24"/>
                <w:lang w:val="en-US" w:eastAsia="zh-CN"/>
              </w:rPr>
              <w:t>我院开展第三方员工满意度调查</w:t>
            </w:r>
          </w:p>
        </w:tc>
        <w:tc>
          <w:tcPr>
            <w:tcW w:w="1749"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t>三年</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（一）服务内容：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医院员工满意度调查，具体安排如下：</w:t>
      </w:r>
    </w:p>
    <w:tbl>
      <w:tblPr>
        <w:tblStyle w:val="57"/>
        <w:tblW w:w="4996" w:type="pct"/>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top w:w="0" w:type="dxa"/>
          <w:left w:w="108" w:type="dxa"/>
          <w:bottom w:w="0" w:type="dxa"/>
          <w:right w:w="108" w:type="dxa"/>
        </w:tblCellMar>
      </w:tblPr>
      <w:tblGrid>
        <w:gridCol w:w="815"/>
        <w:gridCol w:w="821"/>
        <w:gridCol w:w="1481"/>
        <w:gridCol w:w="1408"/>
        <w:gridCol w:w="1549"/>
        <w:gridCol w:w="2305"/>
        <w:gridCol w:w="1240"/>
      </w:tblGrid>
      <w:tr>
        <w:tblPrEx>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Ex>
        <w:trPr>
          <w:trHeight w:val="454" w:hRule="atLeast"/>
          <w:tblHeader/>
        </w:trPr>
        <w:tc>
          <w:tcPr>
            <w:tcW w:w="423" w:type="pct"/>
            <w:shd w:val="clear" w:color="auto" w:fill="DAEEF3"/>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lang w:bidi="ar"/>
              </w:rPr>
              <w:t>序号</w:t>
            </w:r>
          </w:p>
        </w:tc>
        <w:tc>
          <w:tcPr>
            <w:tcW w:w="1196" w:type="pct"/>
            <w:gridSpan w:val="2"/>
            <w:shd w:val="clear" w:color="auto" w:fill="DAEEF3"/>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color w:val="000000"/>
                <w:sz w:val="21"/>
                <w:szCs w:val="21"/>
                <w:lang w:val="en-US" w:eastAsia="zh-CN"/>
              </w:rPr>
            </w:pPr>
            <w:r>
              <w:rPr>
                <w:rFonts w:hint="eastAsia" w:ascii="微软雅黑" w:hAnsi="微软雅黑" w:eastAsia="微软雅黑" w:cs="微软雅黑"/>
                <w:b/>
                <w:bCs/>
                <w:color w:val="000000"/>
                <w:kern w:val="0"/>
                <w:sz w:val="21"/>
                <w:szCs w:val="21"/>
                <w:lang w:val="en-US" w:eastAsia="zh-CN" w:bidi="ar"/>
              </w:rPr>
              <w:t>服务内容</w:t>
            </w:r>
          </w:p>
        </w:tc>
        <w:tc>
          <w:tcPr>
            <w:tcW w:w="732" w:type="pct"/>
            <w:shd w:val="clear" w:color="auto" w:fill="DAEEF3"/>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lang w:bidi="ar"/>
              </w:rPr>
              <w:t>调查对象</w:t>
            </w:r>
          </w:p>
        </w:tc>
        <w:tc>
          <w:tcPr>
            <w:tcW w:w="805" w:type="pct"/>
            <w:shd w:val="clear" w:color="auto" w:fill="DAEEF3"/>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color w:val="000000"/>
                <w:sz w:val="21"/>
                <w:szCs w:val="21"/>
                <w:lang w:val="en-US" w:eastAsia="zh-CN"/>
              </w:rPr>
            </w:pPr>
            <w:r>
              <w:rPr>
                <w:rFonts w:hint="eastAsia" w:ascii="微软雅黑" w:hAnsi="微软雅黑" w:eastAsia="微软雅黑" w:cs="微软雅黑"/>
                <w:b/>
                <w:bCs/>
                <w:color w:val="000000"/>
                <w:kern w:val="0"/>
                <w:sz w:val="21"/>
                <w:szCs w:val="21"/>
                <w:lang w:val="en-US" w:eastAsia="zh-CN" w:bidi="ar"/>
              </w:rPr>
              <w:t>调查层面</w:t>
            </w:r>
          </w:p>
        </w:tc>
        <w:tc>
          <w:tcPr>
            <w:tcW w:w="1197" w:type="pct"/>
            <w:shd w:val="clear" w:color="auto" w:fill="DAEEF3"/>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lang w:bidi="ar"/>
              </w:rPr>
              <w:t>年度执行</w:t>
            </w:r>
            <w:r>
              <w:rPr>
                <w:rFonts w:hint="eastAsia" w:ascii="微软雅黑" w:hAnsi="微软雅黑" w:eastAsia="微软雅黑" w:cs="微软雅黑"/>
                <w:b/>
                <w:bCs/>
                <w:color w:val="000000"/>
                <w:kern w:val="0"/>
                <w:sz w:val="21"/>
                <w:szCs w:val="21"/>
                <w:lang w:bidi="ar"/>
              </w:rPr>
              <w:br w:type="textWrapping"/>
            </w:r>
            <w:r>
              <w:rPr>
                <w:rFonts w:hint="eastAsia" w:ascii="微软雅黑" w:hAnsi="微软雅黑" w:eastAsia="微软雅黑" w:cs="微软雅黑"/>
                <w:b/>
                <w:bCs/>
                <w:color w:val="000000"/>
                <w:kern w:val="0"/>
                <w:sz w:val="21"/>
                <w:szCs w:val="21"/>
                <w:lang w:bidi="ar"/>
              </w:rPr>
              <w:t>次数</w:t>
            </w:r>
            <w:r>
              <w:rPr>
                <w:rFonts w:hint="eastAsia" w:ascii="微软雅黑" w:hAnsi="微软雅黑" w:eastAsia="微软雅黑" w:cs="微软雅黑"/>
                <w:b/>
                <w:bCs/>
                <w:color w:val="000000"/>
                <w:kern w:val="0"/>
                <w:sz w:val="21"/>
                <w:szCs w:val="21"/>
                <w:lang w:val="en-US" w:eastAsia="zh-CN" w:bidi="ar"/>
              </w:rPr>
              <w:t>和</w:t>
            </w:r>
            <w:r>
              <w:rPr>
                <w:rFonts w:hint="eastAsia" w:ascii="微软雅黑" w:hAnsi="微软雅黑" w:eastAsia="微软雅黑" w:cs="微软雅黑"/>
                <w:b/>
                <w:bCs/>
                <w:color w:val="000000"/>
                <w:kern w:val="0"/>
                <w:sz w:val="21"/>
                <w:szCs w:val="21"/>
                <w:lang w:bidi="ar"/>
              </w:rPr>
              <w:t>执行</w:t>
            </w:r>
            <w:r>
              <w:rPr>
                <w:rFonts w:hint="eastAsia" w:ascii="微软雅黑" w:hAnsi="微软雅黑" w:eastAsia="微软雅黑" w:cs="微软雅黑"/>
                <w:b/>
                <w:bCs/>
                <w:color w:val="000000"/>
                <w:kern w:val="0"/>
                <w:sz w:val="21"/>
                <w:szCs w:val="21"/>
                <w:lang w:bidi="ar"/>
              </w:rPr>
              <w:br w:type="textWrapping"/>
            </w:r>
            <w:r>
              <w:rPr>
                <w:rFonts w:hint="eastAsia" w:ascii="微软雅黑" w:hAnsi="微软雅黑" w:eastAsia="微软雅黑" w:cs="微软雅黑"/>
                <w:b/>
                <w:bCs/>
                <w:color w:val="000000"/>
                <w:kern w:val="0"/>
                <w:sz w:val="21"/>
                <w:szCs w:val="21"/>
                <w:lang w:bidi="ar"/>
              </w:rPr>
              <w:t>时间</w:t>
            </w:r>
          </w:p>
        </w:tc>
        <w:tc>
          <w:tcPr>
            <w:tcW w:w="645" w:type="pct"/>
            <w:shd w:val="clear" w:color="auto" w:fill="DAEEF3"/>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color w:val="000000"/>
                <w:sz w:val="21"/>
                <w:szCs w:val="21"/>
                <w:lang w:val="en-US" w:eastAsia="zh-CN"/>
              </w:rPr>
            </w:pPr>
            <w:r>
              <w:rPr>
                <w:rFonts w:hint="eastAsia" w:ascii="微软雅黑" w:hAnsi="微软雅黑" w:eastAsia="微软雅黑" w:cs="微软雅黑"/>
                <w:b/>
                <w:bCs/>
                <w:color w:val="000000"/>
                <w:kern w:val="0"/>
                <w:sz w:val="21"/>
                <w:szCs w:val="21"/>
                <w:lang w:val="en-US" w:eastAsia="zh-CN" w:bidi="ar"/>
              </w:rPr>
              <w:t>具体安排</w:t>
            </w:r>
          </w:p>
        </w:tc>
      </w:tr>
      <w:tr>
        <w:tblPrEx>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Ex>
        <w:trPr>
          <w:trHeight w:val="724" w:hRule="atLeast"/>
        </w:trPr>
        <w:tc>
          <w:tcPr>
            <w:tcW w:w="423" w:type="pct"/>
            <w:vMerge w:val="restar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kern w:val="0"/>
                <w:sz w:val="21"/>
                <w:szCs w:val="21"/>
                <w:lang w:val="en-US" w:eastAsia="zh-CN" w:bidi="ar"/>
              </w:rPr>
              <w:t>1</w:t>
            </w:r>
          </w:p>
        </w:tc>
        <w:tc>
          <w:tcPr>
            <w:tcW w:w="426" w:type="pct"/>
            <w:vMerge w:val="restar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lang w:bidi="ar"/>
              </w:rPr>
              <w:t>员工</w:t>
            </w:r>
            <w:r>
              <w:rPr>
                <w:rFonts w:hint="eastAsia" w:ascii="微软雅黑" w:hAnsi="微软雅黑" w:eastAsia="微软雅黑" w:cs="微软雅黑"/>
                <w:color w:val="000000"/>
                <w:kern w:val="0"/>
                <w:sz w:val="21"/>
                <w:szCs w:val="21"/>
                <w:lang w:val="en-US" w:eastAsia="zh-CN" w:bidi="ar"/>
              </w:rPr>
              <w:t>满意度</w:t>
            </w:r>
            <w:r>
              <w:rPr>
                <w:rFonts w:hint="eastAsia" w:ascii="微软雅黑" w:hAnsi="微软雅黑" w:eastAsia="微软雅黑" w:cs="微软雅黑"/>
                <w:color w:val="000000"/>
                <w:kern w:val="0"/>
                <w:sz w:val="21"/>
                <w:szCs w:val="21"/>
                <w:lang w:bidi="ar"/>
              </w:rPr>
              <w:t>调查</w:t>
            </w:r>
          </w:p>
        </w:tc>
        <w:tc>
          <w:tcPr>
            <w:tcW w:w="770" w:type="pct"/>
            <w:vMerge w:val="restart"/>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lang w:bidi="ar"/>
              </w:rPr>
              <w:t>员工满意度</w:t>
            </w:r>
          </w:p>
        </w:tc>
        <w:tc>
          <w:tcPr>
            <w:tcW w:w="732" w:type="pct"/>
            <w:vMerge w:val="restar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lang w:bidi="ar"/>
              </w:rPr>
              <w:t>全院员工</w:t>
            </w:r>
          </w:p>
        </w:tc>
        <w:tc>
          <w:tcPr>
            <w:tcW w:w="805" w:type="pct"/>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b/>
                <w:bCs/>
                <w:color w:val="000000"/>
                <w:sz w:val="21"/>
                <w:szCs w:val="21"/>
                <w:lang w:val="en-US" w:eastAsia="zh-CN"/>
              </w:rPr>
            </w:pPr>
            <w:r>
              <w:rPr>
                <w:rFonts w:hint="eastAsia" w:ascii="微软雅黑" w:hAnsi="微软雅黑" w:eastAsia="微软雅黑" w:cs="微软雅黑"/>
                <w:b/>
                <w:bCs/>
                <w:color w:val="000000"/>
                <w:kern w:val="0"/>
                <w:sz w:val="21"/>
                <w:szCs w:val="21"/>
                <w:lang w:val="en-US" w:eastAsia="zh-CN" w:bidi="ar"/>
              </w:rPr>
              <w:t>员工对医院</w:t>
            </w:r>
          </w:p>
        </w:tc>
        <w:tc>
          <w:tcPr>
            <w:tcW w:w="1197" w:type="pct"/>
            <w:vMerge w:val="restart"/>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b/>
                <w:bCs/>
                <w:color w:val="000000"/>
                <w:sz w:val="21"/>
                <w:szCs w:val="21"/>
                <w:u w:val="none"/>
                <w:lang w:bidi="ar"/>
              </w:rPr>
              <w:t>拟上半年</w:t>
            </w:r>
            <w:r>
              <w:rPr>
                <w:rFonts w:hint="eastAsia" w:ascii="微软雅黑" w:hAnsi="微软雅黑" w:eastAsia="微软雅黑" w:cs="微软雅黑"/>
                <w:b/>
                <w:bCs/>
                <w:color w:val="000000"/>
                <w:sz w:val="21"/>
                <w:szCs w:val="21"/>
                <w:u w:val="none"/>
                <w:lang w:val="en-US" w:eastAsia="zh-CN" w:bidi="ar"/>
              </w:rPr>
              <w:t>5-6</w:t>
            </w:r>
            <w:r>
              <w:rPr>
                <w:rFonts w:hint="eastAsia" w:ascii="微软雅黑" w:hAnsi="微软雅黑" w:eastAsia="微软雅黑" w:cs="微软雅黑"/>
                <w:b/>
                <w:bCs/>
                <w:color w:val="000000"/>
                <w:sz w:val="21"/>
                <w:szCs w:val="21"/>
                <w:u w:val="none"/>
                <w:lang w:bidi="ar"/>
              </w:rPr>
              <w:t>月，下半年</w:t>
            </w:r>
            <w:r>
              <w:rPr>
                <w:rFonts w:hint="eastAsia" w:ascii="微软雅黑" w:hAnsi="微软雅黑" w:eastAsia="微软雅黑" w:cs="微软雅黑"/>
                <w:b/>
                <w:bCs/>
                <w:color w:val="000000"/>
                <w:sz w:val="21"/>
                <w:szCs w:val="21"/>
                <w:u w:val="none"/>
                <w:lang w:val="en-US" w:eastAsia="zh-CN" w:bidi="ar"/>
              </w:rPr>
              <w:t>11-12</w:t>
            </w:r>
            <w:r>
              <w:rPr>
                <w:rFonts w:hint="eastAsia" w:ascii="微软雅黑" w:hAnsi="微软雅黑" w:eastAsia="微软雅黑" w:cs="微软雅黑"/>
                <w:b/>
                <w:bCs/>
                <w:color w:val="000000"/>
                <w:sz w:val="21"/>
                <w:szCs w:val="21"/>
                <w:u w:val="none"/>
                <w:lang w:bidi="ar"/>
              </w:rPr>
              <w:t>月开展。</w:t>
            </w:r>
          </w:p>
        </w:tc>
        <w:tc>
          <w:tcPr>
            <w:tcW w:w="645" w:type="pct"/>
            <w:vMerge w:val="restar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采用信息化手段进行匿名调查</w:t>
            </w:r>
          </w:p>
        </w:tc>
      </w:tr>
      <w:tr>
        <w:tblPrEx>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Ex>
        <w:trPr>
          <w:trHeight w:val="454" w:hRule="atLeast"/>
        </w:trPr>
        <w:tc>
          <w:tcPr>
            <w:tcW w:w="423" w:type="pct"/>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rPr>
            </w:pPr>
          </w:p>
        </w:tc>
        <w:tc>
          <w:tcPr>
            <w:tcW w:w="426" w:type="pct"/>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rPr>
            </w:pPr>
          </w:p>
        </w:tc>
        <w:tc>
          <w:tcPr>
            <w:tcW w:w="770" w:type="pct"/>
            <w:vMerge w:val="continue"/>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color w:val="000000"/>
                <w:sz w:val="21"/>
                <w:szCs w:val="21"/>
              </w:rPr>
            </w:pPr>
          </w:p>
        </w:tc>
        <w:tc>
          <w:tcPr>
            <w:tcW w:w="732" w:type="pct"/>
            <w:vMerge w:val="continue"/>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sz w:val="21"/>
                <w:szCs w:val="21"/>
              </w:rPr>
            </w:pPr>
          </w:p>
        </w:tc>
        <w:tc>
          <w:tcPr>
            <w:tcW w:w="805" w:type="pct"/>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b/>
                <w:bCs/>
                <w:color w:val="000000"/>
                <w:sz w:val="21"/>
                <w:szCs w:val="21"/>
                <w:lang w:val="en-US" w:eastAsia="zh-CN"/>
              </w:rPr>
            </w:pPr>
            <w:r>
              <w:rPr>
                <w:rFonts w:hint="eastAsia" w:ascii="微软雅黑" w:hAnsi="微软雅黑" w:eastAsia="微软雅黑" w:cs="微软雅黑"/>
                <w:b/>
                <w:bCs/>
                <w:color w:val="000000"/>
                <w:kern w:val="0"/>
                <w:sz w:val="21"/>
                <w:szCs w:val="21"/>
                <w:lang w:val="en-US" w:eastAsia="zh-CN" w:bidi="ar"/>
              </w:rPr>
              <w:t>员工对科室</w:t>
            </w:r>
          </w:p>
        </w:tc>
        <w:tc>
          <w:tcPr>
            <w:tcW w:w="1197" w:type="pct"/>
            <w:vMerge w:val="continue"/>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color w:val="000000"/>
                <w:sz w:val="21"/>
                <w:szCs w:val="21"/>
              </w:rPr>
            </w:pPr>
          </w:p>
        </w:tc>
        <w:tc>
          <w:tcPr>
            <w:tcW w:w="645" w:type="pct"/>
            <w:vMerge w:val="continue"/>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rPr>
            </w:pPr>
          </w:p>
        </w:tc>
      </w:tr>
      <w:tr>
        <w:tblPrEx>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Ex>
        <w:trPr>
          <w:trHeight w:val="454" w:hRule="atLeast"/>
        </w:trPr>
        <w:tc>
          <w:tcPr>
            <w:tcW w:w="423" w:type="pc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2</w:t>
            </w:r>
          </w:p>
        </w:tc>
        <w:tc>
          <w:tcPr>
            <w:tcW w:w="426" w:type="pc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培训</w:t>
            </w:r>
          </w:p>
        </w:tc>
        <w:tc>
          <w:tcPr>
            <w:tcW w:w="770" w:type="pct"/>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kern w:val="0"/>
                <w:sz w:val="21"/>
                <w:szCs w:val="21"/>
                <w:lang w:val="en-US" w:eastAsia="zh-CN" w:bidi="ar"/>
              </w:rPr>
              <w:t>满意度调查方法培训</w:t>
            </w:r>
          </w:p>
        </w:tc>
        <w:tc>
          <w:tcPr>
            <w:tcW w:w="732" w:type="pc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lang w:val="en-US" w:eastAsia="zh-CN" w:bidi="ar"/>
              </w:rPr>
              <w:t>干部</w:t>
            </w:r>
            <w:r>
              <w:rPr>
                <w:rFonts w:hint="eastAsia" w:ascii="微软雅黑" w:hAnsi="微软雅黑" w:eastAsia="微软雅黑" w:cs="微软雅黑"/>
                <w:color w:val="000000"/>
                <w:kern w:val="0"/>
                <w:sz w:val="21"/>
                <w:szCs w:val="21"/>
                <w:lang w:bidi="ar"/>
              </w:rPr>
              <w:t>员工</w:t>
            </w:r>
          </w:p>
        </w:tc>
        <w:tc>
          <w:tcPr>
            <w:tcW w:w="805" w:type="pct"/>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b/>
                <w:bCs/>
                <w:color w:val="000000"/>
                <w:kern w:val="0"/>
                <w:sz w:val="21"/>
                <w:szCs w:val="21"/>
                <w:lang w:val="en-US" w:eastAsia="zh-CN" w:bidi="ar"/>
              </w:rPr>
            </w:pPr>
            <w:r>
              <w:rPr>
                <w:rFonts w:hint="eastAsia" w:ascii="微软雅黑" w:hAnsi="微软雅黑" w:eastAsia="微软雅黑" w:cs="微软雅黑"/>
                <w:b/>
                <w:bCs/>
                <w:color w:val="000000"/>
                <w:kern w:val="0"/>
                <w:sz w:val="21"/>
                <w:szCs w:val="21"/>
                <w:lang w:val="en-US" w:eastAsia="zh-CN" w:bidi="ar"/>
              </w:rPr>
              <w:t>国测项目</w:t>
            </w:r>
          </w:p>
        </w:tc>
        <w:tc>
          <w:tcPr>
            <w:tcW w:w="1197" w:type="pct"/>
            <w:noWrap w:val="0"/>
            <w:vAlign w:val="center"/>
          </w:tcPr>
          <w:p>
            <w:pPr>
              <w:keepNext w:val="0"/>
              <w:keepLines w:val="0"/>
              <w:widowControl/>
              <w:suppressLineNumbers w:val="0"/>
              <w:spacing w:before="0" w:beforeAutospacing="0" w:after="0" w:afterAutospacing="0"/>
              <w:ind w:left="0" w:right="0"/>
              <w:jc w:val="both"/>
              <w:textAlignment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按医院会议安排时间进行不定期的开展</w:t>
            </w:r>
          </w:p>
        </w:tc>
        <w:tc>
          <w:tcPr>
            <w:tcW w:w="645" w:type="pct"/>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现场或线上培训</w:t>
            </w: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员工满意度调查涵盖员工对医院满意度调查和员工对科室满意度调查两部分，具体各部分调查内容如下：</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1.员工对医院满意度调查</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员工满意度调查内容拟结合国家卫健委关于医院职工满意度调查的内容进行调查，主要分为4个模块25项指标，采取普查的调查方式，调查遵循自愿参与的原则，具体调查样本量以在限定时期内参与提交问卷数量为准，单次回收样本量不低于员工总人数的70%。</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具体测评内容库如下：</w:t>
      </w:r>
    </w:p>
    <w:tbl>
      <w:tblPr>
        <w:tblStyle w:val="5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6"/>
        <w:gridCol w:w="2426"/>
        <w:gridCol w:w="2426"/>
        <w:gridCol w:w="2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260" w:type="pct"/>
            <w:shd w:val="clear" w:color="auto" w:fill="B8CCE4"/>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模块</w:t>
            </w:r>
          </w:p>
        </w:tc>
        <w:tc>
          <w:tcPr>
            <w:tcW w:w="3739" w:type="pct"/>
            <w:gridSpan w:val="3"/>
            <w:shd w:val="clear" w:color="auto" w:fill="B8CCE4"/>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涉及指标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260" w:type="pct"/>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日常管理</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权利义务</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人际关系</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绩效考核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260" w:type="pct"/>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人文关怀</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沟通协作</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硬件支持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260" w:type="pct"/>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沟通渠道</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薪酬福利</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文化建设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260" w:type="pct"/>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人力资源</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学科建设</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职业安全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260" w:type="pct"/>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防暴处置</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休息制度</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60" w:type="pct"/>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个人发展</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晋升机制</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发展前景</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离职意愿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260" w:type="pct"/>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技能发展</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考核培训</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职业认同</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行业发展</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职业认同</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职业倦怠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价值体现</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工作成就</w:t>
            </w:r>
          </w:p>
        </w:tc>
        <w:tc>
          <w:tcPr>
            <w:tcW w:w="126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能力发挥</w:t>
            </w:r>
          </w:p>
        </w:tc>
        <w:tc>
          <w:tcPr>
            <w:tcW w:w="1218"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自我价值</w:t>
            </w: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2.员工对科室满意度调查</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员工对科室满意度调查拟结合国家政策《公立医院高质量发展促进行动（2021-2025年）》等内容进行设计调查，主要分为4个模块，采取普查的调查方式，调查遵循自愿参与的原则，具体调查样本量以在限定时期内参与提交问卷数量为准，单次回收样本量不低于科室员工总人数的70%。</w:t>
      </w:r>
    </w:p>
    <w:tbl>
      <w:tblPr>
        <w:tblStyle w:val="5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0"/>
        <w:gridCol w:w="1790"/>
        <w:gridCol w:w="1790"/>
        <w:gridCol w:w="4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000" w:type="pct"/>
            <w:gridSpan w:val="4"/>
            <w:shd w:val="clear" w:color="auto" w:fill="B8CCE4"/>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259"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科室团队氛围</w:t>
            </w:r>
          </w:p>
        </w:tc>
        <w:tc>
          <w:tcPr>
            <w:tcW w:w="1259"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科室发展认同</w:t>
            </w:r>
          </w:p>
        </w:tc>
        <w:tc>
          <w:tcPr>
            <w:tcW w:w="1259"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个人发展认同</w:t>
            </w:r>
          </w:p>
        </w:tc>
        <w:tc>
          <w:tcPr>
            <w:tcW w:w="1220" w:type="pct"/>
            <w:noWrap w:val="0"/>
            <w:vAlign w:val="center"/>
          </w:tcPr>
          <w:p>
            <w:pPr>
              <w:keepNext w:val="0"/>
              <w:keepLines w:val="0"/>
              <w:widowControl/>
              <w:suppressLineNumbers w:val="0"/>
              <w:spacing w:before="0" w:beforeAutospacing="0" w:after="0" w:afterAutospacing="0" w:line="240" w:lineRule="auto"/>
              <w:ind w:left="0" w:right="0"/>
              <w:jc w:val="center"/>
              <w:rPr>
                <w:rFonts w:hint="eastAsia" w:ascii="微软雅黑" w:hAnsi="微软雅黑" w:eastAsia="微软雅黑" w:cs="微软雅黑"/>
                <w:kern w:val="0"/>
                <w:sz w:val="21"/>
                <w:szCs w:val="21"/>
                <w:lang w:val="en-US" w:eastAsia="zh-CN" w:bidi="ar-SA"/>
              </w:rPr>
            </w:pPr>
            <w:r>
              <w:rPr>
                <w:rFonts w:hint="eastAsia" w:ascii="微软雅黑" w:hAnsi="微软雅黑" w:eastAsia="微软雅黑" w:cs="微软雅黑"/>
                <w:kern w:val="0"/>
                <w:sz w:val="21"/>
                <w:szCs w:val="21"/>
                <w:lang w:val="en-US" w:eastAsia="zh-CN" w:bidi="ar-SA"/>
              </w:rPr>
              <w:t>科室民主管理</w:t>
            </w:r>
          </w:p>
        </w:tc>
      </w:tr>
    </w:tbl>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3.协助院方开展国测员工满意度项目</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根据《国家卫生计生委办公厅关于加强三级公立医院绩效考核工作的意见》内容，协助院方完成国家要求完成的员工满意度考核内容，主要是对文件内容要求，以及项目开展过程中的注意事项和执行标准，不定期按院方要求提供现场培训和解答，以确保工作能顺利开展。</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（二）服务标准：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1.服务要求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调查问卷指标体系设计科学、严谨，有相应的参考模型和构建依据。根据不同调查对象，编制相应的测评指标体系、调查方案及调查问卷。问卷调查重在反映问题，尽可能每期有所侧重、有针对性。第三方满意度重在报忧，不在报喜，制定完成后需提交采购人审核合格后方能执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调查问卷结构完整、合理，包括但不限于卷首语、主体调查内容、被调查对象基本信息、结束语；主体调查内容应全面覆盖要求指标，调查问卷的信度效度检验完成，均在比较良好以上（0.7），并能够提供信效度的校验报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（3）问卷调查采取电子问卷匿名调查形式，整体实施组织过程按照标准化流程执行，能够提供相关的SOP文件和各类交接、登记记录表单。</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（4）能够提供样本量测算方式、样本筛选规则和抽样方式，单次单项调查样本量符合统计学要求。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（5）测评过程真实、客观，有严格的质量控制体系和标准，采取合法的技术手段、物理手段进行测评质量管控。</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需提供电子及纸质调查分析报告，结构完整、合理。包括但不限于报告名称、目录、报告摘要、报告正文、报告说明、质量控制说明、数据清洗说明、相关解释等。各类满意度访问调查分析报告单独进行板块分析。</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（7）调查信息化管理平台具有自主研发或者借助第三方调查信息化管理平台两者均可，能提供科级、院级管理账号进行登录管理。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（8）投标人需具有一定资质和经验，特别是在国测项目上有足够的执行经验和培训指导能力，且能提供与医院的服务合同。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2.信息化要求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（1）每次调查，信息化平台需要同步数据，保证数据实时同步，并且进行闭环管理，并开放查询。</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调查数据永久保存，有相应的容灾措施确保数据安全。调查测评涉及所有资料及成果归医院独家享有，任何人及单位未经医院同意不得引用或公开发表调查测评成果和相关数据，负有保密义务和保密责任，否则，医院有权追究其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（3）信息化平台能够实现以医院、科室等不同层别进行数据查询和统计。</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（4）信息化平台能够按照调查问卷指标体系（各级指标或各模块指标）进行数据查询和统计。</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（5）信息化平台能够实现所有单项数据的排序（降序、升序）。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（6）对医院所提供的所有信息均承诺保密。</w:t>
      </w:r>
    </w:p>
    <w:p>
      <w:pPr>
        <w:rPr>
          <w:rFonts w:hint="eastAsia" w:ascii="微软雅黑" w:hAnsi="微软雅黑" w:eastAsia="微软雅黑" w:cs="微软雅黑"/>
          <w:b/>
          <w:sz w:val="44"/>
          <w:szCs w:val="20"/>
        </w:rPr>
      </w:pPr>
      <w:bookmarkStart w:id="84" w:name="_Toc6337"/>
      <w:r>
        <w:rPr>
          <w:rFonts w:hint="eastAsia" w:ascii="微软雅黑" w:hAnsi="微软雅黑" w:eastAsia="微软雅黑" w:cs="微软雅黑"/>
          <w:b/>
          <w:sz w:val="44"/>
          <w:szCs w:val="20"/>
        </w:rPr>
        <w:br w:type="page"/>
      </w:r>
    </w:p>
    <w:p>
      <w:pPr>
        <w:pStyle w:val="4"/>
        <w:spacing w:before="200" w:after="200" w:line="240" w:lineRule="auto"/>
        <w:ind w:firstLine="1761" w:firstLineChars="400"/>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1"/>
      <w:bookmarkEnd w:id="82"/>
      <w:bookmarkEnd w:id="83"/>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6"/>
        <w:gridCol w:w="8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5" w:name="_Toc106030887"/>
            <w:bookmarkStart w:id="86" w:name="_Toc76462332"/>
            <w:bookmarkStart w:id="87" w:name="_Toc6692"/>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实施期限、实施地点及验收方式</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实施期限：本项目合同履行期限为三年，每年开展2次调查，共6次。</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实施地点及对象：重庆医科大学附属儿童医院两江院区、渝中院区，对象为全院职工。</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验收方式：调查结果分析报告。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1.该项目可在投标现场进行二次报价。</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2.该项目需对项目包干总价进行报价，包括完成本项目所需的所有费用及各种应纳的税费。因中标人自身原因造成漏报、少报皆由其自行承担责任，采购人不再补偿。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测评过程真实、客观，有严格的质量控制体系和标准，采取合法的技术手段、物理手段进行测评质量管控。需提供电子及纸质调查分析报告，结构完整、合理。各类满意度访问调查分析报告单独进行板块分析。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每一期测评结束后结算一次，投标人提交符合要求的分析报告</w:t>
            </w:r>
            <w:r>
              <w:rPr>
                <w:rFonts w:hint="default" w:ascii="微软雅黑" w:hAnsi="微软雅黑" w:eastAsia="微软雅黑" w:cs="微软雅黑"/>
                <w:color w:val="auto"/>
                <w:sz w:val="24"/>
                <w:szCs w:val="24"/>
                <w:lang w:eastAsia="zh-CN"/>
              </w:rPr>
              <w:t>，经采购人验收合格后可根据合同开具当期测评服务费用的发票，采购人收到</w:t>
            </w:r>
            <w:r>
              <w:rPr>
                <w:rFonts w:hint="eastAsia" w:ascii="微软雅黑" w:hAnsi="微软雅黑" w:eastAsia="微软雅黑" w:cs="微软雅黑"/>
                <w:color w:val="auto"/>
                <w:sz w:val="24"/>
                <w:szCs w:val="24"/>
                <w:lang w:val="en-US" w:eastAsia="zh-CN"/>
              </w:rPr>
              <w:t>发票后2个月内一次性</w:t>
            </w:r>
            <w:r>
              <w:rPr>
                <w:rFonts w:hint="default" w:ascii="微软雅黑" w:hAnsi="微软雅黑" w:eastAsia="微软雅黑" w:cs="微软雅黑"/>
                <w:color w:val="auto"/>
                <w:sz w:val="24"/>
                <w:szCs w:val="24"/>
                <w:lang w:eastAsia="zh-CN"/>
              </w:rPr>
              <w:t>支付发票金额的100%</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4"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15"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1.投标人必须在响应文件中对以上条款和服务承诺明确列出，承诺内容必须达到本篇及协商文件其他条款的要求。</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5"/>
    <w:bookmarkEnd w:id="86"/>
    <w:bookmarkEnd w:id="87"/>
    <w:p>
      <w:pPr>
        <w:pStyle w:val="4"/>
        <w:pageBreakBefore w:val="0"/>
        <w:spacing w:before="200" w:after="200" w:line="240" w:lineRule="auto"/>
        <w:jc w:val="center"/>
        <w:rPr>
          <w:rFonts w:hint="eastAsia" w:ascii="微软雅黑" w:hAnsi="微软雅黑" w:eastAsia="微软雅黑" w:cs="微软雅黑"/>
          <w:b/>
          <w:sz w:val="44"/>
          <w:szCs w:val="20"/>
        </w:rPr>
      </w:pPr>
      <w:bookmarkStart w:id="88" w:name="_Toc12791"/>
      <w:bookmarkStart w:id="89" w:name="_Toc18371"/>
      <w:bookmarkStart w:id="90" w:name="_Toc64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bookmarkEnd w:id="9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106030888"/>
      <w:bookmarkStart w:id="92" w:name="_Toc5379"/>
      <w:bookmarkStart w:id="93" w:name="_Toc18603"/>
      <w:bookmarkStart w:id="94" w:name="_Toc76462333"/>
      <w:bookmarkStart w:id="95" w:name="_Toc1495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1"/>
      <w:bookmarkEnd w:id="92"/>
      <w:bookmarkEnd w:id="93"/>
      <w:bookmarkEnd w:id="94"/>
      <w:bookmarkEnd w:id="9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6" w:name="_Toc10843"/>
      <w:bookmarkStart w:id="97" w:name="_Toc4495"/>
      <w:bookmarkStart w:id="98" w:name="_Toc25824"/>
      <w:bookmarkStart w:id="99" w:name="_Toc31497"/>
      <w:bookmarkStart w:id="100" w:name="_Toc106030890"/>
      <w:bookmarkStart w:id="101" w:name="_Toc76462335"/>
      <w:bookmarkStart w:id="102" w:name="_Toc342913394"/>
      <w:bookmarkStart w:id="103" w:name="_Toc102227320"/>
      <w:r>
        <w:rPr>
          <w:rFonts w:hint="eastAsia" w:ascii="微软雅黑" w:hAnsi="微软雅黑" w:eastAsia="微软雅黑" w:cs="微软雅黑"/>
          <w:color w:val="auto"/>
          <w:sz w:val="24"/>
          <w:lang w:val="en-US" w:eastAsia="zh-CN"/>
        </w:rPr>
        <w:t>二、报价方式</w:t>
      </w:r>
      <w:bookmarkEnd w:id="96"/>
      <w:bookmarkEnd w:id="9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4" w:name="_Toc27607"/>
      <w:bookmarkStart w:id="105" w:name="_Toc27394"/>
      <w:r>
        <w:rPr>
          <w:rFonts w:hint="eastAsia" w:ascii="微软雅黑" w:hAnsi="微软雅黑" w:eastAsia="微软雅黑" w:cs="微软雅黑"/>
          <w:b w:val="0"/>
          <w:bCs/>
          <w:color w:val="auto"/>
          <w:sz w:val="24"/>
          <w:szCs w:val="24"/>
          <w:lang w:val="en-US" w:eastAsia="zh-CN"/>
        </w:rPr>
        <w:t>本项目可在开标现场进行二次报价。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8"/>
      <w:bookmarkEnd w:id="104"/>
      <w:bookmarkEnd w:id="10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6" w:name="_Toc18577"/>
      <w:bookmarkStart w:id="107" w:name="_Toc24201"/>
      <w:bookmarkStart w:id="108" w:name="_Toc106030889"/>
      <w:bookmarkStart w:id="109" w:name="_Toc30944"/>
      <w:bookmarkStart w:id="110" w:name="_Toc5973"/>
      <w:bookmarkStart w:id="111" w:name="_Toc76462334"/>
      <w:r>
        <w:rPr>
          <w:rFonts w:hint="eastAsia" w:ascii="微软雅黑" w:hAnsi="微软雅黑" w:eastAsia="微软雅黑" w:cs="微软雅黑"/>
          <w:color w:val="auto"/>
          <w:sz w:val="24"/>
          <w:lang w:val="en-US" w:eastAsia="zh-CN"/>
        </w:rPr>
        <w:t>四、评审标准</w:t>
      </w:r>
      <w:bookmarkEnd w:id="106"/>
      <w:bookmarkEnd w:id="107"/>
      <w:bookmarkEnd w:id="108"/>
      <w:bookmarkEnd w:id="109"/>
      <w:bookmarkEnd w:id="110"/>
      <w:bookmarkEnd w:id="111"/>
    </w:p>
    <w:tbl>
      <w:tblPr>
        <w:tblStyle w:val="58"/>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070"/>
        <w:gridCol w:w="825"/>
        <w:gridCol w:w="5009"/>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bookmarkStart w:id="112" w:name="_Toc15660"/>
            <w:bookmarkStart w:id="113" w:name="_Toc29489"/>
            <w:r>
              <w:rPr>
                <w:rFonts w:hint="eastAsia" w:ascii="微软雅黑" w:hAnsi="微软雅黑" w:eastAsia="微软雅黑" w:cs="微软雅黑"/>
                <w:sz w:val="21"/>
                <w:szCs w:val="21"/>
              </w:rPr>
              <w:t>序号</w:t>
            </w:r>
          </w:p>
        </w:tc>
        <w:tc>
          <w:tcPr>
            <w:tcW w:w="1070"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评分因素及价</w:t>
            </w:r>
            <w:r>
              <w:rPr>
                <w:rFonts w:hint="eastAsia" w:ascii="微软雅黑" w:hAnsi="微软雅黑" w:eastAsia="微软雅黑" w:cs="微软雅黑"/>
                <w:sz w:val="21"/>
                <w:szCs w:val="21"/>
                <w:lang w:eastAsia="zh-CN"/>
              </w:rPr>
              <w:t>权重</w:t>
            </w: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分值</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评分标准</w:t>
            </w:r>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7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070"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报价</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综合评分法中的价格分统一采用低价优先法计算，即满足招标文件要求且投标价格最低的投标报价为评标基准价，其价格分为满分。其他投标人的价格分统一按照下列公式计算：</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投标报价得分=(评标基准价／投标报价)×价格权值×100</w:t>
            </w:r>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得分四舍五入保留至小数点后两位。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5" w:type="dxa"/>
            <w:vMerge w:val="restart"/>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p>
        </w:tc>
        <w:tc>
          <w:tcPr>
            <w:tcW w:w="1070" w:type="dxa"/>
            <w:vMerge w:val="restart"/>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技术要求（</w:t>
            </w:r>
            <w:r>
              <w:rPr>
                <w:rFonts w:hint="eastAsia" w:ascii="微软雅黑" w:hAnsi="微软雅黑" w:eastAsia="微软雅黑" w:cs="微软雅黑"/>
                <w:sz w:val="21"/>
                <w:szCs w:val="21"/>
                <w:lang w:val="en-US" w:eastAsia="zh-CN"/>
              </w:rPr>
              <w:t>40%</w:t>
            </w:r>
            <w:r>
              <w:rPr>
                <w:rFonts w:hint="eastAsia" w:ascii="微软雅黑" w:hAnsi="微软雅黑" w:eastAsia="微软雅黑" w:cs="微软雅黑"/>
                <w:sz w:val="21"/>
                <w:szCs w:val="21"/>
                <w:lang w:eastAsia="zh-CN"/>
              </w:rPr>
              <w:t>）</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采用云平台技术和架构，搭建自有SAAS平台，具备相应技术，能够为医院建立专属的</w:t>
            </w:r>
            <w:r>
              <w:rPr>
                <w:rFonts w:hint="eastAsia" w:ascii="微软雅黑" w:hAnsi="微软雅黑" w:eastAsia="微软雅黑" w:cs="微软雅黑"/>
                <w:sz w:val="21"/>
                <w:szCs w:val="21"/>
                <w:lang w:val="en-US" w:eastAsia="zh-CN"/>
              </w:rPr>
              <w:t>员工满意度</w:t>
            </w:r>
            <w:r>
              <w:rPr>
                <w:rFonts w:hint="eastAsia" w:ascii="微软雅黑" w:hAnsi="微软雅黑" w:eastAsia="微软雅黑" w:cs="微软雅黑"/>
                <w:sz w:val="21"/>
                <w:szCs w:val="21"/>
              </w:rPr>
              <w:t>数据应用云平台和数据库</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能实现得</w:t>
            </w:r>
            <w:r>
              <w:rPr>
                <w:rFonts w:hint="eastAsia" w:ascii="微软雅黑" w:hAnsi="微软雅黑" w:eastAsia="微软雅黑" w:cs="微软雅黑"/>
                <w:sz w:val="21"/>
                <w:szCs w:val="21"/>
                <w:lang w:val="en-US" w:eastAsia="zh-CN"/>
              </w:rPr>
              <w:t>4</w:t>
            </w:r>
            <w:r>
              <w:rPr>
                <w:rFonts w:hint="eastAsia" w:ascii="微软雅黑" w:hAnsi="微软雅黑" w:eastAsia="微软雅黑" w:cs="微软雅黑"/>
                <w:sz w:val="21"/>
                <w:szCs w:val="21"/>
              </w:rPr>
              <w:t>分，没有不得分。</w:t>
            </w:r>
          </w:p>
          <w:p>
            <w:pPr>
              <w:pStyle w:val="2"/>
              <w:keepNext w:val="0"/>
              <w:keepLines w:val="0"/>
              <w:pageBreakBefore w:val="0"/>
              <w:widowControl w:val="0"/>
              <w:numPr>
                <w:ilvl w:val="0"/>
                <w:numId w:val="0"/>
              </w:numPr>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能在提供的信息化管理平台上提供持续改进PDCA质量工具为各科室在科室管理功能板块能在线记录持续改进过程，得</w:t>
            </w:r>
            <w:r>
              <w:rPr>
                <w:rFonts w:hint="eastAsia" w:ascii="微软雅黑" w:hAnsi="微软雅黑" w:eastAsia="微软雅黑" w:cs="微软雅黑"/>
                <w:sz w:val="21"/>
                <w:szCs w:val="21"/>
                <w:lang w:val="en-US" w:eastAsia="zh-CN"/>
              </w:rPr>
              <w:t>4</w:t>
            </w:r>
            <w:r>
              <w:rPr>
                <w:rFonts w:hint="eastAsia" w:ascii="微软雅黑" w:hAnsi="微软雅黑" w:eastAsia="微软雅黑" w:cs="微软雅黑"/>
                <w:sz w:val="21"/>
                <w:szCs w:val="21"/>
              </w:rPr>
              <w:t>分，没有不得分。</w:t>
            </w:r>
          </w:p>
        </w:tc>
        <w:tc>
          <w:tcPr>
            <w:tcW w:w="1808" w:type="dxa"/>
            <w:vMerge w:val="restart"/>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eastAsia="zh-CN"/>
              </w:rPr>
              <w:t>投标人</w:t>
            </w:r>
            <w:r>
              <w:rPr>
                <w:rFonts w:hint="eastAsia" w:ascii="微软雅黑" w:hAnsi="微软雅黑" w:eastAsia="微软雅黑" w:cs="微软雅黑"/>
                <w:sz w:val="21"/>
                <w:szCs w:val="21"/>
              </w:rPr>
              <w:t>在响应文件中自行提供证明材料。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1070"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企业通过国家 ISO9001 质量体系认证、 IS</w:t>
            </w:r>
            <w:r>
              <w:rPr>
                <w:rFonts w:hint="eastAsia" w:ascii="微软雅黑" w:hAnsi="微软雅黑" w:eastAsia="微软雅黑" w:cs="微软雅黑"/>
                <w:sz w:val="21"/>
                <w:szCs w:val="21"/>
                <w:lang w:val="en-US" w:eastAsia="zh-CN"/>
              </w:rPr>
              <w:t>O</w:t>
            </w:r>
            <w:r>
              <w:rPr>
                <w:rFonts w:hint="eastAsia" w:ascii="微软雅黑" w:hAnsi="微软雅黑" w:eastAsia="微软雅黑" w:cs="微软雅黑"/>
                <w:sz w:val="21"/>
                <w:szCs w:val="21"/>
              </w:rPr>
              <w:t>27001信息安全管理认证以及涉外统计证的</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有一项得</w:t>
            </w: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分，</w:t>
            </w:r>
            <w:r>
              <w:rPr>
                <w:rFonts w:hint="eastAsia" w:ascii="微软雅黑" w:hAnsi="微软雅黑" w:eastAsia="微软雅黑" w:cs="微软雅黑"/>
                <w:sz w:val="21"/>
                <w:szCs w:val="21"/>
                <w:lang w:val="en-US" w:eastAsia="zh-CN"/>
              </w:rPr>
              <w:t>最多</w:t>
            </w:r>
            <w:r>
              <w:rPr>
                <w:rFonts w:hint="eastAsia" w:ascii="微软雅黑" w:hAnsi="微软雅黑" w:eastAsia="微软雅黑" w:cs="微软雅黑"/>
                <w:sz w:val="21"/>
                <w:szCs w:val="21"/>
              </w:rPr>
              <w:t>得</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分，没有不得分。</w:t>
            </w:r>
          </w:p>
        </w:tc>
        <w:tc>
          <w:tcPr>
            <w:tcW w:w="1808"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675"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1070"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1.投标人针对本项目提供整体方案，方案内容包括不限于项目背景、组织架构、人员安排、项目进场、计划安排等。</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内容不存在瑕疵的得15分；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内容存在1处瑕疵得10分；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内容存在2处瑕疵得5分；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内容存在3处及以上瑕疵或未提供得0分。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2.投标人针对本项目提供质量安全保障方案，方案内容包括不限于提升样本质量、系统培训、售后服务方案、时间响应等。</w:t>
            </w:r>
            <w:bookmarkStart w:id="114" w:name="OLE_LINK76"/>
            <w:r>
              <w:rPr>
                <w:rFonts w:hint="eastAsia" w:ascii="微软雅黑" w:hAnsi="微软雅黑" w:eastAsia="微软雅黑" w:cs="微软雅黑"/>
                <w:sz w:val="21"/>
                <w:szCs w:val="21"/>
                <w:lang w:val="en-US" w:eastAsia="zh-CN"/>
              </w:rPr>
              <w:t>内容不存在瑕疵的得15分；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内容存在1处瑕疵得10分；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内容存在2处瑕疵得5分；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内容存在3处及以上瑕疵或未提供得0分。</w:t>
            </w:r>
          </w:p>
          <w:bookmarkEnd w:id="114"/>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注：本项内容中所称的“瑕疵”指方案内容缺项、内容表述不完整、缺少任意一项内容的针对性描述分析或缺少关键分析点，方案内容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提供方案，格式自拟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1" w:hRule="atLeast"/>
          <w:jc w:val="center"/>
        </w:trPr>
        <w:tc>
          <w:tcPr>
            <w:tcW w:w="675" w:type="dxa"/>
            <w:vMerge w:val="restart"/>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1070" w:type="dxa"/>
            <w:vMerge w:val="restart"/>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商务部分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eastAsia="zh-CN"/>
              </w:rPr>
              <w:t>）</w:t>
            </w: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15分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自2023年1月1日至响应文件递交截止时间，投标人开展过医院第三方员工满意度项目案例的，每个案例计1分，最多得 5 分；投标人开展过国家医管中心满意度项目案例的，每个案例计1分，最多得 5 分；共计10分。</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★加分项：在以往合作业绩中，投标人完成过医疗卫生机构国家满意度调查业绩，且测评满意度成绩取得合作单位当地省份内排名前十的业绩，一个客户加1分，最多加5分，没有不得分。</w:t>
            </w:r>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1.提供合同业绩复印件加盖投标人公章。</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2.同一个服务单位（业主单位）业绩只计分一次。</w:t>
            </w:r>
          </w:p>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3.满意度成绩排名需提供业绩复印件和成绩排名截图及相关证明。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675"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1070"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投标人能够为本项目匹配的团队中应提供大数据分析师（高级）1名，中级统计师1名，全国市场调查与分析专业技能证书的工作人员1名，每一名证书2分，共计6分。</w:t>
            </w:r>
            <w:bookmarkStart w:id="176" w:name="_GoBack"/>
            <w:bookmarkEnd w:id="176"/>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须提供人员名单及连续3个月（2026年1月至3月）由投标人缴纳其社保证明材料的复印件，代缴社保证明材料不予认可。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75"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1070"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w:t>
            </w:r>
            <w:r>
              <w:rPr>
                <w:rFonts w:hint="eastAsia" w:ascii="微软雅黑" w:hAnsi="微软雅黑" w:eastAsia="微软雅黑" w:cs="微软雅黑"/>
                <w:sz w:val="21"/>
                <w:szCs w:val="21"/>
              </w:rPr>
              <w:t>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投标人有帮助医院开展持续改进服务指导能力，同时能提供信息化的质量工具（PDCA、FOCUS-PDCA）等软件著作权证书的得3分，没有不得分。</w:t>
            </w:r>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提供服务合同复印件</w:t>
            </w:r>
            <w:r>
              <w:rPr>
                <w:rFonts w:hint="eastAsia" w:ascii="微软雅黑" w:hAnsi="微软雅黑" w:eastAsia="微软雅黑" w:cs="微软雅黑"/>
                <w:sz w:val="21"/>
                <w:szCs w:val="21"/>
              </w:rPr>
              <w:t>加盖</w:t>
            </w:r>
            <w:r>
              <w:rPr>
                <w:rFonts w:hint="eastAsia" w:ascii="微软雅黑" w:hAnsi="微软雅黑" w:eastAsia="微软雅黑" w:cs="微软雅黑"/>
                <w:sz w:val="21"/>
                <w:szCs w:val="21"/>
                <w:lang w:eastAsia="zh-CN"/>
              </w:rPr>
              <w:t>投标人</w:t>
            </w:r>
            <w:r>
              <w:rPr>
                <w:rFonts w:hint="eastAsia" w:ascii="微软雅黑" w:hAnsi="微软雅黑" w:eastAsia="微软雅黑" w:cs="微软雅黑"/>
                <w:sz w:val="21"/>
                <w:szCs w:val="21"/>
              </w:rPr>
              <w:t>公章</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提供软件著作权证书</w:t>
            </w:r>
            <w:r>
              <w:rPr>
                <w:rFonts w:hint="eastAsia" w:ascii="微软雅黑" w:hAnsi="微软雅黑" w:eastAsia="微软雅黑" w:cs="微软雅黑"/>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75"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1070" w:type="dxa"/>
            <w:vMerge w:val="continue"/>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p>
        </w:tc>
        <w:tc>
          <w:tcPr>
            <w:tcW w:w="825"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6</w:t>
            </w:r>
            <w:r>
              <w:rPr>
                <w:rFonts w:hint="eastAsia" w:ascii="微软雅黑" w:hAnsi="微软雅黑" w:eastAsia="微软雅黑" w:cs="微软雅黑"/>
                <w:sz w:val="21"/>
                <w:szCs w:val="21"/>
              </w:rPr>
              <w:t>分</w:t>
            </w:r>
          </w:p>
        </w:tc>
        <w:tc>
          <w:tcPr>
            <w:tcW w:w="5009"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具有</w:t>
            </w:r>
            <w:r>
              <w:rPr>
                <w:rFonts w:hint="eastAsia" w:ascii="微软雅黑" w:hAnsi="微软雅黑" w:eastAsia="微软雅黑" w:cs="微软雅黑"/>
                <w:sz w:val="21"/>
                <w:szCs w:val="21"/>
                <w:lang w:val="en-US" w:eastAsia="zh-CN"/>
              </w:rPr>
              <w:t>在</w:t>
            </w:r>
            <w:r>
              <w:rPr>
                <w:rFonts w:hint="eastAsia" w:ascii="微软雅黑" w:hAnsi="微软雅黑" w:eastAsia="微软雅黑" w:cs="微软雅黑"/>
                <w:color w:val="auto"/>
                <w:kern w:val="0"/>
                <w:sz w:val="21"/>
                <w:szCs w:val="21"/>
                <w:highlight w:val="none"/>
                <w:lang w:val="en-US" w:eastAsia="zh-CN" w:bidi="ar-SA"/>
              </w:rPr>
              <w:t>国测项目上有足够的执行经验和培训指导能力</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能提供</w:t>
            </w:r>
            <w:r>
              <w:rPr>
                <w:rFonts w:hint="eastAsia" w:ascii="微软雅黑" w:hAnsi="微软雅黑" w:eastAsia="微软雅黑" w:cs="微软雅黑"/>
                <w:sz w:val="21"/>
                <w:szCs w:val="21"/>
                <w:lang w:val="en-US" w:eastAsia="zh-CN"/>
              </w:rPr>
              <w:t>对医院开展三级公立医院绩效考核培训指导的现场培训资料的，每提供一家2分，最多6分</w:t>
            </w:r>
            <w:r>
              <w:rPr>
                <w:rFonts w:hint="eastAsia" w:ascii="微软雅黑" w:hAnsi="微软雅黑" w:eastAsia="微软雅黑" w:cs="微软雅黑"/>
                <w:sz w:val="21"/>
                <w:szCs w:val="21"/>
              </w:rPr>
              <w:t>，没有不得分。</w:t>
            </w:r>
          </w:p>
        </w:tc>
        <w:tc>
          <w:tcPr>
            <w:tcW w:w="1808" w:type="dxa"/>
            <w:noWrap w:val="0"/>
            <w:vAlign w:val="center"/>
          </w:tcPr>
          <w:p>
            <w:pPr>
              <w:pStyle w:val="2"/>
              <w:keepNext w:val="0"/>
              <w:keepLines w:val="0"/>
              <w:pageBreakBefore w:val="0"/>
              <w:widowControl w:val="0"/>
              <w:suppressLineNumbers w:val="0"/>
              <w:tabs>
                <w:tab w:val="left" w:pos="562"/>
                <w:tab w:val="left" w:pos="3372"/>
                <w:tab w:val="left" w:pos="3653"/>
              </w:tabs>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通过论文发表证明材料。</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99"/>
      <w:bookmarkEnd w:id="100"/>
      <w:bookmarkEnd w:id="101"/>
      <w:bookmarkEnd w:id="112"/>
      <w:bookmarkEnd w:id="11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5" w:name="_Toc76462336"/>
      <w:bookmarkStart w:id="116" w:name="_Toc10687"/>
      <w:bookmarkStart w:id="117" w:name="_Toc106030891"/>
      <w:bookmarkStart w:id="118" w:name="_Toc15885"/>
      <w:bookmarkStart w:id="119"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2"/>
      <w:bookmarkEnd w:id="103"/>
      <w:bookmarkEnd w:id="115"/>
      <w:bookmarkEnd w:id="116"/>
      <w:bookmarkEnd w:id="117"/>
      <w:r>
        <w:rPr>
          <w:rFonts w:hint="eastAsia" w:ascii="微软雅黑" w:hAnsi="微软雅黑" w:eastAsia="微软雅黑" w:cs="微软雅黑"/>
          <w:sz w:val="24"/>
          <w:lang w:val="en-US" w:eastAsia="zh-CN"/>
        </w:rPr>
        <w:t>废标条款</w:t>
      </w:r>
      <w:bookmarkEnd w:id="118"/>
      <w:bookmarkEnd w:id="11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20" w:name="_Toc106030892"/>
      <w:bookmarkStart w:id="121" w:name="_Toc19388"/>
      <w:bookmarkStart w:id="122" w:name="_Toc76462337"/>
      <w:bookmarkStart w:id="123" w:name="_Toc102227313"/>
      <w:bookmarkStart w:id="124" w:name="_Toc29948"/>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0"/>
      <w:bookmarkEnd w:id="121"/>
      <w:bookmarkEnd w:id="122"/>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342913389"/>
      <w:bookmarkStart w:id="126" w:name="_Toc32169"/>
      <w:bookmarkStart w:id="127" w:name="_Toc76462338"/>
      <w:bookmarkStart w:id="128" w:name="_Toc106030893"/>
      <w:bookmarkStart w:id="129" w:name="_Toc267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5"/>
      <w:bookmarkEnd w:id="126"/>
      <w:bookmarkEnd w:id="127"/>
      <w:bookmarkEnd w:id="128"/>
      <w:bookmarkEnd w:id="12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42913391"/>
      <w:bookmarkStart w:id="131" w:name="_Toc106030894"/>
      <w:bookmarkStart w:id="132" w:name="_Toc76462339"/>
      <w:bookmarkStart w:id="133" w:name="_Toc29479"/>
      <w:bookmarkStart w:id="134" w:name="_Toc15712"/>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0"/>
      <w:bookmarkEnd w:id="131"/>
      <w:bookmarkEnd w:id="132"/>
      <w:bookmarkEnd w:id="133"/>
      <w:bookmarkEnd w:id="13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5" w:name="_Toc318159349"/>
      <w:bookmarkStart w:id="136" w:name="_Toc318166429"/>
      <w:bookmarkStart w:id="137" w:name="_Toc318159160"/>
      <w:bookmarkStart w:id="138" w:name="_Toc318159780"/>
    </w:p>
    <w:bookmarkEnd w:id="135"/>
    <w:bookmarkEnd w:id="136"/>
    <w:bookmarkEnd w:id="137"/>
    <w:bookmarkEnd w:id="13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23630"/>
      <w:bookmarkStart w:id="140" w:name="_Toc102227318"/>
      <w:bookmarkStart w:id="141" w:name="_Toc76462340"/>
      <w:bookmarkStart w:id="142" w:name="_Toc106030895"/>
      <w:bookmarkStart w:id="143" w:name="_Toc179714297"/>
      <w:bookmarkStart w:id="144" w:name="_Toc26007"/>
      <w:bookmarkStart w:id="145" w:name="_Toc342913392"/>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9"/>
      <w:bookmarkEnd w:id="140"/>
      <w:bookmarkEnd w:id="141"/>
      <w:bookmarkEnd w:id="142"/>
      <w:bookmarkEnd w:id="143"/>
      <w:bookmarkEnd w:id="144"/>
      <w:bookmarkEnd w:id="14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6435"/>
      <w:bookmarkStart w:id="147" w:name="_Toc106030896"/>
      <w:bookmarkStart w:id="148" w:name="_Toc76462341"/>
      <w:bookmarkStart w:id="149" w:name="_Toc16798"/>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6"/>
      <w:bookmarkEnd w:id="147"/>
      <w:bookmarkEnd w:id="148"/>
      <w:bookmarkEnd w:id="149"/>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30288"/>
      <w:bookmarkStart w:id="151" w:name="_Toc21532"/>
      <w:bookmarkStart w:id="152" w:name="_Toc102227321"/>
      <w:bookmarkStart w:id="153" w:name="_Toc342913395"/>
      <w:bookmarkStart w:id="154" w:name="_Toc106030897"/>
      <w:bookmarkStart w:id="155" w:name="_Toc76462342"/>
      <w:r>
        <w:rPr>
          <w:rFonts w:hint="eastAsia" w:ascii="微软雅黑" w:hAnsi="微软雅黑" w:eastAsia="微软雅黑" w:cs="微软雅黑"/>
          <w:sz w:val="24"/>
        </w:rPr>
        <w:t>五、成交通知</w:t>
      </w:r>
      <w:bookmarkEnd w:id="150"/>
      <w:bookmarkEnd w:id="151"/>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6030898"/>
      <w:bookmarkStart w:id="157" w:name="_Toc21448"/>
      <w:bookmarkStart w:id="158" w:name="_Toc5511"/>
      <w:bookmarkStart w:id="159"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6"/>
      <w:bookmarkEnd w:id="157"/>
      <w:bookmarkEnd w:id="158"/>
      <w:bookmarkEnd w:id="1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0" w:name="_Toc106030899"/>
      <w:bookmarkStart w:id="161" w:name="_Toc76462344"/>
      <w:bookmarkStart w:id="162" w:name="_Toc2833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3"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0"/>
      <w:bookmarkEnd w:id="161"/>
      <w:bookmarkEnd w:id="162"/>
      <w:bookmarkStart w:id="164" w:name="_Toc102227322"/>
      <w:bookmarkStart w:id="165" w:name="_Toc76462346"/>
      <w:bookmarkStart w:id="166" w:name="_Toc3372"/>
      <w:bookmarkStart w:id="167" w:name="_Toc106030901"/>
      <w:bookmarkStart w:id="168" w:name="_Toc342913396"/>
      <w:bookmarkStart w:id="169" w:name="_Toc11641055"/>
      <w:bookmarkStart w:id="170" w:name="_Toc12789059"/>
      <w:r>
        <w:rPr>
          <w:rFonts w:hint="eastAsia" w:ascii="微软雅黑" w:hAnsi="微软雅黑" w:eastAsia="微软雅黑" w:cs="微软雅黑"/>
          <w:color w:val="auto"/>
          <w:sz w:val="24"/>
        </w:rPr>
        <w:t>签订</w:t>
      </w:r>
      <w:bookmarkEnd w:id="164"/>
      <w:r>
        <w:rPr>
          <w:rFonts w:hint="eastAsia" w:ascii="微软雅黑" w:hAnsi="微软雅黑" w:eastAsia="微软雅黑" w:cs="微软雅黑"/>
          <w:color w:val="auto"/>
          <w:sz w:val="24"/>
        </w:rPr>
        <w:t>合同</w:t>
      </w:r>
      <w:bookmarkEnd w:id="163"/>
      <w:bookmarkEnd w:id="165"/>
      <w:bookmarkEnd w:id="166"/>
      <w:bookmarkEnd w:id="167"/>
      <w:bookmarkEnd w:id="168"/>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9"/>
      <w:bookmarkEnd w:id="170"/>
    </w:p>
    <w:p>
      <w:pPr>
        <w:pStyle w:val="4"/>
        <w:spacing w:before="200" w:after="200" w:line="240" w:lineRule="auto"/>
        <w:jc w:val="center"/>
        <w:rPr>
          <w:rFonts w:hint="eastAsia" w:ascii="微软雅黑" w:hAnsi="微软雅黑" w:eastAsia="微软雅黑" w:cs="微软雅黑"/>
          <w:b/>
          <w:sz w:val="44"/>
          <w:szCs w:val="20"/>
        </w:rPr>
      </w:pPr>
      <w:bookmarkStart w:id="171" w:name="_Hlt41879464"/>
      <w:bookmarkEnd w:id="171"/>
      <w:bookmarkStart w:id="172" w:name="_Toc76462349"/>
      <w:bookmarkStart w:id="173" w:name="_Toc13524"/>
      <w:bookmarkStart w:id="174" w:name="_Toc106030905"/>
      <w:bookmarkStart w:id="175" w:name="_Toc27984"/>
      <w:r>
        <w:rPr>
          <w:rFonts w:hint="eastAsia" w:ascii="微软雅黑" w:hAnsi="微软雅黑" w:eastAsia="微软雅黑" w:cs="微软雅黑"/>
          <w:b/>
          <w:sz w:val="44"/>
          <w:szCs w:val="20"/>
        </w:rPr>
        <w:t>第六篇  响应文件编制要求</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CA6D9F"/>
    <w:multiLevelType w:val="singleLevel"/>
    <w:tmpl w:val="EECA6D9F"/>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61218CE"/>
    <w:rsid w:val="06FE671E"/>
    <w:rsid w:val="079B568B"/>
    <w:rsid w:val="07A30BF9"/>
    <w:rsid w:val="07F103E0"/>
    <w:rsid w:val="08183809"/>
    <w:rsid w:val="092E6FC0"/>
    <w:rsid w:val="099E0306"/>
    <w:rsid w:val="09A746B3"/>
    <w:rsid w:val="0A823A37"/>
    <w:rsid w:val="0B2471DE"/>
    <w:rsid w:val="0B4077B6"/>
    <w:rsid w:val="0BB87E47"/>
    <w:rsid w:val="0BC54681"/>
    <w:rsid w:val="0BE364E6"/>
    <w:rsid w:val="0CB4432A"/>
    <w:rsid w:val="0D1F249B"/>
    <w:rsid w:val="0D6266C4"/>
    <w:rsid w:val="0DF26CD2"/>
    <w:rsid w:val="0E691BE1"/>
    <w:rsid w:val="0E727B5D"/>
    <w:rsid w:val="104363AE"/>
    <w:rsid w:val="11C02D44"/>
    <w:rsid w:val="147A5E14"/>
    <w:rsid w:val="15935DB5"/>
    <w:rsid w:val="15BB3449"/>
    <w:rsid w:val="16024CD6"/>
    <w:rsid w:val="17351C20"/>
    <w:rsid w:val="178B1D79"/>
    <w:rsid w:val="17A1211B"/>
    <w:rsid w:val="18247EA8"/>
    <w:rsid w:val="18ED7A84"/>
    <w:rsid w:val="19255AF5"/>
    <w:rsid w:val="193B151F"/>
    <w:rsid w:val="19425287"/>
    <w:rsid w:val="1A7E6296"/>
    <w:rsid w:val="1AAE78A1"/>
    <w:rsid w:val="1AC5734F"/>
    <w:rsid w:val="1C5F6A76"/>
    <w:rsid w:val="1C8D0319"/>
    <w:rsid w:val="1CC31343"/>
    <w:rsid w:val="1F0D01CA"/>
    <w:rsid w:val="1F9008B2"/>
    <w:rsid w:val="20055776"/>
    <w:rsid w:val="21864056"/>
    <w:rsid w:val="22655A2F"/>
    <w:rsid w:val="23C71C0F"/>
    <w:rsid w:val="2486441F"/>
    <w:rsid w:val="24E61AAB"/>
    <w:rsid w:val="254C6FC4"/>
    <w:rsid w:val="25E7798B"/>
    <w:rsid w:val="265B1B40"/>
    <w:rsid w:val="2AA01F44"/>
    <w:rsid w:val="2CD7370E"/>
    <w:rsid w:val="2D5141FA"/>
    <w:rsid w:val="2DDC15F8"/>
    <w:rsid w:val="2E2D3EDF"/>
    <w:rsid w:val="2F8E2B89"/>
    <w:rsid w:val="300C58E0"/>
    <w:rsid w:val="30895BF5"/>
    <w:rsid w:val="32C66882"/>
    <w:rsid w:val="332D1E43"/>
    <w:rsid w:val="33564527"/>
    <w:rsid w:val="35397720"/>
    <w:rsid w:val="378E072C"/>
    <w:rsid w:val="37A85EFC"/>
    <w:rsid w:val="38141CAD"/>
    <w:rsid w:val="38FE6730"/>
    <w:rsid w:val="39AA75C6"/>
    <w:rsid w:val="39C353F8"/>
    <w:rsid w:val="3ACE5D4F"/>
    <w:rsid w:val="3C55524B"/>
    <w:rsid w:val="3CD2331B"/>
    <w:rsid w:val="3DF6488D"/>
    <w:rsid w:val="3E15285A"/>
    <w:rsid w:val="3EEC6CD3"/>
    <w:rsid w:val="3F1C71CA"/>
    <w:rsid w:val="3FEE02A2"/>
    <w:rsid w:val="3FFA0903"/>
    <w:rsid w:val="4000052B"/>
    <w:rsid w:val="406334F2"/>
    <w:rsid w:val="40787A26"/>
    <w:rsid w:val="409F14A1"/>
    <w:rsid w:val="40D95636"/>
    <w:rsid w:val="415F6EA3"/>
    <w:rsid w:val="41B20BF4"/>
    <w:rsid w:val="42395B6E"/>
    <w:rsid w:val="423A7D1B"/>
    <w:rsid w:val="4371698F"/>
    <w:rsid w:val="44D57484"/>
    <w:rsid w:val="45236DFE"/>
    <w:rsid w:val="452C7897"/>
    <w:rsid w:val="45AB16BA"/>
    <w:rsid w:val="467C59FB"/>
    <w:rsid w:val="479F10AA"/>
    <w:rsid w:val="48794403"/>
    <w:rsid w:val="487A6880"/>
    <w:rsid w:val="494C6B8D"/>
    <w:rsid w:val="495312E8"/>
    <w:rsid w:val="49595D88"/>
    <w:rsid w:val="497B7CB3"/>
    <w:rsid w:val="4AEC1DD8"/>
    <w:rsid w:val="4B2D12E0"/>
    <w:rsid w:val="4BEB6B31"/>
    <w:rsid w:val="4D4E307F"/>
    <w:rsid w:val="4DD36371"/>
    <w:rsid w:val="4E1E28EC"/>
    <w:rsid w:val="4E7E3BEB"/>
    <w:rsid w:val="4F070047"/>
    <w:rsid w:val="4F3C244F"/>
    <w:rsid w:val="4F5A128A"/>
    <w:rsid w:val="4FF705C0"/>
    <w:rsid w:val="5115115D"/>
    <w:rsid w:val="521E4A24"/>
    <w:rsid w:val="52D92ACB"/>
    <w:rsid w:val="52D93D20"/>
    <w:rsid w:val="5331413B"/>
    <w:rsid w:val="53B4776F"/>
    <w:rsid w:val="53DF1E3A"/>
    <w:rsid w:val="55051FF5"/>
    <w:rsid w:val="558E730F"/>
    <w:rsid w:val="55D12ED5"/>
    <w:rsid w:val="569B202A"/>
    <w:rsid w:val="57857077"/>
    <w:rsid w:val="57EF5962"/>
    <w:rsid w:val="5875792F"/>
    <w:rsid w:val="591206FA"/>
    <w:rsid w:val="59592E2D"/>
    <w:rsid w:val="5AA16971"/>
    <w:rsid w:val="5B9C3E91"/>
    <w:rsid w:val="5BF33B96"/>
    <w:rsid w:val="5CA67F0E"/>
    <w:rsid w:val="5D8B7FF5"/>
    <w:rsid w:val="5DB83C1E"/>
    <w:rsid w:val="60405A91"/>
    <w:rsid w:val="607A6D16"/>
    <w:rsid w:val="60C15D40"/>
    <w:rsid w:val="60E05AE3"/>
    <w:rsid w:val="61625D90"/>
    <w:rsid w:val="65C328F3"/>
    <w:rsid w:val="66246E50"/>
    <w:rsid w:val="665F56FC"/>
    <w:rsid w:val="68BD663A"/>
    <w:rsid w:val="692F74C0"/>
    <w:rsid w:val="69482C1A"/>
    <w:rsid w:val="696405DD"/>
    <w:rsid w:val="6AC17039"/>
    <w:rsid w:val="6B2E5407"/>
    <w:rsid w:val="6C6752B2"/>
    <w:rsid w:val="6E0E5A3E"/>
    <w:rsid w:val="6F4859CD"/>
    <w:rsid w:val="6FE969BF"/>
    <w:rsid w:val="70003319"/>
    <w:rsid w:val="701245F9"/>
    <w:rsid w:val="71175C34"/>
    <w:rsid w:val="744B2CC4"/>
    <w:rsid w:val="747D277F"/>
    <w:rsid w:val="74D70DF7"/>
    <w:rsid w:val="750950F5"/>
    <w:rsid w:val="750D16CF"/>
    <w:rsid w:val="76D6519D"/>
    <w:rsid w:val="771F5130"/>
    <w:rsid w:val="789F3DA6"/>
    <w:rsid w:val="78A52377"/>
    <w:rsid w:val="78EF15F1"/>
    <w:rsid w:val="79082185"/>
    <w:rsid w:val="7A6F77AB"/>
    <w:rsid w:val="7AAC4823"/>
    <w:rsid w:val="7B5B7497"/>
    <w:rsid w:val="7BD6204B"/>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5"/>
    <w:qFormat/>
    <w:uiPriority w:val="0"/>
  </w:style>
  <w:style w:type="paragraph" w:styleId="33">
    <w:name w:val="Body Text Indent 2"/>
    <w:basedOn w:val="1"/>
    <w:link w:val="76"/>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7"/>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8"/>
    <w:qFormat/>
    <w:uiPriority w:val="0"/>
    <w:pPr>
      <w:adjustRightInd/>
      <w:spacing w:line="240" w:lineRule="auto"/>
      <w:textAlignment w:val="auto"/>
    </w:pPr>
  </w:style>
  <w:style w:type="paragraph" w:styleId="55">
    <w:name w:val="Body Text First Indent"/>
    <w:basedOn w:val="2"/>
    <w:next w:val="56"/>
    <w:qFormat/>
    <w:uiPriority w:val="0"/>
    <w:pPr>
      <w:spacing w:line="360" w:lineRule="auto"/>
      <w:ind w:firstLine="420"/>
    </w:pPr>
    <w:rPr>
      <w:rFonts w:ascii="宋体" w:hAnsi="宋体"/>
      <w:sz w:val="24"/>
    </w:rPr>
  </w:style>
  <w:style w:type="paragraph" w:styleId="56">
    <w:name w:val="Body Text First Indent 2"/>
    <w:basedOn w:val="23"/>
    <w:next w:val="1"/>
    <w:link w:val="79"/>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引用1"/>
    <w:basedOn w:val="1"/>
    <w:next w:val="1"/>
    <w:qFormat/>
    <w:uiPriority w:val="99"/>
    <w:rPr>
      <w:rFonts w:ascii="Calibri" w:hAnsi="Calibri"/>
      <w:i/>
      <w:iCs/>
      <w:color w:val="000000"/>
      <w:kern w:val="0"/>
      <w:sz w:val="22"/>
      <w:szCs w:val="20"/>
    </w:rPr>
  </w:style>
  <w:style w:type="paragraph" w:customStyle="1" w:styleId="68">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4"/>
    <w:qFormat/>
    <w:uiPriority w:val="0"/>
    <w:rPr>
      <w:rFonts w:ascii="Arial" w:hAnsi="Arial" w:eastAsia="黑体"/>
      <w:b/>
      <w:kern w:val="2"/>
      <w:sz w:val="32"/>
    </w:rPr>
  </w:style>
  <w:style w:type="character" w:customStyle="1" w:styleId="72">
    <w:name w:val="标题 3 Char"/>
    <w:link w:val="5"/>
    <w:qFormat/>
    <w:uiPriority w:val="0"/>
    <w:rPr>
      <w:rFonts w:eastAsia="宋体"/>
      <w:b/>
      <w:kern w:val="2"/>
      <w:sz w:val="32"/>
      <w:lang w:val="en-US" w:eastAsia="zh-CN"/>
    </w:rPr>
  </w:style>
  <w:style w:type="character" w:customStyle="1" w:styleId="73">
    <w:name w:val="批注文字 Char"/>
    <w:link w:val="20"/>
    <w:qFormat/>
    <w:uiPriority w:val="0"/>
    <w:rPr>
      <w:sz w:val="24"/>
    </w:rPr>
  </w:style>
  <w:style w:type="character" w:customStyle="1" w:styleId="74">
    <w:name w:val="正文文本缩进 Char"/>
    <w:link w:val="23"/>
    <w:qFormat/>
    <w:uiPriority w:val="0"/>
    <w:rPr>
      <w:kern w:val="2"/>
      <w:sz w:val="44"/>
    </w:rPr>
  </w:style>
  <w:style w:type="character" w:customStyle="1" w:styleId="75">
    <w:name w:val="日期 Char"/>
    <w:link w:val="32"/>
    <w:qFormat/>
    <w:uiPriority w:val="0"/>
    <w:rPr>
      <w:kern w:val="2"/>
      <w:sz w:val="28"/>
    </w:rPr>
  </w:style>
  <w:style w:type="character" w:customStyle="1" w:styleId="76">
    <w:name w:val="正文文本缩进 2 Char"/>
    <w:link w:val="33"/>
    <w:qFormat/>
    <w:uiPriority w:val="0"/>
    <w:rPr>
      <w:kern w:val="2"/>
      <w:sz w:val="28"/>
    </w:rPr>
  </w:style>
  <w:style w:type="character" w:customStyle="1" w:styleId="77">
    <w:name w:val="脚注文本 Char"/>
    <w:link w:val="40"/>
    <w:qFormat/>
    <w:uiPriority w:val="0"/>
    <w:rPr>
      <w:kern w:val="2"/>
      <w:sz w:val="18"/>
    </w:rPr>
  </w:style>
  <w:style w:type="character" w:customStyle="1" w:styleId="78">
    <w:name w:val="批注主题 Char"/>
    <w:link w:val="54"/>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3"/>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0"/>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8"/>
    <w:qFormat/>
    <w:uiPriority w:val="0"/>
    <w:rPr>
      <w:rFonts w:ascii="宋体" w:hAnsi="Tahoma"/>
    </w:rPr>
  </w:style>
  <w:style w:type="paragraph" w:customStyle="1" w:styleId="14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3"/>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0"/>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0"/>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2026-04-14T08:29:10Z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C40F7D96F5B145D39670AB68768CDC58</vt:lpwstr>
  </property>
</Properties>
</file>