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公开比选</w:t>
      </w:r>
      <w:r>
        <w:rPr>
          <w:rFonts w:hint="eastAsia" w:ascii="方正黑体_GBK" w:hAnsi="宋体" w:eastAsia="方正黑体_GBK"/>
          <w:sz w:val="130"/>
          <w:szCs w:val="130"/>
        </w:rPr>
        <w:t>文件</w:t>
      </w:r>
    </w:p>
    <w:p>
      <w:pPr>
        <w:pStyle w:val="2"/>
        <w:jc w:val="center"/>
        <w:rPr>
          <w:rFonts w:hint="eastAsia" w:ascii="黑体" w:eastAsia="黑体"/>
          <w:sz w:val="32"/>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YHQ230136</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渝中院区2号楼原便民药房场地招租</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_Toc14205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_Toc14205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_Toc9769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_Toc9769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_Toc21367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_Toc21367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_Toc22155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_Toc1927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_Toc29783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_Toc29783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_Toc25415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_Toc25415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_Toc6217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第二篇  项目服务需求</w:t>
      </w:r>
      <w:bookmarkStart w:id="190" w:name="_GoBack"/>
      <w:bookmarkEnd w:id="190"/>
      <w:r>
        <w:rPr>
          <w:sz w:val="24"/>
          <w:szCs w:val="24"/>
        </w:rPr>
        <w:tab/>
      </w:r>
      <w:r>
        <w:rPr>
          <w:sz w:val="24"/>
          <w:szCs w:val="24"/>
        </w:rPr>
        <w:fldChar w:fldCharType="begin"/>
      </w:r>
      <w:r>
        <w:rPr>
          <w:sz w:val="24"/>
          <w:szCs w:val="24"/>
        </w:rPr>
        <w:instrText xml:space="preserve"> PAGEREF _Toc6217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_Toc19970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_Toc19970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_Toc24590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经营</w:t>
      </w:r>
      <w:r>
        <w:rPr>
          <w:rFonts w:hint="eastAsia" w:ascii="方正仿宋_GBK" w:hAnsi="宋体" w:eastAsia="方正仿宋_GBK"/>
          <w:sz w:val="24"/>
          <w:szCs w:val="24"/>
        </w:rPr>
        <w:t>范围</w:t>
      </w:r>
      <w:r>
        <w:rPr>
          <w:rFonts w:hint="eastAsia" w:ascii="方正仿宋_GBK" w:hAnsi="宋体" w:eastAsia="方正仿宋_GBK"/>
          <w:sz w:val="24"/>
          <w:szCs w:val="24"/>
          <w:lang w:val="en-US" w:eastAsia="zh-CN"/>
        </w:rPr>
        <w:t>及要求</w:t>
      </w:r>
      <w:r>
        <w:rPr>
          <w:sz w:val="24"/>
          <w:szCs w:val="24"/>
        </w:rPr>
        <w:tab/>
      </w:r>
      <w:r>
        <w:rPr>
          <w:sz w:val="24"/>
          <w:szCs w:val="24"/>
        </w:rPr>
        <w:fldChar w:fldCharType="begin"/>
      </w:r>
      <w:r>
        <w:rPr>
          <w:sz w:val="24"/>
          <w:szCs w:val="24"/>
        </w:rPr>
        <w:instrText xml:space="preserve"> PAGEREF _Toc24590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_Toc15349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_Toc15349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_Toc12047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_Toc12047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_Toc19071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_Toc19071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_Toc15971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_Toc15971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 评审标准</w:t>
      </w:r>
      <w:r>
        <w:rPr>
          <w:sz w:val="24"/>
          <w:szCs w:val="24"/>
        </w:rPr>
        <w:tab/>
      </w:r>
      <w:r>
        <w:rPr>
          <w:sz w:val="24"/>
          <w:szCs w:val="24"/>
        </w:rPr>
        <w:fldChar w:fldCharType="begin"/>
      </w:r>
      <w:r>
        <w:rPr>
          <w:sz w:val="24"/>
          <w:szCs w:val="24"/>
        </w:rPr>
        <w:instrText xml:space="preserve"> PAGEREF _Toc25289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_Toc15701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_Toc15701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_Toc16043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_Toc16043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_Toc3880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_Toc3880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_Toc18917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_Toc18917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_Toc22531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_Toc22531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_Toc27100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_Toc23078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_Toc23078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_Toc18554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_Toc18554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_Toc28118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_Toc28118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_Toc25321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_Toc25321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_Toc29095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_Toc29095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_Toc25403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_Toc25403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_Toc15878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_Toc15878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_Toc17471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_Toc17471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_Toc15928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_Toc15928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_Toc30994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_Toc30994 \h </w:instrText>
      </w:r>
      <w:r>
        <w:rPr>
          <w:sz w:val="24"/>
          <w:szCs w:val="24"/>
        </w:rPr>
        <w:fldChar w:fldCharType="separate"/>
      </w:r>
      <w:r>
        <w:rPr>
          <w:sz w:val="24"/>
          <w:szCs w:val="24"/>
        </w:rPr>
        <w:t>- 29 -</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5"/>
        <w:spacing w:before="200" w:after="200" w:line="240" w:lineRule="auto"/>
        <w:jc w:val="center"/>
        <w:rPr>
          <w:rFonts w:hint="eastAsia" w:ascii="方正仿宋_GBK" w:hAnsi="Times New Roman" w:eastAsia="方正仿宋_GBK" w:cs="Times New Roman"/>
          <w:b/>
          <w:sz w:val="44"/>
          <w:szCs w:val="20"/>
        </w:rPr>
      </w:pPr>
      <w:bookmarkStart w:id="0" w:name="_Toc106030870"/>
      <w:bookmarkStart w:id="1" w:name="_Toc24037"/>
      <w:bookmarkStart w:id="2" w:name="_Toc11641050"/>
      <w:bookmarkStart w:id="3" w:name="_Toc12789052"/>
      <w:bookmarkStart w:id="4" w:name="_Toc76462316"/>
      <w:bookmarkStart w:id="5" w:name="_Toc14205"/>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重庆医科大学附属儿童医院对渝中院区2号楼原便民药房场地项目进行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5"/>
        <w:adjustRightInd w:val="0"/>
        <w:snapToGrid w:val="0"/>
        <w:spacing w:before="0" w:after="0" w:line="400" w:lineRule="exact"/>
        <w:ind w:firstLine="480" w:firstLineChars="200"/>
        <w:rPr>
          <w:rFonts w:ascii="方正仿宋_GBK" w:hAnsi="宋体" w:eastAsia="方正仿宋_GBK"/>
          <w:sz w:val="24"/>
        </w:rPr>
      </w:pPr>
      <w:bookmarkStart w:id="6" w:name="_Toc106030871"/>
      <w:bookmarkStart w:id="7" w:name="_Toc317775175"/>
      <w:bookmarkStart w:id="8" w:name="_Toc76462317"/>
      <w:bookmarkStart w:id="9" w:name="_Toc313893526"/>
      <w:bookmarkStart w:id="10" w:name="_Toc3856"/>
      <w:bookmarkStart w:id="11" w:name="_Toc9769"/>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内容</w:t>
      </w:r>
      <w:bookmarkEnd w:id="6"/>
      <w:bookmarkEnd w:id="7"/>
      <w:bookmarkEnd w:id="8"/>
      <w:bookmarkEnd w:id="9"/>
      <w:bookmarkEnd w:id="10"/>
      <w:bookmarkEnd w:id="11"/>
    </w:p>
    <w:tbl>
      <w:tblPr>
        <w:tblStyle w:val="59"/>
        <w:tblW w:w="4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3565"/>
        <w:gridCol w:w="1290"/>
        <w:gridCol w:w="1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80"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9755"/>
            <w:bookmarkStart w:id="15" w:name="_Toc373860293"/>
            <w:bookmarkStart w:id="16" w:name="_Toc317775178"/>
            <w:r>
              <w:rPr>
                <w:rFonts w:hint="eastAsia" w:ascii="方正仿宋_GBK" w:hAnsi="宋体" w:eastAsia="方正仿宋_GBK" w:cs="宋体"/>
                <w:b/>
                <w:bCs/>
                <w:kern w:val="0"/>
                <w:sz w:val="21"/>
                <w:szCs w:val="24"/>
              </w:rPr>
              <w:t>项目编号</w:t>
            </w:r>
          </w:p>
        </w:tc>
        <w:tc>
          <w:tcPr>
            <w:tcW w:w="2167"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84" w:type="pct"/>
            <w:tcBorders>
              <w:top w:val="single" w:color="auto" w:sz="4" w:space="0"/>
              <w:left w:val="single" w:color="auto" w:sz="4" w:space="0"/>
              <w:right w:val="single" w:color="auto" w:sz="4" w:space="0"/>
            </w:tcBorders>
            <w:noWrap w:val="0"/>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67" w:type="pct"/>
            <w:tcBorders>
              <w:top w:val="single" w:color="auto" w:sz="4" w:space="0"/>
              <w:left w:val="single" w:color="auto" w:sz="4" w:space="0"/>
              <w:right w:val="single" w:color="auto" w:sz="4" w:space="0"/>
            </w:tcBorders>
            <w:noWrap w:val="0"/>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YHQ230138</w:t>
            </w:r>
          </w:p>
        </w:tc>
        <w:tc>
          <w:tcPr>
            <w:tcW w:w="216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渝中院区2号楼原便民药房场地招租</w:t>
            </w:r>
          </w:p>
        </w:tc>
        <w:tc>
          <w:tcPr>
            <w:tcW w:w="7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10000</w:t>
            </w:r>
          </w:p>
        </w:tc>
        <w:tc>
          <w:tcPr>
            <w:tcW w:w="116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7" w:name="_Toc21367"/>
      <w:r>
        <w:rPr>
          <w:rFonts w:hint="eastAsia" w:ascii="方正仿宋_GBK" w:hAnsi="宋体" w:eastAsia="方正仿宋_GBK"/>
          <w:sz w:val="24"/>
        </w:rPr>
        <w:t>二、</w:t>
      </w:r>
      <w:bookmarkEnd w:id="12"/>
      <w:bookmarkEnd w:id="13"/>
      <w:bookmarkEnd w:id="14"/>
      <w:bookmarkStart w:id="18" w:name="_Toc4480"/>
      <w:bookmarkStart w:id="19" w:name="_Toc106030873"/>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color w:val="FF0000"/>
          <w:sz w:val="24"/>
          <w:szCs w:val="24"/>
        </w:rPr>
      </w:pPr>
      <w:bookmarkStart w:id="21" w:name="_Toc76462320"/>
      <w:bookmarkStart w:id="22" w:name="_Toc106030874"/>
      <w:bookmarkStart w:id="23" w:name="_Toc27954"/>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投标人需具有拟经营项目的相应资质。食品相关项目经营需有食品经营许可证（报名时需提供复印件加盖公司鲜章）。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本</w:t>
      </w:r>
      <w:r>
        <w:rPr>
          <w:rFonts w:hint="eastAsia" w:ascii="方正仿宋_GBK" w:hAnsi="宋体" w:eastAsia="方正仿宋_GBK"/>
          <w:sz w:val="24"/>
          <w:szCs w:val="24"/>
          <w:lang w:val="en-US" w:eastAsia="zh-CN"/>
        </w:rPr>
        <w:t>项目</w:t>
      </w:r>
      <w:r>
        <w:rPr>
          <w:rFonts w:hint="eastAsia" w:ascii="方正仿宋_GBK" w:hAnsi="宋体" w:eastAsia="方正仿宋_GBK"/>
          <w:sz w:val="24"/>
          <w:szCs w:val="24"/>
        </w:rPr>
        <w:t>不接受联合体投标</w:t>
      </w:r>
      <w:r>
        <w:rPr>
          <w:rFonts w:hint="eastAsia" w:ascii="方正仿宋_GBK" w:hAnsi="宋体" w:eastAsia="方正仿宋_GBK"/>
          <w:sz w:val="24"/>
          <w:szCs w:val="24"/>
          <w:lang w:eastAsia="zh-CN"/>
        </w:rPr>
        <w:t>。</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24" w:name="_Toc22155"/>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5"/>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6178"/>
      <w:bookmarkStart w:id="27" w:name="_Toc12841"/>
      <w:bookmarkStart w:id="28" w:name="_Toc65660334"/>
      <w:bookmarkStart w:id="29" w:name="_Toc11956"/>
      <w:bookmarkStart w:id="30" w:name="_Toc521053053"/>
      <w:bookmarkStart w:id="31" w:name="_Toc106034625"/>
      <w:bookmarkStart w:id="32" w:name="_Toc1927"/>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5"/>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5"/>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的保证金，将在与我院完成签订本项目合同并提交招标办公室（将合同扫描文件发送至zbb63632469@qq.com）之后45个日历日内，无息退还至项目报名时所填写的投标单位对公账户。</w:t>
      </w:r>
    </w:p>
    <w:p>
      <w:pPr>
        <w:pStyle w:val="5"/>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2945"/>
      <w:bookmarkStart w:id="35" w:name="_Toc521053054"/>
      <w:bookmarkStart w:id="36" w:name="_Toc4355"/>
      <w:bookmarkStart w:id="37" w:name="_Toc106034626"/>
      <w:bookmarkStart w:id="38" w:name="_Toc65660335"/>
      <w:bookmarkStart w:id="39" w:name="_Toc1546"/>
      <w:bookmarkStart w:id="40" w:name="_Toc29783"/>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16269"/>
      <w:bookmarkStart w:id="43" w:name="_Toc521053055"/>
      <w:bookmarkStart w:id="44" w:name="_Toc6563"/>
      <w:bookmarkStart w:id="45" w:name="_Toc106034627"/>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文件的疑问。</w:t>
      </w:r>
    </w:p>
    <w:p>
      <w:pPr>
        <w:pStyle w:val="5"/>
        <w:adjustRightInd w:val="0"/>
        <w:snapToGrid w:val="0"/>
        <w:spacing w:before="0" w:after="0" w:line="400" w:lineRule="exact"/>
        <w:ind w:firstLine="480" w:firstLineChars="200"/>
        <w:rPr>
          <w:rFonts w:ascii="方正仿宋_GBK" w:hAnsi="宋体" w:eastAsia="方正仿宋_GBK"/>
          <w:sz w:val="24"/>
        </w:rPr>
      </w:pPr>
      <w:bookmarkStart w:id="47" w:name="_Toc24901"/>
      <w:bookmarkStart w:id="48" w:name="_Toc65660337"/>
      <w:bookmarkStart w:id="49" w:name="_Toc521053056"/>
      <w:bookmarkStart w:id="50" w:name="_Toc1733"/>
      <w:bookmarkStart w:id="51" w:name="_Toc106034628"/>
      <w:bookmarkStart w:id="52" w:name="_Toc10415"/>
      <w:bookmarkStart w:id="53" w:name="_Toc525047164"/>
      <w:bookmarkStart w:id="54" w:name="_Toc25415"/>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p>
      <w:pPr>
        <w:spacing w:line="400" w:lineRule="exact"/>
        <w:ind w:firstLine="480" w:firstLineChars="200"/>
        <w:rPr>
          <w:rFonts w:hint="eastAsia" w:ascii="方正仿宋_GBK" w:hAnsi="宋体" w:eastAsia="方正仿宋_GBK"/>
          <w:sz w:val="24"/>
          <w:szCs w:val="24"/>
        </w:rPr>
      </w:pPr>
    </w:p>
    <w:bookmarkEnd w:id="16"/>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pStyle w:val="5"/>
        <w:spacing w:before="200" w:after="200" w:line="240" w:lineRule="auto"/>
        <w:jc w:val="center"/>
        <w:rPr>
          <w:rFonts w:hint="eastAsia" w:ascii="方正仿宋_GBK" w:hAnsi="Times New Roman" w:eastAsia="方正仿宋_GBK" w:cs="Times New Roman"/>
          <w:b/>
          <w:sz w:val="44"/>
          <w:szCs w:val="20"/>
          <w:lang w:eastAsia="zh-CN"/>
        </w:rPr>
      </w:pPr>
      <w:bookmarkStart w:id="55" w:name="_Toc76462324"/>
      <w:bookmarkStart w:id="56" w:name="_Toc19819"/>
      <w:bookmarkStart w:id="57" w:name="_Toc106030878"/>
      <w:bookmarkStart w:id="58" w:name="_Toc6217"/>
      <w:r>
        <w:rPr>
          <w:rFonts w:hint="eastAsia" w:ascii="方正仿宋_GBK" w:hAnsi="Times New Roman" w:eastAsia="方正仿宋_GBK" w:cs="Times New Roman"/>
          <w:b/>
          <w:sz w:val="44"/>
          <w:szCs w:val="20"/>
        </w:rPr>
        <w:t>第二篇  项目服务需求</w:t>
      </w:r>
      <w:bookmarkEnd w:id="55"/>
      <w:bookmarkEnd w:id="56"/>
      <w:bookmarkEnd w:id="57"/>
      <w:r>
        <w:rPr>
          <w:rFonts w:hint="eastAsia" w:ascii="方正仿宋_GBK" w:hAnsi="Times New Roman" w:eastAsia="方正仿宋_GBK" w:cs="Times New Roman"/>
          <w:b/>
          <w:sz w:val="44"/>
          <w:szCs w:val="20"/>
          <w:lang w:eastAsia="zh-CN"/>
        </w:rPr>
        <w:t>（</w:t>
      </w:r>
      <w:r>
        <w:rPr>
          <w:rFonts w:hint="eastAsia" w:ascii="方正仿宋_GBK" w:hAnsi="Times New Roman" w:eastAsia="方正仿宋_GBK" w:cs="Times New Roman"/>
          <w:b/>
          <w:sz w:val="44"/>
          <w:szCs w:val="20"/>
          <w:lang w:val="en-US" w:eastAsia="zh-CN"/>
        </w:rPr>
        <w:t>服务</w:t>
      </w:r>
      <w:r>
        <w:rPr>
          <w:rFonts w:hint="eastAsia" w:ascii="方正仿宋_GBK" w:hAnsi="Times New Roman" w:eastAsia="方正仿宋_GBK" w:cs="Times New Roman"/>
          <w:b/>
          <w:sz w:val="44"/>
          <w:szCs w:val="20"/>
          <w:lang w:eastAsia="zh-CN"/>
        </w:rPr>
        <w:t>）</w:t>
      </w:r>
      <w:bookmarkEnd w:id="58"/>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59" w:name="_Toc76462325"/>
      <w:bookmarkStart w:id="60" w:name="_Toc18470"/>
      <w:bookmarkStart w:id="61" w:name="_Toc21068"/>
      <w:bookmarkStart w:id="62" w:name="_Toc106030879"/>
      <w:bookmarkStart w:id="63" w:name="_Toc19970"/>
      <w:bookmarkStart w:id="64" w:name="_Toc12789058"/>
      <w:r>
        <w:rPr>
          <w:rFonts w:hint="eastAsia" w:ascii="方正仿宋_GBK" w:hAnsi="宋体" w:eastAsia="方正仿宋_GBK"/>
          <w:sz w:val="24"/>
        </w:rPr>
        <w:t>一、项目基本概况介绍</w:t>
      </w:r>
      <w:bookmarkEnd w:id="59"/>
      <w:bookmarkEnd w:id="60"/>
      <w:bookmarkEnd w:id="61"/>
      <w:bookmarkEnd w:id="62"/>
      <w:bookmarkEnd w:id="63"/>
    </w:p>
    <w:tbl>
      <w:tblPr>
        <w:tblStyle w:val="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3"/>
        <w:gridCol w:w="2895"/>
        <w:gridCol w:w="2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213" w:type="pct"/>
            <w:noWrap w:val="0"/>
            <w:vAlign w:val="center"/>
          </w:tcPr>
          <w:p>
            <w:pPr>
              <w:spacing w:line="360" w:lineRule="auto"/>
              <w:jc w:val="center"/>
              <w:rPr>
                <w:rFonts w:ascii="方正仿宋_GBK" w:hAnsi="宋体" w:eastAsia="方正仿宋_GBK"/>
                <w:sz w:val="24"/>
                <w:szCs w:val="24"/>
              </w:rPr>
            </w:pPr>
            <w:r>
              <w:rPr>
                <w:rFonts w:hint="eastAsia" w:ascii="方正仿宋_GBK" w:hAnsi="宋体" w:eastAsia="方正仿宋_GBK"/>
                <w:sz w:val="24"/>
                <w:szCs w:val="24"/>
              </w:rPr>
              <w:t>项目名称</w:t>
            </w:r>
          </w:p>
        </w:tc>
        <w:tc>
          <w:tcPr>
            <w:tcW w:w="1503" w:type="pct"/>
            <w:noWrap w:val="0"/>
            <w:vAlign w:val="center"/>
          </w:tcPr>
          <w:p>
            <w:pPr>
              <w:spacing w:line="360" w:lineRule="auto"/>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1282" w:type="pct"/>
            <w:noWrap w:val="0"/>
            <w:vAlign w:val="center"/>
          </w:tcPr>
          <w:p>
            <w:pPr>
              <w:spacing w:line="360" w:lineRule="auto"/>
              <w:jc w:val="center"/>
              <w:rPr>
                <w:rFonts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13"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渝中院区2号楼原便民药房场地招租</w:t>
            </w:r>
          </w:p>
        </w:tc>
        <w:tc>
          <w:tcPr>
            <w:tcW w:w="1503"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3年</w:t>
            </w:r>
          </w:p>
        </w:tc>
        <w:tc>
          <w:tcPr>
            <w:tcW w:w="1282" w:type="pct"/>
            <w:noWrap w:val="0"/>
            <w:vAlign w:val="center"/>
          </w:tcPr>
          <w:p>
            <w:pPr>
              <w:spacing w:line="240" w:lineRule="auto"/>
              <w:jc w:val="center"/>
              <w:rPr>
                <w:rFonts w:ascii="方正仿宋_GBK" w:hAnsi="宋体" w:eastAsia="方正仿宋_GBK"/>
                <w:sz w:val="24"/>
                <w:szCs w:val="24"/>
              </w:rPr>
            </w:pPr>
          </w:p>
        </w:tc>
      </w:tr>
    </w:tbl>
    <w:p>
      <w:pPr>
        <w:pStyle w:val="5"/>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65" w:name="_Toc106030880"/>
      <w:bookmarkStart w:id="66" w:name="_Toc25495"/>
      <w:bookmarkStart w:id="67" w:name="_Toc12384"/>
      <w:bookmarkStart w:id="68" w:name="_Toc24590"/>
      <w:r>
        <w:rPr>
          <w:rFonts w:hint="eastAsia" w:ascii="方正仿宋_GBK" w:hAnsi="宋体" w:eastAsia="方正仿宋_GBK"/>
          <w:sz w:val="24"/>
        </w:rPr>
        <w:t>二、</w:t>
      </w:r>
      <w:r>
        <w:rPr>
          <w:rFonts w:hint="eastAsia" w:ascii="方正仿宋_GBK" w:hAnsi="宋体" w:eastAsia="方正仿宋_GBK"/>
          <w:sz w:val="24"/>
          <w:lang w:val="en-US" w:eastAsia="zh-CN"/>
        </w:rPr>
        <w:t>经营</w:t>
      </w:r>
      <w:r>
        <w:rPr>
          <w:rFonts w:hint="eastAsia" w:ascii="方正仿宋_GBK" w:hAnsi="宋体" w:eastAsia="方正仿宋_GBK"/>
          <w:sz w:val="24"/>
        </w:rPr>
        <w:t>范围</w:t>
      </w:r>
      <w:bookmarkEnd w:id="65"/>
      <w:bookmarkEnd w:id="66"/>
      <w:bookmarkEnd w:id="67"/>
      <w:r>
        <w:rPr>
          <w:rFonts w:hint="eastAsia" w:ascii="方正仿宋_GBK" w:hAnsi="宋体" w:eastAsia="方正仿宋_GBK"/>
          <w:sz w:val="24"/>
          <w:lang w:val="en-US" w:eastAsia="zh-CN"/>
        </w:rPr>
        <w:t>及要求</w:t>
      </w:r>
      <w:bookmarkEnd w:id="6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1.中标人不得经营以下商品：婴幼儿配方奶粉以及特殊医学用途的配方粉；与医疗活动相关的食品、保健品；任何类别的医疗器械及耗材。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中标人规范经营，遵守相关的法律法规，遵守合同约定的经营范围及相关约定，服从招标人管理，并制订相应的内部管理制度，严禁出现任何破坏招标人工作秩序的行为。中标人在合同期内，若不能严格按照国家、市、区的食品行业标准和医院与投标人签订的合同执行，超范围经营或被病人投诉或造成医院负面影响较大的，招标人有权单方面终止合同并取消其服务资格，由此产生的一切后果由投标人负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中标人负责经营范围的安全卫生，涉及食品安全的经营者在签订合同时还须与招标人签订食品安全卫生责任书。招标人严格执行事故责任追究制度，如在经营管理期内因出售或租赁的任何产品出现质量问题，或出现未有严格按照相关法律法规执行的情况，发生食物中毒等重大安全责任事故，损害人员身体健康，影响招标人声誉，中标人必须承担由此造成的一切责任和经济损失，招标人有权无条件终止该项目合同，并没收管理费和保证金，并依法追究其相应法律责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4.中标人的员工与招标人不存在任何雇佣、委托等劳动关系，同时在工作过程中的安全责任由投标人负责。如用电、用水等不注意安全引起生产事故，或发生意外伤亡事故，投标人承担包括第三方在内的全部责任和必要的经济补偿，招标人概不承担任何责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5.投标人必须严格履行经营管理合同要求，不得在中标后转包或分包给他人经营，如经发现，合同立即终止，并没收履约保证金。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6.中标人所有在本次服务场所内的工作人员都必须办理符合规定的健康证、佩戴胸牌，着公司统一服装。</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7.中标人根据门店目前情况自行处理现场物品（门店内物品和招牌等），中标人可自行对门店装修，装修方案、门店招牌等需报招标人同意，费用自理且满足消防要求并通过验收（住建委设计备案和验收备案以及消防支队营业前消防安全检查）。中标人在签订合同后有</w:t>
      </w:r>
      <w:r>
        <w:rPr>
          <w:rFonts w:hint="eastAsia" w:ascii="方正仿宋_GBK" w:hAnsi="宋体" w:eastAsia="方正仿宋_GBK"/>
          <w:sz w:val="24"/>
          <w:szCs w:val="24"/>
          <w:lang w:val="en-US" w:eastAsia="zh-CN"/>
        </w:rPr>
        <w:t>30天</w:t>
      </w:r>
      <w:r>
        <w:rPr>
          <w:rFonts w:hint="eastAsia" w:ascii="方正仿宋_GBK" w:hAnsi="宋体" w:eastAsia="方正仿宋_GBK"/>
          <w:sz w:val="24"/>
          <w:szCs w:val="24"/>
        </w:rPr>
        <w:t>的装修期，装修期免缴租金</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装修期间的水电费用和物业费据实结算</w:t>
      </w:r>
      <w:r>
        <w:rPr>
          <w:rFonts w:hint="eastAsia" w:ascii="方正仿宋_GBK" w:hAnsi="宋体" w:eastAsia="方正仿宋_GBK"/>
          <w:sz w:val="24"/>
          <w:szCs w:val="24"/>
        </w:rPr>
        <w:t>。经营期间水电</w:t>
      </w:r>
      <w:r>
        <w:rPr>
          <w:rFonts w:hint="eastAsia" w:ascii="方正仿宋_GBK" w:hAnsi="宋体" w:eastAsia="方正仿宋_GBK"/>
          <w:sz w:val="24"/>
          <w:szCs w:val="24"/>
          <w:lang w:val="en-US" w:eastAsia="zh-CN"/>
        </w:rPr>
        <w:t>费</w:t>
      </w:r>
      <w:r>
        <w:rPr>
          <w:rFonts w:hint="eastAsia" w:ascii="方正仿宋_GBK" w:hAnsi="宋体" w:eastAsia="方正仿宋_GBK"/>
          <w:sz w:val="24"/>
          <w:szCs w:val="24"/>
        </w:rPr>
        <w:t>据实结算，物业费9元/平米</w:t>
      </w:r>
      <w:r>
        <w:rPr>
          <w:rFonts w:hint="eastAsia" w:ascii="方正仿宋_GBK" w:hAnsi="宋体" w:eastAsia="方正仿宋_GBK"/>
          <w:sz w:val="24"/>
          <w:szCs w:val="24"/>
          <w:lang w:val="en-US" w:eastAsia="zh-CN"/>
        </w:rPr>
        <w:t>/月</w:t>
      </w:r>
      <w:r>
        <w:rPr>
          <w:rFonts w:hint="eastAsia" w:ascii="方正仿宋_GBK" w:hAnsi="宋体" w:eastAsia="方正仿宋_GBK"/>
          <w:sz w:val="24"/>
          <w:szCs w:val="24"/>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8.租金和物业费缴纳方式为先缴后用、按季度缴纳，提前10天缴纳下一季度租金和物业费，遇节假日顺延到节后第一个工作日缴纳。乙方安装独立计量的水电表，每季度抄表，按照自来水及供电局收费标准进行计费，抄表后发放缴费通知单，乙方需在收到通知单5个工作日内缴纳水电费。</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.中标人违反法律、法规及双方确定的服务合同约定，招标方有权终止该项合同</w:t>
      </w:r>
      <w:r>
        <w:rPr>
          <w:rFonts w:hint="eastAsia" w:ascii="方正仿宋_GBK" w:hAnsi="宋体" w:eastAsia="方正仿宋_GBK"/>
          <w:sz w:val="24"/>
          <w:szCs w:val="24"/>
          <w:lang w:eastAsia="zh-CN"/>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投标人可自行进行踏勘，联系电话：后勤管理处高老师63633347。</w:t>
      </w:r>
    </w:p>
    <w:p>
      <w:pPr>
        <w:spacing w:line="400" w:lineRule="exact"/>
        <w:ind w:firstLine="480" w:firstLineChars="200"/>
        <w:rPr>
          <w:rFonts w:hint="eastAsia" w:ascii="方正仿宋_GBK" w:hAnsi="宋体" w:eastAsia="方正仿宋_GBK"/>
          <w:sz w:val="24"/>
          <w:szCs w:val="24"/>
        </w:rPr>
      </w:pP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附件</w:t>
      </w:r>
    </w:p>
    <w:p>
      <w:pPr>
        <w:snapToGrid w:val="0"/>
        <w:spacing w:line="400" w:lineRule="exact"/>
        <w:ind w:firstLine="560" w:firstLineChars="200"/>
        <w:jc w:val="center"/>
        <w:rPr>
          <w:rFonts w:hint="eastAsia" w:ascii="方正仿宋_GBK" w:hAnsi="宋体" w:eastAsia="方正仿宋_GBK"/>
          <w:b/>
          <w:bCs/>
          <w:sz w:val="28"/>
          <w:szCs w:val="28"/>
        </w:rPr>
      </w:pPr>
      <w:r>
        <w:rPr>
          <w:rFonts w:hint="eastAsia" w:ascii="方正仿宋_GBK" w:hAnsi="宋体" w:eastAsia="方正仿宋_GBK"/>
          <w:b/>
          <w:bCs/>
          <w:sz w:val="28"/>
          <w:szCs w:val="28"/>
        </w:rPr>
        <w:t>服务考核办法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承租方利用承租场地进行违法活动的，出租人有权单方解除合同，没收全部履约保证金，并提前收回出租场地。同时承租方应向出租人支付按照当年月租金计算的共计6个月的违约金，并对除违约金以外的实际损失进行赔偿。</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2.在租赁期内，承租方中途确需提前退租的，必须提前3个月以上书面告知出租人，并征得出租人同意。未取得出租人书面同意，承租方擅自提前退租，应向出租人支付按当年月租金计算的共计6个月的违约金。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承租方如逾期支付租金，每逾期一日，应按应付租金、管理费的千分之五向出租人支付滞纳金。承租方超过30日仍没有缴纳应付租金及滞纳金的，出租人有权解除本合同，并没收全部履约保证金，出租人同时追偿承租方所欠费用和承租方按照当年租金总额的20%向出租人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4.承租方如逾期缴纳包括电费、水费、物业管理费等任何费用，产生的所有法律责任由承租方承担。逾期超过三个月，出租人有权解除本合同，并没收全部履约保证金，承租方同时仍有义务支付所欠费用，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5.承租方在履行本合同过程中发生的侵害出租方或第三人人身损害及财产损失的，由承租方承担和负责解决。如承租方违反合同约定或法律规定，造成重大安全事故或给出租方及第三方造成重大经济损失的，出租人有权解除本合同，并没收全部履约保证金，同时承租方按照当年租金总额的20%向出租方支付违约金，并承担民事和刑事责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6.合同履行期间承租方不得将承租屋转租、分租给任何第三方，否则出租人有权解除本合同，并没收全部履约保证金，同时承租方按照当年租金总额的20%向出租方支付违约金。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7.承租方如出现不按规定范围经营的情况，或以任何形式推荐销售不在经营范围内的商品，经有效举报或查实，出租人有权立即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8.承租方如出现超出经营范围面积的情况，发生一次扣罚5000元违约金，并需按照要求进行整改。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9.承租方在经营过程中，若违反医院管理规定，发生一次扣罚5000元违约金，并按照要求进行整改。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10. 承租方在经营过程中，若违反消防管理规定（包括但不限于遮挡、损坏、私自拆除消防器材、消防设施设备、消防通道等），在接到整改通知后未在规定时间内按要求完成整改的，发生一次扣罚5000元违约金。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承租方在经营过程中，若受到相关政府行政主管部门警告、处罚、勒令整改的，发生一次扣罚5000元违约金，并按照要求进行整改。发生三次及以上，出租人有权解除本合同，并没收全部履约保证金，同时承租方按照当年租金总额的20%向出租方支付违约金。</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12.承租方如出现上述约定以外的违约违规行为，承租方应当立即更正，如承租方一周内仍未更正，出租人有权解除本合同，并没收全部履约保证金，同时承租方按照当年租金总额的20%向出租方支付违约金。</w:t>
      </w:r>
    </w:p>
    <w:p>
      <w:pPr>
        <w:pStyle w:val="2"/>
        <w:rPr>
          <w:rFonts w:hint="eastAsia"/>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p>
    <w:p>
      <w:pPr>
        <w:pStyle w:val="5"/>
        <w:numPr>
          <w:ilvl w:val="0"/>
          <w:numId w:val="14"/>
        </w:numPr>
        <w:spacing w:before="200" w:after="200" w:line="240" w:lineRule="auto"/>
        <w:jc w:val="center"/>
        <w:rPr>
          <w:rFonts w:hint="eastAsia" w:ascii="方正仿宋_GBK" w:hAnsi="Times New Roman" w:eastAsia="方正仿宋_GBK" w:cs="Times New Roman"/>
          <w:b/>
          <w:sz w:val="44"/>
          <w:szCs w:val="20"/>
        </w:rPr>
      </w:pPr>
      <w:bookmarkStart w:id="69" w:name="_Toc106030882"/>
      <w:bookmarkStart w:id="70" w:name="_Toc76462327"/>
      <w:bookmarkStart w:id="71" w:name="_Toc7791"/>
      <w:r>
        <w:rPr>
          <w:rFonts w:hint="eastAsia" w:ascii="方正仿宋_GBK" w:hAnsi="Times New Roman" w:eastAsia="方正仿宋_GBK" w:cs="Times New Roman"/>
          <w:b/>
          <w:sz w:val="44"/>
          <w:szCs w:val="20"/>
        </w:rPr>
        <w:t xml:space="preserve"> </w:t>
      </w:r>
      <w:bookmarkEnd w:id="64"/>
      <w:bookmarkStart w:id="72" w:name="_Toc15349"/>
      <w:r>
        <w:rPr>
          <w:rFonts w:hint="eastAsia" w:ascii="方正仿宋_GBK" w:hAnsi="Times New Roman" w:eastAsia="方正仿宋_GBK" w:cs="Times New Roman"/>
          <w:b/>
          <w:sz w:val="44"/>
          <w:szCs w:val="20"/>
        </w:rPr>
        <w:t>项目商务需求</w:t>
      </w:r>
      <w:bookmarkEnd w:id="69"/>
      <w:bookmarkEnd w:id="70"/>
      <w:bookmarkEnd w:id="71"/>
      <w:bookmarkEnd w:id="72"/>
    </w:p>
    <w:tbl>
      <w:tblPr>
        <w:tblStyle w:val="59"/>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73" w:name="_Toc344475120"/>
            <w:bookmarkStart w:id="74" w:name="_Toc76462328"/>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租赁期限、租赁地点及考核方式</w:t>
            </w:r>
          </w:p>
        </w:tc>
        <w:tc>
          <w:tcPr>
            <w:tcW w:w="4277" w:type="pct"/>
            <w:vAlign w:val="center"/>
          </w:tcPr>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租赁期限：自合同签订之日起三年</w:t>
            </w:r>
          </w:p>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租赁地点：重庆医科大学附属儿童医院渝中院区3号楼原便民药房位置</w:t>
            </w:r>
          </w:p>
          <w:p>
            <w:pPr>
              <w:pStyle w:val="142"/>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考核方式：职能部门根据《附件-服务考核办法》进行考核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报价要求</w:t>
            </w:r>
          </w:p>
        </w:tc>
        <w:tc>
          <w:tcPr>
            <w:tcW w:w="4277" w:type="pct"/>
            <w:vAlign w:val="center"/>
          </w:tcPr>
          <w:p>
            <w:pPr>
              <w:pStyle w:val="142"/>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该项目为一次性报价（可采取阶梯式报价，逐年递增），按每月租金报价。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付款方式</w:t>
            </w:r>
          </w:p>
        </w:tc>
        <w:tc>
          <w:tcPr>
            <w:tcW w:w="4277" w:type="pct"/>
            <w:vAlign w:val="center"/>
          </w:tcPr>
          <w:p>
            <w:pPr>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中标人在经营管理期限内按季度提前支付租金，即先交费后经营的原则，于每季度前至少十个工作日付款。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default"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履约与违约</w:t>
            </w:r>
          </w:p>
        </w:tc>
        <w:tc>
          <w:tcPr>
            <w:tcW w:w="4277" w:type="pct"/>
            <w:vAlign w:val="center"/>
          </w:tcPr>
          <w:p>
            <w:pPr>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1.中标人在签定合同前须缴纳合同总价的5%作为履约保证金到招标人指定帐户，否则合同不予签订，视为投标人自动放弃。</w:t>
            </w:r>
          </w:p>
          <w:p>
            <w:pPr>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2.如因中标人原因服务期未达合同约定期限的50%，履约保证金不予退还。履约保证金在合同期满，无任何违约和纠纷，将设备设施按合同截止日期清理出场。在招标方验收场地并且解除服务合同后，由投标人提出书面申请，30个工作内无息退还。投标人如有违规，医院有权从保证金中扣除医院及有关人员所受到的经济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其他</w:t>
            </w:r>
          </w:p>
        </w:tc>
        <w:tc>
          <w:tcPr>
            <w:tcW w:w="4277" w:type="pct"/>
            <w:vAlign w:val="center"/>
          </w:tcPr>
          <w:p>
            <w:pPr>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其他未尽事宜由供需双方在采购合同中详细约定。</w:t>
            </w:r>
          </w:p>
        </w:tc>
      </w:tr>
      <w:bookmarkEnd w:id="73"/>
      <w:bookmarkEnd w:id="74"/>
    </w:tbl>
    <w:p>
      <w:pPr>
        <w:snapToGrid w:val="0"/>
        <w:spacing w:line="400" w:lineRule="exact"/>
        <w:ind w:firstLine="540"/>
        <w:rPr>
          <w:rFonts w:hint="eastAsia" w:ascii="方正仿宋_GBK" w:hAnsi="宋体" w:eastAsia="方正仿宋_GBK"/>
          <w:sz w:val="24"/>
          <w:szCs w:val="24"/>
        </w:rPr>
      </w:pPr>
    </w:p>
    <w:p>
      <w:pPr>
        <w:rPr>
          <w:rFonts w:hint="eastAsia" w:ascii="方正仿宋_GBK" w:hAnsi="Times New Roman" w:eastAsia="方正仿宋_GBK" w:cs="Times New Roman"/>
          <w:b/>
          <w:sz w:val="44"/>
          <w:szCs w:val="20"/>
        </w:rPr>
      </w:pPr>
      <w:bookmarkStart w:id="75" w:name="_Toc106030887"/>
      <w:bookmarkStart w:id="76" w:name="_Toc6692"/>
      <w:bookmarkStart w:id="77" w:name="_Toc76462332"/>
      <w:r>
        <w:rPr>
          <w:rFonts w:hint="eastAsia" w:ascii="方正仿宋_GBK" w:hAnsi="Times New Roman" w:eastAsia="方正仿宋_GBK" w:cs="Times New Roman"/>
          <w:b/>
          <w:sz w:val="44"/>
          <w:szCs w:val="20"/>
        </w:rPr>
        <w:br w:type="page"/>
      </w:r>
    </w:p>
    <w:p>
      <w:pPr>
        <w:pStyle w:val="5"/>
        <w:pageBreakBefore w:val="0"/>
        <w:spacing w:before="200" w:after="200" w:line="240" w:lineRule="auto"/>
        <w:jc w:val="center"/>
        <w:rPr>
          <w:rFonts w:hint="eastAsia" w:ascii="方正仿宋_GBK" w:hAnsi="Times New Roman" w:eastAsia="方正仿宋_GBK" w:cs="Times New Roman"/>
          <w:b/>
          <w:sz w:val="44"/>
          <w:szCs w:val="20"/>
        </w:rPr>
      </w:pPr>
      <w:bookmarkStart w:id="78" w:name="_Toc12047"/>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w:t>
      </w:r>
      <w:r>
        <w:rPr>
          <w:rFonts w:hint="eastAsia" w:ascii="方正仿宋_GBK" w:hAnsi="Times New Roman" w:eastAsia="方正仿宋_GBK" w:cs="Times New Roman"/>
          <w:b/>
          <w:sz w:val="44"/>
          <w:szCs w:val="20"/>
        </w:rPr>
        <w:t>程序及方法、评审标准、无效响应和采购终止</w:t>
      </w:r>
      <w:bookmarkEnd w:id="75"/>
      <w:bookmarkEnd w:id="76"/>
      <w:bookmarkEnd w:id="77"/>
      <w:bookmarkEnd w:id="78"/>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79" w:name="_Toc14958"/>
      <w:bookmarkStart w:id="80" w:name="_Toc76462333"/>
      <w:bookmarkStart w:id="81" w:name="_Toc106030888"/>
      <w:bookmarkStart w:id="82" w:name="_Toc19071"/>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程序</w:t>
      </w:r>
      <w:bookmarkEnd w:id="79"/>
      <w:bookmarkEnd w:id="80"/>
      <w:bookmarkEnd w:id="81"/>
      <w:bookmarkEnd w:id="82"/>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1"/>
        <w:gridCol w:w="297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51"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7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51"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76"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83" w:name="_Toc15971"/>
      <w:r>
        <w:rPr>
          <w:rFonts w:hint="eastAsia" w:ascii="方正仿宋_GBK" w:hAnsi="宋体" w:eastAsia="方正仿宋_GBK"/>
          <w:sz w:val="24"/>
          <w:lang w:val="en-US" w:eastAsia="zh-CN"/>
        </w:rPr>
        <w:t>二、评标方法</w:t>
      </w:r>
      <w:bookmarkEnd w:id="83"/>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pPr>
        <w:snapToGrid w:val="0"/>
        <w:spacing w:line="400" w:lineRule="exact"/>
        <w:ind w:firstLine="480" w:firstLineChars="200"/>
        <w:outlineLvl w:val="2"/>
        <w:rPr>
          <w:rFonts w:hint="eastAsia" w:ascii="方正仿宋_GBK" w:hAnsi="宋体" w:eastAsia="方正仿宋_GBK"/>
          <w:b/>
          <w:sz w:val="24"/>
          <w:szCs w:val="24"/>
        </w:rPr>
      </w:pPr>
      <w:r>
        <w:rPr>
          <w:rFonts w:hint="eastAsia" w:ascii="方正仿宋_GBK" w:hAnsi="宋体" w:eastAsia="方正仿宋_GBK"/>
          <w:b/>
          <w:sz w:val="24"/>
          <w:szCs w:val="24"/>
        </w:rPr>
        <w:t>综合评分法：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提示：请慎重考虑</w:t>
      </w:r>
      <w:r>
        <w:rPr>
          <w:rFonts w:ascii="方正仿宋_GBK" w:hAnsi="宋体" w:eastAsia="方正仿宋_GBK"/>
          <w:sz w:val="24"/>
          <w:szCs w:val="24"/>
        </w:rPr>
        <w:t>是否推荐技术（</w:t>
      </w:r>
      <w:r>
        <w:rPr>
          <w:rFonts w:hint="eastAsia" w:ascii="方正仿宋_GBK" w:hAnsi="宋体" w:eastAsia="方正仿宋_GBK"/>
          <w:sz w:val="24"/>
          <w:szCs w:val="24"/>
        </w:rPr>
        <w:t>质量</w:t>
      </w:r>
      <w:r>
        <w:rPr>
          <w:rFonts w:ascii="方正仿宋_GBK" w:hAnsi="宋体" w:eastAsia="方正仿宋_GBK"/>
          <w:sz w:val="24"/>
          <w:szCs w:val="24"/>
        </w:rPr>
        <w:t>）</w:t>
      </w:r>
      <w:r>
        <w:rPr>
          <w:rFonts w:hint="eastAsia" w:ascii="方正仿宋_GBK" w:hAnsi="宋体" w:eastAsia="方正仿宋_GBK"/>
          <w:sz w:val="24"/>
          <w:szCs w:val="24"/>
        </w:rPr>
        <w:t>部分</w:t>
      </w:r>
      <w:r>
        <w:rPr>
          <w:rFonts w:ascii="方正仿宋_GBK" w:hAnsi="宋体" w:eastAsia="方正仿宋_GBK"/>
          <w:sz w:val="24"/>
          <w:szCs w:val="24"/>
        </w:rPr>
        <w:t>得分为</w:t>
      </w:r>
      <w:r>
        <w:rPr>
          <w:rFonts w:hint="eastAsia" w:ascii="方正仿宋_GBK" w:hAnsi="宋体" w:eastAsia="方正仿宋_GBK"/>
          <w:sz w:val="24"/>
          <w:szCs w:val="24"/>
        </w:rPr>
        <w:t>0分</w:t>
      </w:r>
      <w:r>
        <w:rPr>
          <w:rFonts w:ascii="方正仿宋_GBK" w:hAnsi="宋体" w:eastAsia="方正仿宋_GBK"/>
          <w:sz w:val="24"/>
          <w:szCs w:val="24"/>
        </w:rPr>
        <w:t>的投标人成为中标候选人</w:t>
      </w:r>
      <w:r>
        <w:rPr>
          <w:rFonts w:hint="eastAsia" w:ascii="方正仿宋_GBK" w:hAnsi="宋体" w:eastAsia="方正仿宋_GBK"/>
          <w:sz w:val="24"/>
          <w:szCs w:val="24"/>
        </w:rPr>
        <w:t>，应在招标文件中对该种情况的处理方式予以明确</w:t>
      </w:r>
      <w:r>
        <w:rPr>
          <w:rFonts w:ascii="方正仿宋_GBK" w:hAnsi="宋体" w:eastAsia="方正仿宋_GBK"/>
          <w:sz w:val="24"/>
          <w:szCs w:val="24"/>
        </w:rPr>
        <w:t>。</w:t>
      </w:r>
      <w:r>
        <w:rPr>
          <w:rFonts w:hint="eastAsia" w:ascii="方正仿宋_GBK" w:hAnsi="宋体" w:eastAsia="方正仿宋_GBK"/>
          <w:sz w:val="24"/>
          <w:szCs w:val="24"/>
        </w:rPr>
        <w:t>）</w:t>
      </w:r>
    </w:p>
    <w:p>
      <w:pPr>
        <w:pStyle w:val="5"/>
        <w:numPr>
          <w:ilvl w:val="0"/>
          <w:numId w:val="15"/>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84" w:name="_Toc76462334"/>
      <w:bookmarkStart w:id="85" w:name="_Toc106030889"/>
      <w:bookmarkStart w:id="86" w:name="_Toc30944"/>
      <w:bookmarkStart w:id="87" w:name="_Toc25289"/>
      <w:bookmarkStart w:id="88" w:name="_Toc102227320"/>
      <w:bookmarkStart w:id="89" w:name="_Toc342913394"/>
      <w:r>
        <w:rPr>
          <w:rFonts w:hint="eastAsia" w:ascii="方正仿宋_GBK" w:hAnsi="宋体" w:eastAsia="方正仿宋_GBK"/>
          <w:sz w:val="24"/>
          <w:lang w:val="en-US" w:eastAsia="zh-CN"/>
        </w:rPr>
        <w:t>评审标准</w:t>
      </w:r>
      <w:bookmarkEnd w:id="84"/>
      <w:bookmarkEnd w:id="85"/>
      <w:bookmarkEnd w:id="86"/>
      <w:bookmarkEnd w:id="87"/>
    </w:p>
    <w:tbl>
      <w:tblPr>
        <w:tblStyle w:val="60"/>
        <w:tblW w:w="10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286"/>
        <w:gridCol w:w="5325"/>
        <w:gridCol w:w="1035"/>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bookmarkStart w:id="90" w:name="_Toc31497"/>
            <w:bookmarkStart w:id="91" w:name="_Toc106030890"/>
            <w:bookmarkStart w:id="92" w:name="_Toc76462335"/>
            <w:r>
              <w:rPr>
                <w:rFonts w:hint="eastAsia" w:ascii="微软雅黑" w:hAnsi="微软雅黑" w:eastAsia="微软雅黑" w:cs="微软雅黑"/>
                <w:color w:val="000000"/>
                <w:sz w:val="21"/>
                <w:szCs w:val="21"/>
              </w:rPr>
              <w:t>序号</w:t>
            </w:r>
          </w:p>
        </w:tc>
        <w:tc>
          <w:tcPr>
            <w:tcW w:w="1286"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评分要素</w:t>
            </w:r>
          </w:p>
        </w:tc>
        <w:tc>
          <w:tcPr>
            <w:tcW w:w="5325" w:type="dxa"/>
            <w:noWrap w:val="0"/>
            <w:vAlign w:val="center"/>
          </w:tcPr>
          <w:p>
            <w:pPr>
              <w:widowControl w:val="0"/>
              <w:adjustRightInd/>
              <w:snapToGrid/>
              <w:spacing w:after="0" w:line="240" w:lineRule="auto"/>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评分标准</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分值</w:t>
            </w:r>
          </w:p>
        </w:tc>
        <w:tc>
          <w:tcPr>
            <w:tcW w:w="1881"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1</w:t>
            </w:r>
          </w:p>
        </w:tc>
        <w:tc>
          <w:tcPr>
            <w:tcW w:w="1286" w:type="dxa"/>
            <w:noWrap w:val="0"/>
            <w:vAlign w:val="center"/>
          </w:tcPr>
          <w:p>
            <w:pPr>
              <w:widowControl w:val="0"/>
              <w:adjustRightInd/>
              <w:snapToGrid/>
              <w:spacing w:after="0"/>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报价部分</w:t>
            </w:r>
            <w:r>
              <w:rPr>
                <w:rFonts w:hint="eastAsia" w:ascii="微软雅黑" w:hAnsi="微软雅黑" w:eastAsia="微软雅黑" w:cs="微软雅黑"/>
                <w:color w:val="000000"/>
                <w:sz w:val="21"/>
                <w:szCs w:val="21"/>
                <w:lang w:eastAsia="zh-CN"/>
              </w:rPr>
              <w:t>（</w:t>
            </w:r>
            <w:r>
              <w:rPr>
                <w:rFonts w:hint="eastAsia" w:ascii="微软雅黑" w:hAnsi="微软雅黑" w:eastAsia="微软雅黑" w:cs="微软雅黑"/>
                <w:color w:val="000000"/>
                <w:sz w:val="21"/>
                <w:szCs w:val="21"/>
                <w:lang w:val="en-US" w:eastAsia="zh-CN"/>
              </w:rPr>
              <w:t>60%</w:t>
            </w:r>
            <w:r>
              <w:rPr>
                <w:rFonts w:hint="eastAsia" w:ascii="微软雅黑" w:hAnsi="微软雅黑" w:eastAsia="微软雅黑" w:cs="微软雅黑"/>
                <w:color w:val="000000"/>
                <w:sz w:val="21"/>
                <w:szCs w:val="21"/>
                <w:lang w:eastAsia="zh-CN"/>
              </w:rPr>
              <w:t>）</w:t>
            </w:r>
            <w:r>
              <w:rPr>
                <w:rFonts w:hint="eastAsia" w:ascii="微软雅黑" w:hAnsi="微软雅黑" w:eastAsia="微软雅黑" w:cs="微软雅黑"/>
                <w:color w:val="000000"/>
                <w:sz w:val="21"/>
                <w:szCs w:val="21"/>
              </w:rPr>
              <w:t xml:space="preserve"> </w:t>
            </w:r>
          </w:p>
        </w:tc>
        <w:tc>
          <w:tcPr>
            <w:tcW w:w="5325"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满足资格要求且报价最</w:t>
            </w:r>
            <w:r>
              <w:rPr>
                <w:rFonts w:hint="eastAsia" w:ascii="微软雅黑" w:hAnsi="微软雅黑" w:eastAsia="微软雅黑" w:cs="微软雅黑"/>
                <w:sz w:val="21"/>
                <w:szCs w:val="21"/>
                <w:lang w:val="en-US" w:eastAsia="zh-CN"/>
              </w:rPr>
              <w:t>高</w:t>
            </w:r>
            <w:r>
              <w:rPr>
                <w:rFonts w:hint="eastAsia" w:ascii="微软雅黑" w:hAnsi="微软雅黑" w:eastAsia="微软雅黑" w:cs="微软雅黑"/>
                <w:sz w:val="21"/>
                <w:szCs w:val="21"/>
              </w:rPr>
              <w:t>的</w:t>
            </w:r>
            <w:r>
              <w:rPr>
                <w:rFonts w:hint="eastAsia" w:ascii="微软雅黑" w:hAnsi="微软雅黑" w:eastAsia="微软雅黑" w:cs="微软雅黑"/>
                <w:sz w:val="21"/>
                <w:szCs w:val="21"/>
                <w:lang w:val="en-US" w:eastAsia="zh-CN"/>
              </w:rPr>
              <w:t>投标单位</w:t>
            </w:r>
            <w:r>
              <w:rPr>
                <w:rFonts w:hint="eastAsia" w:ascii="微软雅黑" w:hAnsi="微软雅黑" w:eastAsia="微软雅黑" w:cs="微软雅黑"/>
                <w:sz w:val="21"/>
                <w:szCs w:val="21"/>
              </w:rPr>
              <w:t>的价格为</w:t>
            </w:r>
            <w:r>
              <w:rPr>
                <w:rFonts w:hint="eastAsia" w:ascii="微软雅黑" w:hAnsi="微软雅黑" w:eastAsia="微软雅黑" w:cs="微软雅黑"/>
                <w:sz w:val="21"/>
                <w:szCs w:val="21"/>
                <w:lang w:val="en-US" w:eastAsia="zh-CN"/>
              </w:rPr>
              <w:t>投标</w:t>
            </w:r>
            <w:r>
              <w:rPr>
                <w:rFonts w:hint="eastAsia" w:ascii="微软雅黑" w:hAnsi="微软雅黑" w:eastAsia="微软雅黑" w:cs="微软雅黑"/>
                <w:sz w:val="21"/>
                <w:szCs w:val="21"/>
              </w:rPr>
              <w:t>基准价，按照下列公式计算每个供应商的</w:t>
            </w:r>
            <w:r>
              <w:rPr>
                <w:rFonts w:hint="eastAsia" w:ascii="微软雅黑" w:hAnsi="微软雅黑" w:eastAsia="微软雅黑" w:cs="微软雅黑"/>
                <w:sz w:val="21"/>
                <w:szCs w:val="21"/>
                <w:lang w:eastAsia="zh-CN"/>
              </w:rPr>
              <w:t>投标</w:t>
            </w:r>
            <w:r>
              <w:rPr>
                <w:rFonts w:hint="eastAsia" w:ascii="微软雅黑" w:hAnsi="微软雅黑" w:eastAsia="微软雅黑" w:cs="微软雅黑"/>
                <w:sz w:val="21"/>
                <w:szCs w:val="21"/>
              </w:rPr>
              <w:t>报价得分。</w:t>
            </w:r>
          </w:p>
          <w:p>
            <w:pPr>
              <w:widowControl w:val="0"/>
              <w:adjustRightInd/>
              <w:snapToGrid/>
              <w:spacing w:after="0" w:line="240" w:lineRule="auto"/>
              <w:ind w:right="32"/>
              <w:jc w:val="both"/>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lang w:eastAsia="zh-CN"/>
              </w:rPr>
              <w:t>投标</w:t>
            </w:r>
            <w:r>
              <w:rPr>
                <w:rFonts w:hint="eastAsia" w:ascii="微软雅黑" w:hAnsi="微软雅黑" w:eastAsia="微软雅黑" w:cs="微软雅黑"/>
                <w:sz w:val="21"/>
                <w:szCs w:val="21"/>
              </w:rPr>
              <w:t>报价得分=（最</w:t>
            </w:r>
            <w:r>
              <w:rPr>
                <w:rFonts w:hint="eastAsia" w:ascii="微软雅黑" w:hAnsi="微软雅黑" w:eastAsia="微软雅黑" w:cs="微软雅黑"/>
                <w:sz w:val="21"/>
                <w:szCs w:val="21"/>
                <w:lang w:val="en-US" w:eastAsia="zh-CN"/>
              </w:rPr>
              <w:t>终</w:t>
            </w:r>
            <w:r>
              <w:rPr>
                <w:rFonts w:hint="eastAsia" w:ascii="微软雅黑" w:hAnsi="微软雅黑" w:eastAsia="微软雅黑" w:cs="微软雅黑"/>
                <w:sz w:val="21"/>
                <w:szCs w:val="21"/>
                <w:lang w:eastAsia="zh-CN"/>
              </w:rPr>
              <w:t>投标</w:t>
            </w:r>
            <w:r>
              <w:rPr>
                <w:rFonts w:hint="eastAsia" w:ascii="微软雅黑" w:hAnsi="微软雅黑" w:eastAsia="微软雅黑" w:cs="微软雅黑"/>
                <w:sz w:val="21"/>
                <w:szCs w:val="21"/>
              </w:rPr>
              <w:t>报价</w:t>
            </w:r>
            <w:r>
              <w:rPr>
                <w:rFonts w:hint="eastAsia" w:ascii="微软雅黑" w:hAnsi="微软雅黑" w:eastAsia="微软雅黑" w:cs="微软雅黑"/>
                <w:sz w:val="21"/>
                <w:szCs w:val="21"/>
                <w:lang w:val="en-US" w:eastAsia="zh-CN"/>
              </w:rPr>
              <w:t>/</w:t>
            </w:r>
            <w:r>
              <w:rPr>
                <w:rFonts w:hint="eastAsia" w:ascii="微软雅黑" w:hAnsi="微软雅黑" w:eastAsia="微软雅黑" w:cs="微软雅黑"/>
                <w:sz w:val="21"/>
                <w:szCs w:val="21"/>
                <w:lang w:eastAsia="zh-CN"/>
              </w:rPr>
              <w:t>投标</w:t>
            </w:r>
            <w:r>
              <w:rPr>
                <w:rFonts w:hint="eastAsia" w:ascii="微软雅黑" w:hAnsi="微软雅黑" w:eastAsia="微软雅黑" w:cs="微软雅黑"/>
                <w:sz w:val="21"/>
                <w:szCs w:val="21"/>
              </w:rPr>
              <w:t>基准价）×价格权值×100</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60</w:t>
            </w:r>
          </w:p>
        </w:tc>
        <w:tc>
          <w:tcPr>
            <w:tcW w:w="1881" w:type="dxa"/>
            <w:noWrap w:val="0"/>
            <w:vAlign w:val="center"/>
          </w:tcPr>
          <w:p>
            <w:pPr>
              <w:widowControl w:val="0"/>
              <w:adjustRightInd/>
              <w:snapToGrid/>
              <w:spacing w:after="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2</w:t>
            </w:r>
          </w:p>
          <w:p>
            <w:pPr>
              <w:widowControl w:val="0"/>
              <w:spacing w:line="400" w:lineRule="atLeast"/>
              <w:ind w:right="32"/>
              <w:jc w:val="center"/>
              <w:rPr>
                <w:rFonts w:hint="eastAsia" w:ascii="微软雅黑" w:hAnsi="微软雅黑" w:eastAsia="微软雅黑" w:cs="微软雅黑"/>
                <w:color w:val="000000"/>
                <w:sz w:val="21"/>
                <w:szCs w:val="21"/>
              </w:rPr>
            </w:pPr>
          </w:p>
        </w:tc>
        <w:tc>
          <w:tcPr>
            <w:tcW w:w="1286" w:type="dxa"/>
            <w:vMerge w:val="restart"/>
            <w:noWrap w:val="0"/>
            <w:vAlign w:val="center"/>
          </w:tcPr>
          <w:p>
            <w:pPr>
              <w:widowControl w:val="0"/>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运营实力</w:t>
            </w:r>
          </w:p>
          <w:p>
            <w:pPr>
              <w:widowControl w:val="0"/>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lang w:eastAsia="zh-CN"/>
              </w:rPr>
              <w:t>（</w:t>
            </w:r>
            <w:r>
              <w:rPr>
                <w:rFonts w:hint="eastAsia" w:ascii="微软雅黑" w:hAnsi="微软雅黑" w:eastAsia="微软雅黑" w:cs="微软雅黑"/>
                <w:color w:val="000000"/>
                <w:sz w:val="21"/>
                <w:szCs w:val="21"/>
                <w:lang w:val="en-US" w:eastAsia="zh-CN"/>
              </w:rPr>
              <w:t>30%</w:t>
            </w:r>
            <w:r>
              <w:rPr>
                <w:rFonts w:hint="eastAsia" w:ascii="微软雅黑" w:hAnsi="微软雅黑" w:eastAsia="微软雅黑" w:cs="微软雅黑"/>
                <w:color w:val="000000"/>
                <w:sz w:val="21"/>
                <w:szCs w:val="21"/>
                <w:lang w:eastAsia="zh-CN"/>
              </w:rPr>
              <w:t>）</w:t>
            </w:r>
            <w:r>
              <w:rPr>
                <w:rFonts w:hint="eastAsia" w:ascii="微软雅黑" w:hAnsi="微软雅黑" w:eastAsia="微软雅黑" w:cs="微软雅黑"/>
                <w:color w:val="000000"/>
                <w:sz w:val="21"/>
                <w:szCs w:val="21"/>
              </w:rPr>
              <w:t xml:space="preserve">   </w:t>
            </w:r>
          </w:p>
        </w:tc>
        <w:tc>
          <w:tcPr>
            <w:tcW w:w="5325"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市场影响力</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连锁门店全国达到30家得1分，低于30家不得分，每增加1家加1分，本项最高得分15分。</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15</w:t>
            </w:r>
          </w:p>
        </w:tc>
        <w:tc>
          <w:tcPr>
            <w:tcW w:w="1881" w:type="dxa"/>
            <w:noWrap w:val="0"/>
            <w:vAlign w:val="center"/>
          </w:tcPr>
          <w:p>
            <w:pPr>
              <w:widowControl w:val="0"/>
              <w:adjustRightInd/>
              <w:snapToGrid/>
              <w:spacing w:after="0"/>
              <w:jc w:val="left"/>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提供每家门店的地址、联系人与联系电话清单。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spacing w:line="400" w:lineRule="atLeast"/>
              <w:ind w:right="32"/>
              <w:jc w:val="center"/>
              <w:rPr>
                <w:rFonts w:hint="eastAsia" w:ascii="微软雅黑" w:hAnsi="微软雅黑" w:eastAsia="微软雅黑" w:cs="微软雅黑"/>
                <w:color w:val="000000"/>
                <w:sz w:val="21"/>
                <w:szCs w:val="21"/>
              </w:rPr>
            </w:pPr>
          </w:p>
        </w:tc>
        <w:tc>
          <w:tcPr>
            <w:tcW w:w="1286" w:type="dxa"/>
            <w:vMerge w:val="continue"/>
            <w:noWrap w:val="0"/>
            <w:vAlign w:val="center"/>
          </w:tcPr>
          <w:p>
            <w:pPr>
              <w:widowControl w:val="0"/>
              <w:adjustRightInd/>
              <w:snapToGrid/>
              <w:spacing w:after="0"/>
              <w:ind w:right="32"/>
              <w:jc w:val="center"/>
              <w:rPr>
                <w:rFonts w:hint="eastAsia" w:ascii="微软雅黑" w:hAnsi="微软雅黑" w:eastAsia="微软雅黑" w:cs="微软雅黑"/>
                <w:color w:val="000000"/>
                <w:sz w:val="21"/>
                <w:szCs w:val="21"/>
              </w:rPr>
            </w:pPr>
          </w:p>
        </w:tc>
        <w:tc>
          <w:tcPr>
            <w:tcW w:w="5325" w:type="dxa"/>
            <w:noWrap w:val="0"/>
            <w:vAlign w:val="center"/>
          </w:tcPr>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市场口碑</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sz w:val="21"/>
                <w:szCs w:val="21"/>
                <w:lang w:val="en-US" w:eastAsia="zh-CN"/>
              </w:rPr>
              <w:t>优5分，良3分，一般1分</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5</w:t>
            </w:r>
          </w:p>
        </w:tc>
        <w:tc>
          <w:tcPr>
            <w:tcW w:w="1881" w:type="dxa"/>
            <w:noWrap w:val="0"/>
            <w:vAlign w:val="center"/>
          </w:tcPr>
          <w:p>
            <w:pPr>
              <w:widowControl w:val="0"/>
              <w:adjustRightInd/>
              <w:snapToGrid/>
              <w:spacing w:after="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spacing w:line="400" w:lineRule="atLeast"/>
              <w:ind w:right="32"/>
              <w:jc w:val="center"/>
              <w:rPr>
                <w:rFonts w:hint="eastAsia" w:ascii="微软雅黑" w:hAnsi="微软雅黑" w:eastAsia="微软雅黑" w:cs="微软雅黑"/>
                <w:color w:val="000000"/>
                <w:sz w:val="21"/>
                <w:szCs w:val="21"/>
              </w:rPr>
            </w:pPr>
          </w:p>
        </w:tc>
        <w:tc>
          <w:tcPr>
            <w:tcW w:w="1286" w:type="dxa"/>
            <w:vMerge w:val="continue"/>
            <w:noWrap w:val="0"/>
            <w:vAlign w:val="center"/>
          </w:tcPr>
          <w:p>
            <w:pPr>
              <w:widowControl w:val="0"/>
              <w:adjustRightInd/>
              <w:snapToGrid/>
              <w:spacing w:after="0"/>
              <w:ind w:right="32"/>
              <w:jc w:val="center"/>
              <w:rPr>
                <w:rFonts w:hint="eastAsia" w:ascii="微软雅黑" w:hAnsi="微软雅黑" w:eastAsia="微软雅黑" w:cs="微软雅黑"/>
                <w:color w:val="000000"/>
                <w:sz w:val="21"/>
                <w:szCs w:val="21"/>
              </w:rPr>
            </w:pPr>
          </w:p>
        </w:tc>
        <w:tc>
          <w:tcPr>
            <w:tcW w:w="5325" w:type="dxa"/>
            <w:noWrap w:val="0"/>
            <w:vAlign w:val="center"/>
          </w:tcPr>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投标公司经营面积</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投标公司经营项目中有一项经营面积达</w:t>
            </w:r>
            <w:r>
              <w:rPr>
                <w:rFonts w:hint="eastAsia" w:ascii="微软雅黑" w:hAnsi="微软雅黑" w:eastAsia="微软雅黑" w:cs="微软雅黑"/>
                <w:color w:val="000000"/>
                <w:sz w:val="21"/>
                <w:szCs w:val="21"/>
                <w:lang w:val="en-US" w:eastAsia="zh-CN"/>
              </w:rPr>
              <w:t>20</w:t>
            </w:r>
            <w:r>
              <w:rPr>
                <w:rFonts w:hint="eastAsia" w:ascii="微软雅黑" w:hAnsi="微软雅黑" w:eastAsia="微软雅黑" w:cs="微软雅黑"/>
                <w:color w:val="000000"/>
                <w:sz w:val="21"/>
                <w:szCs w:val="21"/>
              </w:rPr>
              <w:t>0</w:t>
            </w:r>
            <w:r>
              <w:rPr>
                <w:rFonts w:hint="eastAsia" w:ascii="微软雅黑" w:hAnsi="微软雅黑" w:eastAsia="微软雅黑" w:cs="微软雅黑"/>
                <w:color w:val="000000"/>
                <w:sz w:val="21"/>
                <w:szCs w:val="21"/>
                <w:lang w:val="en-US" w:eastAsia="zh-CN"/>
              </w:rPr>
              <w:t>㎡</w:t>
            </w:r>
            <w:r>
              <w:rPr>
                <w:rFonts w:hint="eastAsia" w:ascii="微软雅黑" w:hAnsi="微软雅黑" w:eastAsia="微软雅黑" w:cs="微软雅黑"/>
                <w:color w:val="000000"/>
                <w:sz w:val="21"/>
                <w:szCs w:val="21"/>
              </w:rPr>
              <w:t>及以上的，得1分；低于</w:t>
            </w:r>
            <w:r>
              <w:rPr>
                <w:rFonts w:hint="eastAsia" w:ascii="微软雅黑" w:hAnsi="微软雅黑" w:eastAsia="微软雅黑" w:cs="微软雅黑"/>
                <w:color w:val="000000"/>
                <w:sz w:val="21"/>
                <w:szCs w:val="21"/>
                <w:lang w:val="en-US" w:eastAsia="zh-CN"/>
              </w:rPr>
              <w:t>20</w:t>
            </w:r>
            <w:r>
              <w:rPr>
                <w:rFonts w:hint="eastAsia" w:ascii="微软雅黑" w:hAnsi="微软雅黑" w:eastAsia="微软雅黑" w:cs="微软雅黑"/>
                <w:color w:val="000000"/>
                <w:sz w:val="21"/>
                <w:szCs w:val="21"/>
              </w:rPr>
              <w:t>0</w:t>
            </w:r>
            <w:r>
              <w:rPr>
                <w:rFonts w:hint="eastAsia" w:ascii="微软雅黑" w:hAnsi="微软雅黑" w:eastAsia="微软雅黑" w:cs="微软雅黑"/>
                <w:color w:val="000000"/>
                <w:sz w:val="21"/>
                <w:szCs w:val="21"/>
                <w:lang w:val="en-US" w:eastAsia="zh-CN"/>
              </w:rPr>
              <w:t>㎡</w:t>
            </w:r>
            <w:r>
              <w:rPr>
                <w:rFonts w:hint="eastAsia" w:ascii="微软雅黑" w:hAnsi="微软雅黑" w:eastAsia="微软雅黑" w:cs="微软雅黑"/>
                <w:color w:val="000000"/>
                <w:sz w:val="21"/>
                <w:szCs w:val="21"/>
              </w:rPr>
              <w:t>不得分；每增加一项加1分，本项最高得分10分。（须出示租赁合同）</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10</w:t>
            </w:r>
          </w:p>
        </w:tc>
        <w:tc>
          <w:tcPr>
            <w:tcW w:w="1881" w:type="dxa"/>
            <w:noWrap w:val="0"/>
            <w:vAlign w:val="center"/>
          </w:tcPr>
          <w:p>
            <w:pPr>
              <w:widowControl w:val="0"/>
              <w:adjustRightInd/>
              <w:snapToGrid/>
              <w:spacing w:after="0"/>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提供包含</w:t>
            </w:r>
            <w:r>
              <w:rPr>
                <w:rFonts w:hint="eastAsia" w:ascii="微软雅黑" w:hAnsi="微软雅黑" w:eastAsia="微软雅黑" w:cs="微软雅黑"/>
                <w:kern w:val="0"/>
                <w:sz w:val="21"/>
                <w:szCs w:val="21"/>
                <w:lang w:val="en-US" w:eastAsia="zh-CN" w:bidi="ar-SA"/>
              </w:rPr>
              <w:t>合作时间、合作单位的合同复印件并盖章确认。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3</w:t>
            </w:r>
          </w:p>
        </w:tc>
        <w:tc>
          <w:tcPr>
            <w:tcW w:w="1286" w:type="dxa"/>
            <w:noWrap w:val="0"/>
            <w:vAlign w:val="center"/>
          </w:tcPr>
          <w:p>
            <w:pPr>
              <w:widowControl w:val="0"/>
              <w:adjustRightInd/>
              <w:snapToGrid/>
              <w:spacing w:after="0"/>
              <w:ind w:right="32"/>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项目规划</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10</w:t>
            </w:r>
            <w:r>
              <w:rPr>
                <w:rFonts w:hint="eastAsia" w:ascii="微软雅黑" w:hAnsi="微软雅黑" w:eastAsia="微软雅黑" w:cs="微软雅黑"/>
                <w:sz w:val="21"/>
                <w:szCs w:val="21"/>
              </w:rPr>
              <w:t>%）</w:t>
            </w:r>
          </w:p>
        </w:tc>
        <w:tc>
          <w:tcPr>
            <w:tcW w:w="5325" w:type="dxa"/>
            <w:noWrap w:val="0"/>
            <w:vAlign w:val="center"/>
          </w:tcPr>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装修方案</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优4分，良2分，一般1分</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经营方案4分</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优4分，良2分，一般1分</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其他2分</w:t>
            </w:r>
          </w:p>
          <w:p>
            <w:pPr>
              <w:pStyle w:val="241"/>
              <w:widowControl w:val="0"/>
              <w:numPr>
                <w:ilvl w:val="0"/>
                <w:numId w:val="0"/>
              </w:numPr>
              <w:adjustRightInd/>
              <w:snapToGrid/>
              <w:spacing w:after="0" w:line="240" w:lineRule="auto"/>
              <w:ind w:leftChars="0"/>
              <w:jc w:val="both"/>
              <w:rPr>
                <w:rFonts w:hint="eastAsia" w:ascii="微软雅黑" w:hAnsi="微软雅黑" w:eastAsia="微软雅黑" w:cs="微软雅黑"/>
                <w:sz w:val="21"/>
                <w:szCs w:val="21"/>
                <w:lang w:val="en-US" w:eastAsia="zh-CN"/>
              </w:rPr>
            </w:pPr>
            <w:r>
              <w:rPr>
                <w:rFonts w:hint="eastAsia" w:ascii="微软雅黑" w:hAnsi="微软雅黑" w:eastAsia="微软雅黑" w:cs="微软雅黑"/>
                <w:color w:val="000000"/>
                <w:sz w:val="21"/>
                <w:szCs w:val="21"/>
              </w:rPr>
              <w:t>公司有自己的运营平台，可对医院开放后台，接受核查。有得2分，没有得0分。</w:t>
            </w:r>
          </w:p>
        </w:tc>
        <w:tc>
          <w:tcPr>
            <w:tcW w:w="1035" w:type="dxa"/>
            <w:noWrap w:val="0"/>
            <w:vAlign w:val="center"/>
          </w:tcPr>
          <w:p>
            <w:pPr>
              <w:widowControl w:val="0"/>
              <w:adjustRightInd/>
              <w:snapToGrid/>
              <w:spacing w:after="0" w:line="400" w:lineRule="atLeast"/>
              <w:ind w:right="32"/>
              <w:jc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10</w:t>
            </w:r>
          </w:p>
        </w:tc>
        <w:tc>
          <w:tcPr>
            <w:tcW w:w="1881" w:type="dxa"/>
            <w:noWrap w:val="0"/>
            <w:vAlign w:val="center"/>
          </w:tcPr>
          <w:p>
            <w:pPr>
              <w:widowControl w:val="0"/>
              <w:adjustRightInd/>
              <w:snapToGrid/>
              <w:spacing w:after="0"/>
              <w:jc w:val="left"/>
              <w:rPr>
                <w:rFonts w:hint="eastAsia" w:ascii="微软雅黑" w:hAnsi="微软雅黑" w:eastAsia="微软雅黑" w:cs="微软雅黑"/>
                <w:sz w:val="21"/>
                <w:szCs w:val="21"/>
              </w:rPr>
            </w:pPr>
            <w:r>
              <w:rPr>
                <w:rFonts w:hint="eastAsia" w:ascii="微软雅黑" w:hAnsi="微软雅黑" w:eastAsia="微软雅黑" w:cs="微软雅黑"/>
                <w:sz w:val="21"/>
                <w:szCs w:val="21"/>
              </w:rPr>
              <w:t>装修方案：区域规划，平面效果图。运营平台开放，需出具书面承诺书。门店信息：地址，店长姓名及联系方式。</w:t>
            </w:r>
          </w:p>
        </w:tc>
      </w:tr>
    </w:tbl>
    <w:p>
      <w:pPr>
        <w:pStyle w:val="5"/>
        <w:adjustRightInd w:val="0"/>
        <w:snapToGrid w:val="0"/>
        <w:spacing w:before="0" w:after="0" w:line="400" w:lineRule="exact"/>
        <w:ind w:firstLine="480" w:firstLineChars="200"/>
        <w:rPr>
          <w:rFonts w:hint="eastAsia" w:ascii="方正仿宋_GBK" w:hAnsi="宋体" w:eastAsia="方正仿宋_GBK"/>
          <w:sz w:val="24"/>
        </w:rPr>
      </w:pPr>
      <w:bookmarkStart w:id="93" w:name="_Toc15701"/>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90"/>
      <w:bookmarkEnd w:id="91"/>
      <w:bookmarkEnd w:id="92"/>
      <w:bookmarkEnd w:id="93"/>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文件规定的其他无效情形。</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94" w:name="_Toc106030891"/>
      <w:bookmarkStart w:id="95" w:name="_Toc10687"/>
      <w:bookmarkStart w:id="96" w:name="_Toc76462336"/>
      <w:bookmarkStart w:id="97" w:name="_Toc16043"/>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88"/>
      <w:bookmarkEnd w:id="89"/>
      <w:r>
        <w:rPr>
          <w:rFonts w:hint="eastAsia" w:ascii="方正仿宋_GBK" w:hAnsi="宋体" w:eastAsia="方正仿宋_GBK"/>
          <w:sz w:val="24"/>
        </w:rPr>
        <w:t>采购终止</w:t>
      </w:r>
      <w:bookmarkEnd w:id="94"/>
      <w:bookmarkEnd w:id="95"/>
      <w:bookmarkEnd w:id="96"/>
      <w:bookmarkEnd w:id="97"/>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出现下列情形之一的，采购人应当终止</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采购活动，发布项目终止公告并说明原因，重新开展采购活动：</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采购任务取消的。</w:t>
      </w:r>
    </w:p>
    <w:p>
      <w:pPr>
        <w:spacing w:line="400" w:lineRule="exact"/>
        <w:ind w:firstLine="480" w:firstLineChars="200"/>
        <w:rPr>
          <w:rFonts w:ascii="宋体" w:hAnsi="宋体"/>
          <w:sz w:val="24"/>
          <w:szCs w:val="24"/>
        </w:rPr>
        <w:sectPr>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方正仿宋_GBK" w:hAnsi="Times New Roman" w:eastAsia="方正仿宋_GBK" w:cs="Times New Roman"/>
          <w:b/>
          <w:bCs w:val="0"/>
          <w:sz w:val="44"/>
          <w:szCs w:val="20"/>
        </w:rPr>
      </w:pPr>
      <w:bookmarkStart w:id="98" w:name="_Toc29948"/>
      <w:bookmarkStart w:id="99" w:name="_Toc102227313"/>
      <w:bookmarkStart w:id="100" w:name="_Toc76462337"/>
      <w:bookmarkStart w:id="101" w:name="_Toc106030892"/>
      <w:bookmarkStart w:id="102" w:name="_Toc3880"/>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98"/>
      <w:bookmarkEnd w:id="99"/>
      <w:bookmarkEnd w:id="100"/>
      <w:bookmarkEnd w:id="101"/>
      <w:bookmarkEnd w:id="102"/>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03" w:name="_Toc76462338"/>
      <w:bookmarkStart w:id="104" w:name="_Toc106030893"/>
      <w:bookmarkStart w:id="105" w:name="_Toc26717"/>
      <w:bookmarkStart w:id="106" w:name="_Toc342913389"/>
      <w:bookmarkStart w:id="107" w:name="_Toc18917"/>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03"/>
      <w:bookmarkEnd w:id="104"/>
      <w:bookmarkEnd w:id="105"/>
      <w:bookmarkEnd w:id="106"/>
      <w:bookmarkEnd w:id="107"/>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08" w:name="_Toc15712"/>
      <w:bookmarkStart w:id="109" w:name="_Toc342913391"/>
      <w:bookmarkStart w:id="110" w:name="_Toc76462339"/>
      <w:bookmarkStart w:id="111" w:name="_Toc106030894"/>
      <w:bookmarkStart w:id="112" w:name="_Toc22531"/>
      <w:r>
        <w:rPr>
          <w:rFonts w:hint="eastAsia" w:ascii="方正仿宋_GBK" w:hAnsi="宋体" w:eastAsia="方正仿宋_GBK"/>
          <w:sz w:val="24"/>
        </w:rPr>
        <w:t>二、</w:t>
      </w:r>
      <w:r>
        <w:rPr>
          <w:rFonts w:hint="eastAsia" w:ascii="方正仿宋_GBK" w:hAnsi="宋体" w:eastAsia="方正仿宋_GBK"/>
          <w:sz w:val="24"/>
          <w:lang w:val="en-US" w:eastAsia="zh-CN"/>
        </w:rPr>
        <w:t>公开比选</w:t>
      </w:r>
      <w:r>
        <w:rPr>
          <w:rFonts w:hint="eastAsia" w:ascii="方正仿宋_GBK" w:hAnsi="宋体" w:eastAsia="方正仿宋_GBK"/>
          <w:sz w:val="24"/>
        </w:rPr>
        <w:t>文件</w:t>
      </w:r>
      <w:bookmarkEnd w:id="108"/>
      <w:bookmarkEnd w:id="109"/>
      <w:bookmarkEnd w:id="110"/>
      <w:bookmarkEnd w:id="111"/>
      <w:bookmarkEnd w:id="11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公开比选</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文件所有条款内容并同意放弃对这方面有不明白及误解的权利。</w:t>
      </w:r>
      <w:bookmarkStart w:id="113" w:name="_Toc318159780"/>
      <w:bookmarkStart w:id="114" w:name="_Toc318159349"/>
      <w:bookmarkStart w:id="115" w:name="_Toc318166429"/>
      <w:bookmarkStart w:id="116" w:name="_Toc318159160"/>
    </w:p>
    <w:bookmarkEnd w:id="113"/>
    <w:bookmarkEnd w:id="114"/>
    <w:bookmarkEnd w:id="115"/>
    <w:bookmarkEnd w:id="116"/>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17" w:name="_Toc179714297"/>
      <w:bookmarkStart w:id="118" w:name="_Toc102227318"/>
      <w:bookmarkStart w:id="119" w:name="_Toc26007"/>
      <w:bookmarkStart w:id="120" w:name="_Toc342913392"/>
      <w:bookmarkStart w:id="121" w:name="_Toc76462340"/>
      <w:bookmarkStart w:id="122" w:name="_Toc106030895"/>
      <w:bookmarkStart w:id="123" w:name="_Toc2710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17"/>
      <w:bookmarkEnd w:id="118"/>
      <w:bookmarkEnd w:id="119"/>
      <w:bookmarkEnd w:id="120"/>
      <w:bookmarkEnd w:id="121"/>
      <w:bookmarkEnd w:id="122"/>
      <w:bookmarkEnd w:id="12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一份（电子文档内容应与纸质文件正本一致，如不一致以纸质文件正本为准，并在报名截止时间之前上传至电子招投标平台）；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w:t>
      </w:r>
      <w:r>
        <w:rPr>
          <w:rFonts w:hint="eastAsia" w:ascii="方正仿宋_GBK" w:hAnsi="宋体" w:eastAsia="方正仿宋_GBK"/>
          <w:sz w:val="24"/>
        </w:rPr>
        <w:t>文件“第七篇响应文件编制要求”要求签署或盖章。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（六）响应文件的递交</w:t>
      </w:r>
    </w:p>
    <w:p>
      <w:pPr>
        <w:pStyle w:val="32"/>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24" w:name="_Toc106030896"/>
      <w:bookmarkStart w:id="125" w:name="_Toc76462341"/>
      <w:bookmarkStart w:id="126" w:name="_Toc6435"/>
      <w:bookmarkStart w:id="127" w:name="_Toc23078"/>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24"/>
      <w:bookmarkEnd w:id="125"/>
      <w:bookmarkEnd w:id="126"/>
      <w:bookmarkEnd w:id="127"/>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28" w:name="_Toc102227321"/>
      <w:bookmarkStart w:id="129" w:name="_Toc342913395"/>
      <w:bookmarkStart w:id="130" w:name="_Toc21532"/>
      <w:bookmarkStart w:id="131" w:name="_Toc76462342"/>
      <w:bookmarkStart w:id="132" w:name="_Toc106030897"/>
      <w:bookmarkStart w:id="133" w:name="_Toc18554"/>
      <w:r>
        <w:rPr>
          <w:rFonts w:hint="eastAsia" w:ascii="方正仿宋_GBK" w:hAnsi="宋体" w:eastAsia="方正仿宋_GBK"/>
          <w:sz w:val="24"/>
        </w:rPr>
        <w:t>五、成交通知</w:t>
      </w:r>
      <w:bookmarkEnd w:id="128"/>
      <w:bookmarkEnd w:id="129"/>
      <w:bookmarkEnd w:id="130"/>
      <w:bookmarkEnd w:id="131"/>
      <w:bookmarkEnd w:id="132"/>
      <w:bookmarkEnd w:id="13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34" w:name="_Toc21448"/>
      <w:bookmarkStart w:id="135" w:name="_Toc106030898"/>
      <w:bookmarkStart w:id="136" w:name="_Toc76462343"/>
      <w:bookmarkStart w:id="137" w:name="_Toc2811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34"/>
      <w:bookmarkEnd w:id="135"/>
      <w:bookmarkEnd w:id="136"/>
      <w:bookmarkEnd w:id="13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38" w:name="_Toc28334"/>
      <w:bookmarkStart w:id="139" w:name="_Toc76462344"/>
      <w:bookmarkStart w:id="140" w:name="_Toc106030899"/>
    </w:p>
    <w:p>
      <w:pPr>
        <w:pStyle w:val="5"/>
        <w:numPr>
          <w:ilvl w:val="-1"/>
          <w:numId w:val="0"/>
        </w:numPr>
        <w:adjustRightInd w:val="0"/>
        <w:snapToGrid w:val="0"/>
        <w:spacing w:before="0" w:after="0" w:line="400" w:lineRule="exact"/>
        <w:ind w:firstLine="480" w:firstLineChars="200"/>
        <w:rPr>
          <w:rFonts w:hint="eastAsia" w:ascii="方正仿宋_GBK" w:hAnsi="宋体" w:eastAsia="方正仿宋_GBK"/>
          <w:sz w:val="24"/>
        </w:rPr>
      </w:pPr>
      <w:bookmarkStart w:id="141" w:name="_Toc25321"/>
      <w:r>
        <w:rPr>
          <w:rFonts w:hint="eastAsia" w:ascii="方正仿宋_GBK" w:hAnsi="宋体" w:eastAsia="方正仿宋_GBK"/>
          <w:sz w:val="24"/>
        </w:rPr>
        <w:t>七、</w:t>
      </w:r>
      <w:bookmarkEnd w:id="138"/>
      <w:bookmarkEnd w:id="139"/>
      <w:bookmarkEnd w:id="140"/>
      <w:bookmarkStart w:id="142" w:name="_Toc102227322"/>
      <w:bookmarkStart w:id="143" w:name="_Toc3372"/>
      <w:bookmarkStart w:id="144" w:name="_Toc76462346"/>
      <w:bookmarkStart w:id="145" w:name="_Toc106030901"/>
      <w:bookmarkStart w:id="146" w:name="_Toc342913396"/>
      <w:bookmarkStart w:id="147" w:name="_Toc12789059"/>
      <w:bookmarkStart w:id="148" w:name="_Toc11641055"/>
      <w:r>
        <w:rPr>
          <w:rFonts w:hint="eastAsia" w:ascii="方正仿宋_GBK" w:hAnsi="宋体" w:eastAsia="方正仿宋_GBK"/>
          <w:sz w:val="24"/>
        </w:rPr>
        <w:t>签订</w:t>
      </w:r>
      <w:bookmarkEnd w:id="142"/>
      <w:r>
        <w:rPr>
          <w:rFonts w:hint="eastAsia" w:ascii="方正仿宋_GBK" w:hAnsi="宋体" w:eastAsia="方正仿宋_GBK"/>
          <w:sz w:val="24"/>
        </w:rPr>
        <w:t>合同</w:t>
      </w:r>
      <w:bookmarkEnd w:id="141"/>
      <w:bookmarkEnd w:id="143"/>
      <w:bookmarkEnd w:id="144"/>
      <w:bookmarkEnd w:id="145"/>
      <w:bookmarkEnd w:id="146"/>
    </w:p>
    <w:p>
      <w:pPr>
        <w:spacing w:line="400" w:lineRule="exact"/>
        <w:ind w:firstLine="480" w:firstLineChars="200"/>
        <w:rPr>
          <w:rFonts w:ascii="方正仿宋_GBK" w:hAnsi="方正仿宋_GBK" w:eastAsia="方正仿宋_GBK"/>
          <w:color w:val="0000FF"/>
          <w:sz w:val="24"/>
        </w:rPr>
      </w:pPr>
      <w:r>
        <w:rPr>
          <w:rFonts w:hint="eastAsia" w:ascii="方正仿宋_GBK" w:hAnsi="方正仿宋_GBK" w:eastAsia="方正仿宋_GBK"/>
          <w:color w:val="0000FF"/>
          <w:sz w:val="24"/>
        </w:rPr>
        <w:t>（一）中标人应于收到中标通知书之日起5个工作日内，按照中标项目的招标文件与投标文件递交采购合同。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（二）中标人未在规定时间内递交合同或放弃中标资格，则招标人将有充分的理由废除授标，将中标人纳入医院失信</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名单并扣除该项目的投标保证金，两年之内不得参与</w:t>
      </w:r>
      <w:r>
        <w:rPr>
          <w:rFonts w:hint="eastAsia" w:ascii="方正仿宋_GBK" w:hAnsi="方正仿宋_GBK" w:eastAsia="方正仿宋_GBK"/>
          <w:sz w:val="24"/>
          <w:lang w:val="en-US" w:eastAsia="zh-CN"/>
        </w:rPr>
        <w:t>招标人</w:t>
      </w:r>
      <w:r>
        <w:rPr>
          <w:rFonts w:hint="eastAsia" w:ascii="方正仿宋_GBK" w:hAnsi="方正仿宋_GBK" w:eastAsia="方正仿宋_GBK"/>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47"/>
      <w:bookmarkEnd w:id="148"/>
    </w:p>
    <w:p>
      <w:pPr>
        <w:pStyle w:val="5"/>
        <w:spacing w:before="200" w:after="200" w:line="240" w:lineRule="auto"/>
        <w:jc w:val="center"/>
        <w:rPr>
          <w:rFonts w:hint="eastAsia" w:ascii="方正仿宋_GBK" w:hAnsi="Times New Roman" w:eastAsia="方正仿宋_GBK" w:cs="Times New Roman"/>
          <w:b/>
          <w:sz w:val="44"/>
          <w:szCs w:val="20"/>
        </w:rPr>
      </w:pPr>
      <w:bookmarkStart w:id="149" w:name="_Hlt41879464"/>
      <w:bookmarkEnd w:id="149"/>
      <w:bookmarkStart w:id="150" w:name="_Toc106030905"/>
      <w:bookmarkStart w:id="151" w:name="_Toc27984"/>
      <w:bookmarkStart w:id="152" w:name="_Toc76462349"/>
      <w:bookmarkStart w:id="153" w:name="_Toc29095"/>
      <w:r>
        <w:rPr>
          <w:rFonts w:hint="eastAsia" w:ascii="方正仿宋_GBK" w:hAnsi="Times New Roman" w:eastAsia="方正仿宋_GBK" w:cs="Times New Roman"/>
          <w:b/>
          <w:sz w:val="44"/>
          <w:szCs w:val="20"/>
        </w:rPr>
        <w:t>第六篇  响应文件编制要求</w:t>
      </w:r>
      <w:bookmarkEnd w:id="150"/>
      <w:bookmarkEnd w:id="151"/>
      <w:bookmarkEnd w:id="152"/>
      <w:bookmarkEnd w:id="15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54" w:name="_Toc313008356"/>
      <w:bookmarkStart w:id="155" w:name="_Toc342913419"/>
      <w:bookmarkStart w:id="156" w:name="_Toc76462350"/>
      <w:bookmarkStart w:id="157" w:name="_Toc106030906"/>
      <w:bookmarkStart w:id="158" w:name="_Toc15994"/>
      <w:bookmarkStart w:id="159" w:name="_Toc313888360"/>
      <w:bookmarkStart w:id="160" w:name="_Toc12789073"/>
      <w:bookmarkStart w:id="161"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3" w:type="first"/>
          <w:footerReference r:id="rId16" w:type="first"/>
          <w:headerReference r:id="rId12" w:type="default"/>
          <w:footerReference r:id="rId14" w:type="default"/>
          <w:footerReference r:id="rId15"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62" w:name="_Toc25403"/>
      <w:r>
        <w:rPr>
          <w:rFonts w:hint="eastAsia" w:ascii="方正仿宋_GBK" w:hAnsi="宋体" w:eastAsia="方正仿宋_GBK"/>
          <w:sz w:val="24"/>
        </w:rPr>
        <w:t>一、经济部分</w:t>
      </w:r>
      <w:bookmarkEnd w:id="154"/>
      <w:bookmarkEnd w:id="155"/>
      <w:bookmarkEnd w:id="156"/>
      <w:bookmarkEnd w:id="157"/>
      <w:bookmarkEnd w:id="158"/>
      <w:bookmarkEnd w:id="159"/>
      <w:bookmarkEnd w:id="162"/>
    </w:p>
    <w:bookmarkEnd w:id="160"/>
    <w:bookmarkEnd w:id="161"/>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万元/月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租金递增</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租赁期限</w:t>
            </w:r>
          </w:p>
        </w:tc>
        <w:tc>
          <w:tcPr>
            <w:tcW w:w="7549" w:type="dxa"/>
            <w:noWrap w:val="0"/>
            <w:vAlign w:val="center"/>
          </w:tcPr>
          <w:p>
            <w:pPr>
              <w:keepNext w:val="0"/>
              <w:keepLines w:val="0"/>
              <w:suppressLineNumbers w:val="0"/>
              <w:tabs>
                <w:tab w:val="left" w:pos="6300"/>
              </w:tabs>
              <w:snapToGrid w:val="0"/>
              <w:spacing w:before="0" w:beforeAutospacing="0" w:after="0" w:afterAutospacing="0" w:line="312" w:lineRule="auto"/>
              <w:ind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549"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549"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注：投标报价若无递增，请在租金递增栏直接填写“无”。</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63" w:name="_Toc106030907"/>
      <w:bookmarkStart w:id="164" w:name="_Toc313008357"/>
      <w:bookmarkStart w:id="165" w:name="_Toc313888361"/>
      <w:bookmarkStart w:id="166" w:name="_Toc76462351"/>
      <w:bookmarkStart w:id="167" w:name="_Toc18669"/>
      <w:bookmarkStart w:id="168" w:name="_Toc342913420"/>
      <w:bookmarkStart w:id="169" w:name="_Toc15878"/>
      <w:r>
        <w:rPr>
          <w:rFonts w:hint="eastAsia" w:ascii="方正仿宋_GBK" w:hAnsi="宋体" w:eastAsia="方正仿宋_GBK"/>
          <w:sz w:val="24"/>
        </w:rPr>
        <w:t>二、服务部分</w:t>
      </w:r>
      <w:bookmarkEnd w:id="163"/>
      <w:bookmarkEnd w:id="164"/>
      <w:bookmarkEnd w:id="165"/>
      <w:bookmarkEnd w:id="166"/>
      <w:bookmarkEnd w:id="167"/>
      <w:bookmarkEnd w:id="168"/>
      <w:bookmarkEnd w:id="169"/>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5"/>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70" w:name="_Toc106030908"/>
      <w:bookmarkStart w:id="171" w:name="_Toc30639"/>
      <w:bookmarkStart w:id="172" w:name="_Toc342913421"/>
      <w:bookmarkStart w:id="173" w:name="_Toc313008358"/>
      <w:bookmarkStart w:id="174" w:name="_Toc313888362"/>
      <w:bookmarkStart w:id="175" w:name="_Toc76462352"/>
      <w:bookmarkStart w:id="176" w:name="_Toc17471"/>
      <w:r>
        <w:rPr>
          <w:rFonts w:hint="eastAsia" w:ascii="方正仿宋_GBK" w:hAnsi="宋体" w:eastAsia="方正仿宋_GBK"/>
          <w:sz w:val="24"/>
        </w:rPr>
        <w:t>三、商务部分</w:t>
      </w:r>
      <w:bookmarkEnd w:id="170"/>
      <w:bookmarkEnd w:id="171"/>
      <w:bookmarkEnd w:id="172"/>
      <w:bookmarkEnd w:id="173"/>
      <w:bookmarkEnd w:id="174"/>
      <w:bookmarkEnd w:id="175"/>
      <w:bookmarkEnd w:id="176"/>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headerReference r:id="rId17" w:type="default"/>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77"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77"/>
      <w:bookmarkStart w:id="178" w:name="_Toc76462353"/>
      <w:bookmarkStart w:id="179" w:name="_Toc342913422"/>
      <w:bookmarkStart w:id="180" w:name="_Toc313008359"/>
      <w:bookmarkStart w:id="181" w:name="_Toc313888363"/>
      <w:bookmarkStart w:id="182" w:name="_Toc26948"/>
      <w:bookmarkStart w:id="183" w:name="_Toc106030909"/>
      <w:bookmarkStart w:id="184" w:name="_Toc15928"/>
      <w:r>
        <w:rPr>
          <w:rFonts w:hint="eastAsia" w:ascii="方正仿宋_GBK" w:hAnsi="宋体" w:eastAsia="方正仿宋_GBK"/>
          <w:sz w:val="24"/>
        </w:rPr>
        <w:t>四、资格条件</w:t>
      </w:r>
      <w:bookmarkEnd w:id="178"/>
      <w:bookmarkEnd w:id="179"/>
      <w:bookmarkEnd w:id="180"/>
      <w:bookmarkEnd w:id="181"/>
      <w:bookmarkEnd w:id="182"/>
      <w:bookmarkEnd w:id="183"/>
      <w:bookmarkEnd w:id="184"/>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注：若为法定代表人办理并签署响应文件的，不提供此文件。</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2"/>
      </w:pPr>
    </w:p>
    <w:p>
      <w:pPr>
        <w:pStyle w:val="3"/>
        <w:rPr>
          <w:rFonts w:ascii="宋体" w:hAnsi="宋体"/>
        </w:rPr>
      </w:pPr>
    </w:p>
    <w:p>
      <w:pPr>
        <w:pStyle w:val="3"/>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560" w:firstLineChars="200"/>
        <w:rPr>
          <w:rFonts w:hint="eastAsia" w:ascii="方正仿宋_GBK" w:hAnsi="宋体" w:eastAsia="方正仿宋_GBK"/>
          <w:sz w:val="24"/>
        </w:rPr>
      </w:pPr>
      <w:bookmarkStart w:id="185" w:name="_Toc14422"/>
      <w:r>
        <w:rPr>
          <w:rFonts w:ascii="方正仿宋_GBK" w:hAnsi="宋体" w:eastAsia="方正仿宋_GBK"/>
          <w:b w:val="0"/>
          <w:sz w:val="28"/>
        </w:rPr>
        <w:br w:type="page"/>
      </w:r>
      <w:bookmarkStart w:id="186" w:name="_Toc106030910"/>
      <w:bookmarkStart w:id="187" w:name="_Toc76462354"/>
      <w:bookmarkStart w:id="188" w:name="_Toc8805"/>
      <w:bookmarkStart w:id="189" w:name="_Toc30994"/>
      <w:r>
        <w:rPr>
          <w:rFonts w:hint="eastAsia" w:ascii="方正仿宋_GBK" w:hAnsi="宋体" w:eastAsia="方正仿宋_GBK"/>
          <w:sz w:val="24"/>
        </w:rPr>
        <w:t>五、其他资料</w:t>
      </w:r>
      <w:bookmarkEnd w:id="185"/>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hint="eastAsia"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- 30 -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rPr>
        <w:rStyle w:val="63"/>
      </w:rPr>
      <w:t>- 14 -</w:t>
    </w:r>
    <w:r>
      <w:fldChar w:fldCharType="end"/>
    </w:r>
  </w:p>
  <w:p>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E0A0E"/>
    <w:multiLevelType w:val="singleLevel"/>
    <w:tmpl w:val="87EE0A0E"/>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65541452"/>
    <w:multiLevelType w:val="singleLevel"/>
    <w:tmpl w:val="65541452"/>
    <w:lvl w:ilvl="0" w:tentative="0">
      <w:start w:val="3"/>
      <w:numFmt w:val="chineseCounting"/>
      <w:suff w:val="space"/>
      <w:lvlText w:val="第%1篇"/>
      <w:lvlJc w:val="left"/>
      <w:rPr>
        <w:rFonts w:hint="eastAsia"/>
      </w:rPr>
    </w:lvl>
  </w:abstractNum>
  <w:num w:numId="1">
    <w:abstractNumId w:val="13"/>
  </w:num>
  <w:num w:numId="2">
    <w:abstractNumId w:val="9"/>
  </w:num>
  <w:num w:numId="3">
    <w:abstractNumId w:val="6"/>
  </w:num>
  <w:num w:numId="4">
    <w:abstractNumId w:val="4"/>
  </w:num>
  <w:num w:numId="5">
    <w:abstractNumId w:val="10"/>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7F103E0"/>
    <w:rsid w:val="092E6FC0"/>
    <w:rsid w:val="0BB87E47"/>
    <w:rsid w:val="0D1F249B"/>
    <w:rsid w:val="0DDD0250"/>
    <w:rsid w:val="147A5E14"/>
    <w:rsid w:val="17A1211B"/>
    <w:rsid w:val="17B105D4"/>
    <w:rsid w:val="18ED7A84"/>
    <w:rsid w:val="19255AF5"/>
    <w:rsid w:val="1F0D01CA"/>
    <w:rsid w:val="21864056"/>
    <w:rsid w:val="2486441F"/>
    <w:rsid w:val="24F9579E"/>
    <w:rsid w:val="2AA01F44"/>
    <w:rsid w:val="2F191A9C"/>
    <w:rsid w:val="3ACE5D4F"/>
    <w:rsid w:val="3C55524B"/>
    <w:rsid w:val="3DF6488D"/>
    <w:rsid w:val="406334F2"/>
    <w:rsid w:val="409F14A1"/>
    <w:rsid w:val="415F6EA3"/>
    <w:rsid w:val="452C7897"/>
    <w:rsid w:val="497B7CB3"/>
    <w:rsid w:val="4B2D12E0"/>
    <w:rsid w:val="4BEB6B31"/>
    <w:rsid w:val="4DD36371"/>
    <w:rsid w:val="4F070047"/>
    <w:rsid w:val="4F3C244F"/>
    <w:rsid w:val="5115115D"/>
    <w:rsid w:val="52D92ACB"/>
    <w:rsid w:val="53B4776F"/>
    <w:rsid w:val="53DF1E3A"/>
    <w:rsid w:val="5CA67F0E"/>
    <w:rsid w:val="67A81A90"/>
    <w:rsid w:val="692F74C0"/>
    <w:rsid w:val="6BFB6FB5"/>
    <w:rsid w:val="6FE969BF"/>
    <w:rsid w:val="71175C34"/>
    <w:rsid w:val="74D70DF7"/>
    <w:rsid w:val="750D16CF"/>
    <w:rsid w:val="789F3DA6"/>
    <w:rsid w:val="78A52377"/>
    <w:rsid w:val="79082185"/>
    <w:rsid w:val="7A6F77AB"/>
    <w:rsid w:val="7B5B7497"/>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1"/>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qFormat/>
    <w:uiPriority w:val="0"/>
    <w:rPr>
      <w:rFonts w:ascii="仿宋_GB2312" w:eastAsia="仿宋_GB2312"/>
      <w:sz w:val="32"/>
    </w:rPr>
  </w:style>
  <w:style w:type="paragraph" w:styleId="25">
    <w:name w:val="Body Text Indent"/>
    <w:basedOn w:val="1"/>
    <w:link w:val="72"/>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0"/>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3"/>
    <w:qFormat/>
    <w:uiPriority w:val="0"/>
  </w:style>
  <w:style w:type="paragraph" w:styleId="35">
    <w:name w:val="Body Text Indent 2"/>
    <w:basedOn w:val="1"/>
    <w:link w:val="74"/>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5"/>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6"/>
    <w:qFormat/>
    <w:uiPriority w:val="0"/>
    <w:pPr>
      <w:adjustRightInd/>
      <w:spacing w:line="240" w:lineRule="auto"/>
      <w:textAlignment w:val="auto"/>
    </w:pPr>
  </w:style>
  <w:style w:type="paragraph" w:styleId="57">
    <w:name w:val="Body Text First Indent"/>
    <w:basedOn w:val="1"/>
    <w:qFormat/>
    <w:uiPriority w:val="0"/>
    <w:pPr>
      <w:spacing w:line="360" w:lineRule="auto"/>
      <w:ind w:firstLine="420"/>
    </w:pPr>
    <w:rPr>
      <w:rFonts w:ascii="宋体" w:hAnsi="宋体"/>
      <w:sz w:val="24"/>
    </w:rPr>
  </w:style>
  <w:style w:type="paragraph" w:styleId="58">
    <w:name w:val="Body Text First Indent 2"/>
    <w:basedOn w:val="25"/>
    <w:link w:val="77"/>
    <w:qFormat/>
    <w:uiPriority w:val="0"/>
    <w:pPr>
      <w:spacing w:after="120" w:afterLines="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character" w:customStyle="1" w:styleId="69">
    <w:name w:val="标题 2 Char"/>
    <w:link w:val="5"/>
    <w:qFormat/>
    <w:uiPriority w:val="0"/>
    <w:rPr>
      <w:rFonts w:ascii="Arial" w:hAnsi="Arial" w:eastAsia="黑体"/>
      <w:b/>
      <w:kern w:val="2"/>
      <w:sz w:val="32"/>
    </w:rPr>
  </w:style>
  <w:style w:type="character" w:customStyle="1" w:styleId="70">
    <w:name w:val="标题 3 Char"/>
    <w:link w:val="6"/>
    <w:qFormat/>
    <w:uiPriority w:val="0"/>
    <w:rPr>
      <w:rFonts w:eastAsia="宋体"/>
      <w:b/>
      <w:kern w:val="2"/>
      <w:sz w:val="32"/>
      <w:lang w:val="en-US" w:eastAsia="zh-CN"/>
    </w:rPr>
  </w:style>
  <w:style w:type="character" w:customStyle="1" w:styleId="71">
    <w:name w:val="批注文字 Char"/>
    <w:link w:val="21"/>
    <w:qFormat/>
    <w:uiPriority w:val="0"/>
    <w:rPr>
      <w:sz w:val="24"/>
    </w:rPr>
  </w:style>
  <w:style w:type="character" w:customStyle="1" w:styleId="72">
    <w:name w:val="正文文本缩进 Char"/>
    <w:link w:val="25"/>
    <w:qFormat/>
    <w:uiPriority w:val="0"/>
    <w:rPr>
      <w:kern w:val="2"/>
      <w:sz w:val="44"/>
    </w:rPr>
  </w:style>
  <w:style w:type="character" w:customStyle="1" w:styleId="73">
    <w:name w:val="日期 Char"/>
    <w:link w:val="34"/>
    <w:qFormat/>
    <w:uiPriority w:val="0"/>
    <w:rPr>
      <w:kern w:val="2"/>
      <w:sz w:val="28"/>
    </w:rPr>
  </w:style>
  <w:style w:type="character" w:customStyle="1" w:styleId="74">
    <w:name w:val="正文文本缩进 2 Char"/>
    <w:link w:val="35"/>
    <w:qFormat/>
    <w:uiPriority w:val="0"/>
    <w:rPr>
      <w:kern w:val="2"/>
      <w:sz w:val="28"/>
    </w:rPr>
  </w:style>
  <w:style w:type="character" w:customStyle="1" w:styleId="75">
    <w:name w:val="脚注文本 Char"/>
    <w:link w:val="42"/>
    <w:qFormat/>
    <w:uiPriority w:val="0"/>
    <w:rPr>
      <w:kern w:val="2"/>
      <w:sz w:val="18"/>
    </w:rPr>
  </w:style>
  <w:style w:type="character" w:customStyle="1" w:styleId="76">
    <w:name w:val="批注主题 Char"/>
    <w:link w:val="56"/>
    <w:qFormat/>
    <w:uiPriority w:val="0"/>
  </w:style>
  <w:style w:type="character" w:customStyle="1" w:styleId="77">
    <w:name w:val="正文首行缩进 2 Char"/>
    <w:link w:val="58"/>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5"/>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4"/>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9"/>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2"/>
    <w:qFormat/>
    <w:uiPriority w:val="0"/>
    <w:rPr>
      <w:rFonts w:ascii="宋体" w:hAnsi="Courier New"/>
      <w:sz w:val="21"/>
    </w:rPr>
  </w:style>
  <w:style w:type="paragraph" w:customStyle="1" w:styleId="143">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9"/>
    <w:qFormat/>
    <w:uiPriority w:val="0"/>
    <w:rPr>
      <w:rFonts w:ascii="宋体" w:hAnsi="Tahoma"/>
    </w:rPr>
  </w:style>
  <w:style w:type="paragraph" w:customStyle="1" w:styleId="146">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5"/>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5"/>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4"/>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2"/>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1"/>
    <w:link w:val="32"/>
    <w:qFormat/>
    <w:uiPriority w:val="0"/>
    <w:rPr>
      <w:rFonts w:hint="eastAsia" w:ascii="宋体" w:hAnsi="Courier New" w:eastAsia="宋体" w:cs="宋体"/>
      <w:kern w:val="2"/>
      <w:sz w:val="21"/>
    </w:rPr>
  </w:style>
  <w:style w:type="paragraph" w:styleId="241">
    <w:name w:val="List Paragraph"/>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5.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10572</Words>
  <Characters>10907</Characters>
  <Lines>170</Lines>
  <Paragraphs>47</Paragraphs>
  <TotalTime>1</TotalTime>
  <ScaleCrop>false</ScaleCrop>
  <LinksUpToDate>false</LinksUpToDate>
  <CharactersWithSpaces>12232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2023-04-10T08:48:47Z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B8299E98A7B944B881041C4853533F5C</vt:lpwstr>
  </property>
</Properties>
</file>