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eastAsia="宋体"/>
          <w:lang w:eastAsia="zh-CN"/>
        </w:rPr>
      </w:pPr>
    </w:p>
    <w:p>
      <w:pPr>
        <w:jc w:val="center"/>
        <w:rPr>
          <w:rFonts w:hint="eastAsia" w:ascii="宋体" w:hAnsi="宋体" w:eastAsia="宋体"/>
          <w:lang w:eastAsia="zh-CN"/>
        </w:rPr>
      </w:pPr>
    </w:p>
    <w:p>
      <w:pPr>
        <w:spacing w:line="1600" w:lineRule="exact"/>
        <w:jc w:val="center"/>
        <w:outlineLvl w:val="0"/>
        <w:rPr>
          <w:rFonts w:hint="eastAsia" w:ascii="方正黑体_GBK" w:eastAsia="方正黑体_GBK"/>
          <w:sz w:val="100"/>
        </w:rPr>
      </w:pPr>
    </w:p>
    <w:p>
      <w:pPr>
        <w:jc w:val="center"/>
        <w:rPr>
          <w:rFonts w:hint="eastAsia" w:ascii="宋体" w:hAnsi="宋体"/>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竞争性谈判</w:t>
      </w: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rPr>
        <w:t>文件</w:t>
      </w:r>
    </w:p>
    <w:p>
      <w:pPr>
        <w:pStyle w:val="2"/>
        <w:jc w:val="center"/>
        <w:rPr>
          <w:rFonts w:hint="eastAsia" w:ascii="黑体" w:eastAsia="黑体"/>
          <w:sz w:val="32"/>
        </w:rPr>
      </w:pPr>
    </w:p>
    <w:p>
      <w:pPr>
        <w:pStyle w:val="3"/>
        <w:rPr>
          <w:rFonts w:hint="eastAsia"/>
        </w:rPr>
      </w:pPr>
    </w:p>
    <w:p>
      <w:pPr>
        <w:pStyle w:val="3"/>
        <w:rPr>
          <w:rFonts w:hint="eastAsia"/>
        </w:rPr>
      </w:pPr>
    </w:p>
    <w:p>
      <w:pPr>
        <w:pStyle w:val="3"/>
        <w:rPr>
          <w:rFonts w:hint="eastAsia"/>
        </w:rPr>
      </w:pPr>
    </w:p>
    <w:p>
      <w:pPr>
        <w:pStyle w:val="3"/>
        <w:rPr>
          <w:rFonts w:hint="eastAsia"/>
        </w:rPr>
      </w:pPr>
    </w:p>
    <w:p>
      <w:pPr>
        <w:spacing w:line="700" w:lineRule="exact"/>
        <w:jc w:val="center"/>
        <w:rPr>
          <w:rFonts w:hint="eastAsia" w:ascii="黑体" w:eastAsia="黑体"/>
          <w:sz w:val="32"/>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YHQ230207</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渝中院区瓶装医用气体采购</w:t>
      </w:r>
    </w:p>
    <w:p>
      <w:pPr>
        <w:spacing w:line="700" w:lineRule="exact"/>
        <w:jc w:val="center"/>
        <w:rPr>
          <w:rFonts w:hint="eastAsia" w:ascii="方正小标宋_GBK" w:hAnsi="宋体" w:eastAsia="方正小标宋_GBK"/>
          <w:b/>
          <w:sz w:val="36"/>
          <w:szCs w:val="36"/>
        </w:rPr>
      </w:pPr>
    </w:p>
    <w:p>
      <w:pPr>
        <w:spacing w:line="500" w:lineRule="exact"/>
        <w:jc w:val="both"/>
        <w:outlineLvl w:val="0"/>
        <w:rPr>
          <w:rFonts w:hint="eastAsia"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5</w:t>
      </w:r>
      <w:r>
        <w:rPr>
          <w:rFonts w:hint="eastAsia" w:ascii="方正小标宋_GBK" w:hAnsi="宋体" w:eastAsia="方正小标宋_GBK"/>
          <w:sz w:val="36"/>
          <w:szCs w:val="36"/>
        </w:rPr>
        <w:t>月</w:t>
      </w:r>
    </w:p>
    <w:p>
      <w:pPr>
        <w:spacing w:line="480" w:lineRule="exact"/>
        <w:outlineLvl w:val="0"/>
        <w:rPr>
          <w:rFonts w:ascii="方正黑体_GBK" w:eastAsia="方正黑体_GBK"/>
          <w:sz w:val="44"/>
          <w:szCs w:val="28"/>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1"/>
          <w:cols w:space="720" w:num="1"/>
          <w:titlePg/>
          <w:docGrid w:linePitch="381" w:charSpace="-5735"/>
        </w:sectPr>
      </w:pPr>
    </w:p>
    <w:p>
      <w:pPr>
        <w:spacing w:line="480" w:lineRule="exact"/>
        <w:jc w:val="center"/>
        <w:outlineLvl w:val="0"/>
        <w:rPr>
          <w:rFonts w:hint="eastAsia" w:ascii="方正黑体_GBK" w:eastAsia="方正黑体_GBK"/>
          <w:sz w:val="24"/>
          <w:szCs w:val="24"/>
        </w:rPr>
      </w:pPr>
      <w:r>
        <w:rPr>
          <w:rFonts w:hint="eastAsia" w:ascii="方正黑体_GBK" w:eastAsia="方正黑体_GBK"/>
          <w:sz w:val="24"/>
          <w:szCs w:val="24"/>
        </w:rPr>
        <w:t>目   录</w:t>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_Toc24410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第一篇  竞争性谈判邀请书</w:t>
      </w:r>
      <w:r>
        <w:rPr>
          <w:sz w:val="24"/>
          <w:szCs w:val="24"/>
        </w:rPr>
        <w:tab/>
      </w:r>
      <w:r>
        <w:rPr>
          <w:sz w:val="24"/>
          <w:szCs w:val="24"/>
        </w:rPr>
        <w:fldChar w:fldCharType="begin"/>
      </w:r>
      <w:r>
        <w:rPr>
          <w:sz w:val="24"/>
          <w:szCs w:val="24"/>
        </w:rPr>
        <w:instrText xml:space="preserve"> PAGEREF _Toc24410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一、竞争性谈判内容</w:t>
      </w:r>
      <w:r>
        <w:rPr>
          <w:sz w:val="24"/>
          <w:szCs w:val="24"/>
        </w:rPr>
        <w:tab/>
      </w:r>
      <w:r>
        <w:rPr>
          <w:sz w:val="24"/>
          <w:szCs w:val="24"/>
        </w:rPr>
        <w:fldChar w:fldCharType="begin"/>
      </w:r>
      <w:r>
        <w:rPr>
          <w:sz w:val="24"/>
          <w:szCs w:val="24"/>
        </w:rPr>
        <w:instrText xml:space="preserve"> PAGEREF _Toc12224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_Toc6697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_Toc6697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_Toc8977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、谈判有关说明</w:t>
      </w:r>
      <w:r>
        <w:rPr>
          <w:sz w:val="24"/>
          <w:szCs w:val="24"/>
        </w:rPr>
        <w:tab/>
      </w:r>
      <w:r>
        <w:rPr>
          <w:sz w:val="24"/>
          <w:szCs w:val="24"/>
        </w:rPr>
        <w:fldChar w:fldCharType="begin"/>
      </w:r>
      <w:r>
        <w:rPr>
          <w:sz w:val="24"/>
          <w:szCs w:val="24"/>
        </w:rPr>
        <w:instrText xml:space="preserve"> PAGEREF _Toc8977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_Toc24355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、保证金</w:t>
      </w:r>
      <w:r>
        <w:rPr>
          <w:sz w:val="24"/>
          <w:szCs w:val="24"/>
        </w:rPr>
        <w:tab/>
      </w:r>
      <w:r>
        <w:rPr>
          <w:sz w:val="24"/>
          <w:szCs w:val="24"/>
        </w:rPr>
        <w:fldChar w:fldCharType="begin"/>
      </w:r>
      <w:r>
        <w:rPr>
          <w:sz w:val="24"/>
          <w:szCs w:val="24"/>
        </w:rPr>
        <w:instrText xml:space="preserve"> PAGEREF _Toc24355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_Toc22784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_Toc22784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_Toc2528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_Toc25029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第二篇  技术（质量）需求</w:t>
      </w:r>
      <w:r>
        <w:rPr>
          <w:sz w:val="24"/>
          <w:szCs w:val="24"/>
        </w:rPr>
        <w:tab/>
      </w:r>
      <w:r>
        <w:rPr>
          <w:sz w:val="24"/>
          <w:szCs w:val="24"/>
        </w:rPr>
        <w:fldChar w:fldCharType="begin"/>
      </w:r>
      <w:r>
        <w:rPr>
          <w:sz w:val="24"/>
          <w:szCs w:val="24"/>
        </w:rPr>
        <w:instrText xml:space="preserve"> PAGEREF _Toc25029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一、项目一览表</w:t>
      </w:r>
      <w:r>
        <w:rPr>
          <w:sz w:val="24"/>
          <w:szCs w:val="24"/>
        </w:rPr>
        <w:tab/>
      </w:r>
      <w:r>
        <w:rPr>
          <w:sz w:val="24"/>
          <w:szCs w:val="24"/>
        </w:rPr>
        <w:fldChar w:fldCharType="begin"/>
      </w:r>
      <w:r>
        <w:rPr>
          <w:sz w:val="24"/>
          <w:szCs w:val="24"/>
        </w:rPr>
        <w:instrText xml:space="preserve"> PAGEREF _Toc2230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二、技术规格及质量要求</w:t>
      </w:r>
      <w:r>
        <w:rPr>
          <w:sz w:val="24"/>
          <w:szCs w:val="24"/>
        </w:rPr>
        <w:tab/>
      </w:r>
      <w:r>
        <w:rPr>
          <w:sz w:val="24"/>
          <w:szCs w:val="24"/>
        </w:rPr>
        <w:fldChar w:fldCharType="begin"/>
      </w:r>
      <w:r>
        <w:rPr>
          <w:sz w:val="24"/>
          <w:szCs w:val="24"/>
        </w:rPr>
        <w:instrText xml:space="preserve"> PAGEREF _Toc32119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_Toc16936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 xml:space="preserve">第三篇  </w:t>
      </w:r>
      <w:r>
        <w:rPr>
          <w:rFonts w:hint="eastAsia" w:ascii="方正小标宋_GBK" w:eastAsia="方正小标宋_GBK"/>
          <w:sz w:val="24"/>
          <w:szCs w:val="24"/>
          <w:lang w:val="en-US" w:eastAsia="zh-CN"/>
        </w:rPr>
        <w:t>商务</w:t>
      </w:r>
      <w:r>
        <w:rPr>
          <w:rFonts w:hint="eastAsia" w:ascii="方正小标宋_GBK" w:eastAsia="方正小标宋_GBK"/>
          <w:sz w:val="24"/>
          <w:szCs w:val="24"/>
        </w:rPr>
        <w:t>需求</w:t>
      </w:r>
      <w:r>
        <w:rPr>
          <w:sz w:val="24"/>
          <w:szCs w:val="24"/>
        </w:rPr>
        <w:tab/>
      </w:r>
      <w:r>
        <w:rPr>
          <w:sz w:val="24"/>
          <w:szCs w:val="24"/>
        </w:rPr>
        <w:fldChar w:fldCharType="begin"/>
      </w:r>
      <w:r>
        <w:rPr>
          <w:sz w:val="24"/>
          <w:szCs w:val="24"/>
        </w:rPr>
        <w:instrText xml:space="preserve"> PAGEREF _Toc16936 \h </w:instrText>
      </w:r>
      <w:r>
        <w:rPr>
          <w:sz w:val="24"/>
          <w:szCs w:val="24"/>
        </w:rPr>
        <w:fldChar w:fldCharType="separate"/>
      </w:r>
      <w:r>
        <w:rPr>
          <w:sz w:val="24"/>
          <w:szCs w:val="24"/>
        </w:rPr>
        <w:t>6</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_Toc11306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第四篇  采购程序、评定成交的标准、无效谈判及采购终止</w:t>
      </w:r>
      <w:r>
        <w:rPr>
          <w:sz w:val="24"/>
          <w:szCs w:val="24"/>
        </w:rPr>
        <w:tab/>
      </w:r>
      <w:r>
        <w:rPr>
          <w:sz w:val="24"/>
          <w:szCs w:val="24"/>
        </w:rPr>
        <w:fldChar w:fldCharType="begin"/>
      </w:r>
      <w:r>
        <w:rPr>
          <w:sz w:val="24"/>
          <w:szCs w:val="24"/>
        </w:rPr>
        <w:instrText xml:space="preserve"> PAGEREF _Toc11306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一、采购程序</w:t>
      </w:r>
      <w:r>
        <w:rPr>
          <w:sz w:val="24"/>
          <w:szCs w:val="24"/>
        </w:rPr>
        <w:tab/>
      </w:r>
      <w:r>
        <w:rPr>
          <w:sz w:val="24"/>
          <w:szCs w:val="24"/>
        </w:rPr>
        <w:fldChar w:fldCharType="begin"/>
      </w:r>
      <w:r>
        <w:rPr>
          <w:sz w:val="24"/>
          <w:szCs w:val="24"/>
        </w:rPr>
        <w:instrText xml:space="preserve"> PAGEREF _Toc8979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_Toc18428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二、评定成交的标准</w:t>
      </w:r>
      <w:r>
        <w:rPr>
          <w:sz w:val="24"/>
          <w:szCs w:val="24"/>
        </w:rPr>
        <w:tab/>
      </w:r>
      <w:r>
        <w:rPr>
          <w:sz w:val="24"/>
          <w:szCs w:val="24"/>
        </w:rPr>
        <w:fldChar w:fldCharType="begin"/>
      </w:r>
      <w:r>
        <w:rPr>
          <w:sz w:val="24"/>
          <w:szCs w:val="24"/>
        </w:rPr>
        <w:instrText xml:space="preserve"> PAGEREF _Toc18428 \h </w:instrText>
      </w:r>
      <w:r>
        <w:rPr>
          <w:sz w:val="24"/>
          <w:szCs w:val="24"/>
        </w:rPr>
        <w:fldChar w:fldCharType="separate"/>
      </w:r>
      <w:r>
        <w:rPr>
          <w:sz w:val="24"/>
          <w:szCs w:val="24"/>
        </w:rPr>
        <w:t>9</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三、无效谈判</w:t>
      </w:r>
      <w:r>
        <w:rPr>
          <w:sz w:val="24"/>
          <w:szCs w:val="24"/>
        </w:rPr>
        <w:tab/>
      </w:r>
      <w:r>
        <w:rPr>
          <w:sz w:val="24"/>
          <w:szCs w:val="24"/>
        </w:rPr>
        <w:fldChar w:fldCharType="begin"/>
      </w:r>
      <w:r>
        <w:rPr>
          <w:sz w:val="24"/>
          <w:szCs w:val="24"/>
        </w:rPr>
        <w:instrText xml:space="preserve"> PAGEREF _Toc779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四、采购终止</w:t>
      </w:r>
      <w:r>
        <w:rPr>
          <w:sz w:val="24"/>
          <w:szCs w:val="24"/>
        </w:rPr>
        <w:tab/>
      </w:r>
      <w:r>
        <w:rPr>
          <w:sz w:val="24"/>
          <w:szCs w:val="24"/>
        </w:rPr>
        <w:fldChar w:fldCharType="begin"/>
      </w:r>
      <w:r>
        <w:rPr>
          <w:sz w:val="24"/>
          <w:szCs w:val="24"/>
        </w:rPr>
        <w:instrText xml:space="preserve"> PAGEREF _Toc16495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_Toc14526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 xml:space="preserve">第五篇  </w:t>
      </w:r>
      <w:r>
        <w:rPr>
          <w:rFonts w:hint="eastAsia" w:ascii="方正小标宋_GBK" w:eastAsia="方正小标宋_GBK"/>
          <w:sz w:val="24"/>
          <w:szCs w:val="24"/>
          <w:lang w:eastAsia="zh-CN"/>
        </w:rPr>
        <w:t>投标人</w:t>
      </w:r>
      <w:r>
        <w:rPr>
          <w:rFonts w:hint="eastAsia" w:ascii="方正小标宋_GBK" w:eastAsia="方正小标宋_GBK"/>
          <w:sz w:val="24"/>
          <w:szCs w:val="24"/>
        </w:rPr>
        <w:t>须知</w:t>
      </w:r>
      <w:r>
        <w:rPr>
          <w:sz w:val="24"/>
          <w:szCs w:val="24"/>
        </w:rPr>
        <w:tab/>
      </w:r>
      <w:r>
        <w:rPr>
          <w:sz w:val="24"/>
          <w:szCs w:val="24"/>
        </w:rPr>
        <w:fldChar w:fldCharType="begin"/>
      </w:r>
      <w:r>
        <w:rPr>
          <w:sz w:val="24"/>
          <w:szCs w:val="24"/>
        </w:rPr>
        <w:instrText xml:space="preserve"> PAGEREF _Toc14526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一、谈判费用</w:t>
      </w:r>
      <w:r>
        <w:rPr>
          <w:sz w:val="24"/>
          <w:szCs w:val="24"/>
        </w:rPr>
        <w:tab/>
      </w:r>
      <w:r>
        <w:rPr>
          <w:sz w:val="24"/>
          <w:szCs w:val="24"/>
        </w:rPr>
        <w:fldChar w:fldCharType="begin"/>
      </w:r>
      <w:r>
        <w:rPr>
          <w:sz w:val="24"/>
          <w:szCs w:val="24"/>
        </w:rPr>
        <w:instrText xml:space="preserve"> PAGEREF _Toc2508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_Toc18014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二、竞争性谈判文件</w:t>
      </w:r>
      <w:r>
        <w:rPr>
          <w:sz w:val="24"/>
          <w:szCs w:val="24"/>
        </w:rPr>
        <w:tab/>
      </w:r>
      <w:r>
        <w:rPr>
          <w:sz w:val="24"/>
          <w:szCs w:val="24"/>
        </w:rPr>
        <w:fldChar w:fldCharType="begin"/>
      </w:r>
      <w:r>
        <w:rPr>
          <w:sz w:val="24"/>
          <w:szCs w:val="24"/>
        </w:rPr>
        <w:instrText xml:space="preserve"> PAGEREF _Toc18014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_Toc10338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三、谈判要求</w:t>
      </w:r>
      <w:r>
        <w:rPr>
          <w:sz w:val="24"/>
          <w:szCs w:val="24"/>
        </w:rPr>
        <w:tab/>
      </w:r>
      <w:r>
        <w:rPr>
          <w:sz w:val="24"/>
          <w:szCs w:val="24"/>
        </w:rPr>
        <w:fldChar w:fldCharType="begin"/>
      </w:r>
      <w:r>
        <w:rPr>
          <w:sz w:val="24"/>
          <w:szCs w:val="24"/>
        </w:rPr>
        <w:instrText xml:space="preserve"> PAGEREF _Toc10338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的确定和变更</w:t>
      </w:r>
      <w:r>
        <w:rPr>
          <w:sz w:val="24"/>
          <w:szCs w:val="24"/>
        </w:rPr>
        <w:tab/>
      </w:r>
      <w:r>
        <w:rPr>
          <w:sz w:val="24"/>
          <w:szCs w:val="24"/>
        </w:rPr>
        <w:fldChar w:fldCharType="begin"/>
      </w:r>
      <w:r>
        <w:rPr>
          <w:sz w:val="24"/>
          <w:szCs w:val="24"/>
        </w:rPr>
        <w:instrText xml:space="preserve"> PAGEREF _Toc1627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_Toc16083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_Toc16083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_Toc17142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_Toc17142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_Toc32729 \h </w:instrText>
      </w:r>
      <w:r>
        <w:rPr>
          <w:sz w:val="24"/>
          <w:szCs w:val="24"/>
        </w:rPr>
        <w:fldChar w:fldCharType="separate"/>
      </w:r>
      <w:r>
        <w:rPr>
          <w:sz w:val="24"/>
          <w:szCs w:val="24"/>
        </w:rPr>
        <w:t>14</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_Toc14203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w:t>
      </w:r>
      <w:r>
        <w:rPr>
          <w:rFonts w:hint="eastAsia" w:ascii="方正小标宋_GBK" w:eastAsia="方正小标宋_GBK"/>
          <w:sz w:val="24"/>
          <w:szCs w:val="24"/>
          <w:lang w:val="en-US" w:eastAsia="zh-CN"/>
        </w:rPr>
        <w:t>六</w:t>
      </w:r>
      <w:r>
        <w:rPr>
          <w:rFonts w:hint="eastAsia" w:ascii="方正小标宋_GBK" w:eastAsia="方正小标宋_GBK"/>
          <w:sz w:val="24"/>
          <w:szCs w:val="24"/>
        </w:rPr>
        <w:t>篇  响应文件格式要求</w:t>
      </w:r>
      <w:r>
        <w:rPr>
          <w:sz w:val="24"/>
          <w:szCs w:val="24"/>
        </w:rPr>
        <w:tab/>
      </w:r>
      <w:r>
        <w:rPr>
          <w:sz w:val="24"/>
          <w:szCs w:val="24"/>
        </w:rPr>
        <w:fldChar w:fldCharType="begin"/>
      </w:r>
      <w:r>
        <w:rPr>
          <w:sz w:val="24"/>
          <w:szCs w:val="24"/>
        </w:rPr>
        <w:instrText xml:space="preserve"> PAGEREF _Toc14203 \h </w:instrText>
      </w:r>
      <w:r>
        <w:rPr>
          <w:sz w:val="24"/>
          <w:szCs w:val="24"/>
        </w:rPr>
        <w:fldChar w:fldCharType="separate"/>
      </w:r>
      <w:r>
        <w:rPr>
          <w:sz w:val="24"/>
          <w:szCs w:val="24"/>
        </w:rPr>
        <w:t>15</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_Toc10023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_Toc10023 \h </w:instrText>
      </w:r>
      <w:r>
        <w:rPr>
          <w:sz w:val="24"/>
          <w:szCs w:val="24"/>
        </w:rPr>
        <w:fldChar w:fldCharType="separate"/>
      </w:r>
      <w:r>
        <w:rPr>
          <w:sz w:val="24"/>
          <w:szCs w:val="24"/>
        </w:rPr>
        <w:t>17</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_Toc31312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二、技术（质量）部分</w:t>
      </w:r>
      <w:r>
        <w:rPr>
          <w:sz w:val="24"/>
          <w:szCs w:val="24"/>
        </w:rPr>
        <w:tab/>
      </w:r>
      <w:r>
        <w:rPr>
          <w:sz w:val="24"/>
          <w:szCs w:val="24"/>
        </w:rPr>
        <w:fldChar w:fldCharType="begin"/>
      </w:r>
      <w:r>
        <w:rPr>
          <w:sz w:val="24"/>
          <w:szCs w:val="24"/>
        </w:rPr>
        <w:instrText xml:space="preserve"> PAGEREF _Toc31312 \h </w:instrText>
      </w:r>
      <w:r>
        <w:rPr>
          <w:sz w:val="24"/>
          <w:szCs w:val="24"/>
        </w:rPr>
        <w:fldChar w:fldCharType="separate"/>
      </w:r>
      <w:r>
        <w:rPr>
          <w:sz w:val="24"/>
          <w:szCs w:val="24"/>
        </w:rPr>
        <w:t>20</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_Toc26038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_Toc26038 \h </w:instrText>
      </w:r>
      <w:r>
        <w:rPr>
          <w:sz w:val="24"/>
          <w:szCs w:val="24"/>
        </w:rPr>
        <w:fldChar w:fldCharType="separate"/>
      </w:r>
      <w:r>
        <w:rPr>
          <w:sz w:val="24"/>
          <w:szCs w:val="24"/>
        </w:rPr>
        <w:t>22</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_Toc6614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四、资格条件及其他</w:t>
      </w:r>
      <w:r>
        <w:rPr>
          <w:sz w:val="24"/>
          <w:szCs w:val="24"/>
        </w:rPr>
        <w:tab/>
      </w:r>
      <w:r>
        <w:rPr>
          <w:sz w:val="24"/>
          <w:szCs w:val="24"/>
        </w:rPr>
        <w:fldChar w:fldCharType="begin"/>
      </w:r>
      <w:r>
        <w:rPr>
          <w:sz w:val="24"/>
          <w:szCs w:val="24"/>
        </w:rPr>
        <w:instrText xml:space="preserve"> PAGEREF _Toc6614 \h </w:instrText>
      </w:r>
      <w:r>
        <w:rPr>
          <w:sz w:val="24"/>
          <w:szCs w:val="24"/>
        </w:rPr>
        <w:fldChar w:fldCharType="separate"/>
      </w:r>
      <w:r>
        <w:rPr>
          <w:sz w:val="24"/>
          <w:szCs w:val="24"/>
        </w:rPr>
        <w:t>24</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_Toc23859 \h </w:instrText>
      </w:r>
      <w:r>
        <w:rPr>
          <w:sz w:val="24"/>
          <w:szCs w:val="24"/>
        </w:rPr>
        <w:fldChar w:fldCharType="separate"/>
      </w:r>
      <w:r>
        <w:rPr>
          <w:sz w:val="24"/>
          <w:szCs w:val="24"/>
        </w:rPr>
        <w:t>30</w:t>
      </w:r>
      <w:r>
        <w:rPr>
          <w:sz w:val="24"/>
          <w:szCs w:val="24"/>
        </w:rPr>
        <w:fldChar w:fldCharType="end"/>
      </w:r>
      <w:r>
        <w:rPr>
          <w:rFonts w:hint="eastAsia" w:ascii="方正仿宋_GBK" w:hAnsi="宋体" w:eastAsia="方正仿宋_GBK"/>
          <w:sz w:val="24"/>
          <w:szCs w:val="24"/>
        </w:rPr>
        <w:fldChar w:fldCharType="end"/>
      </w:r>
    </w:p>
    <w:p>
      <w:pPr>
        <w:pStyle w:val="47"/>
        <w:tabs>
          <w:tab w:val="right" w:leader="dot" w:pos="9402"/>
        </w:tabs>
        <w:spacing w:line="480" w:lineRule="exact"/>
        <w:ind w:left="560"/>
        <w:rPr>
          <w:rFonts w:ascii="方正仿宋_GBK" w:hAnsi="Calibri" w:eastAsia="方正仿宋_GBK"/>
          <w:sz w:val="18"/>
          <w:szCs w:val="22"/>
        </w:rPr>
        <w:sectPr>
          <w:footerReference r:id="rId7" w:type="default"/>
          <w:pgSz w:w="11907" w:h="16840"/>
          <w:pgMar w:top="1134" w:right="1191" w:bottom="1134" w:left="1304" w:header="851" w:footer="992" w:gutter="0"/>
          <w:pgNumType w:fmt="decimal" w:start="1"/>
          <w:cols w:space="720" w:num="1"/>
          <w:docGrid w:linePitch="381" w:charSpace="-5735"/>
        </w:sectPr>
      </w:pPr>
      <w:r>
        <w:rPr>
          <w:rFonts w:hint="eastAsia" w:ascii="方正仿宋_GBK" w:hAnsi="宋体" w:eastAsia="方正仿宋_GBK"/>
          <w:sz w:val="24"/>
          <w:szCs w:val="24"/>
        </w:rPr>
        <w:fldChar w:fldCharType="end"/>
      </w:r>
    </w:p>
    <w:p>
      <w:pPr>
        <w:pStyle w:val="5"/>
        <w:spacing w:before="200" w:after="200" w:line="240" w:lineRule="auto"/>
        <w:jc w:val="center"/>
        <w:rPr>
          <w:rFonts w:hint="eastAsia" w:ascii="方正仿宋_GBK" w:hAnsi="Times New Roman" w:eastAsia="方正仿宋_GBK" w:cs="Times New Roman"/>
          <w:b/>
          <w:sz w:val="44"/>
          <w:szCs w:val="20"/>
          <w:lang w:val="en-US" w:eastAsia="zh-CN"/>
        </w:rPr>
      </w:pPr>
      <w:bookmarkStart w:id="0" w:name="_Toc12789052"/>
      <w:bookmarkStart w:id="1" w:name="_Toc11641050"/>
      <w:bookmarkStart w:id="2" w:name="_Toc24173"/>
      <w:bookmarkStart w:id="3" w:name="_Toc15726"/>
      <w:bookmarkStart w:id="4" w:name="_Toc65660329"/>
      <w:bookmarkStart w:id="5" w:name="_Toc24410"/>
      <w:r>
        <w:rPr>
          <w:rFonts w:hint="eastAsia" w:ascii="方正仿宋_GBK" w:hAnsi="Times New Roman" w:eastAsia="方正仿宋_GBK" w:cs="Times New Roman"/>
          <w:b/>
          <w:sz w:val="44"/>
          <w:szCs w:val="20"/>
          <w:lang w:val="en-US" w:eastAsia="zh-CN"/>
        </w:rPr>
        <w:t>第一篇  竞争性谈判邀请书</w:t>
      </w:r>
      <w:bookmarkEnd w:id="0"/>
      <w:bookmarkEnd w:id="1"/>
      <w:bookmarkEnd w:id="2"/>
      <w:bookmarkEnd w:id="3"/>
      <w:bookmarkEnd w:id="4"/>
      <w:bookmarkEnd w:id="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sz w:val="24"/>
          <w:szCs w:val="24"/>
          <w:u w:val="single"/>
          <w:lang w:val="en-US" w:eastAsia="zh-CN"/>
        </w:rPr>
        <w:t>渝中院区瓶装医用气体采购</w:t>
      </w:r>
      <w:r>
        <w:rPr>
          <w:rFonts w:hint="eastAsia" w:ascii="方正仿宋_GBK" w:hAnsi="宋体" w:eastAsia="方正仿宋_GBK"/>
          <w:sz w:val="24"/>
          <w:szCs w:val="24"/>
        </w:rPr>
        <w:t>项目进行竞争性谈判采购。欢迎有资格的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前来参加谈判。</w:t>
      </w:r>
    </w:p>
    <w:p>
      <w:pPr>
        <w:pStyle w:val="5"/>
        <w:adjustRightInd w:val="0"/>
        <w:snapToGrid w:val="0"/>
        <w:spacing w:before="0" w:after="0" w:line="400" w:lineRule="exact"/>
        <w:ind w:firstLine="482" w:firstLineChars="200"/>
        <w:rPr>
          <w:rFonts w:ascii="方正仿宋_GBK" w:hAnsi="宋体" w:eastAsia="方正仿宋_GBK"/>
          <w:sz w:val="24"/>
        </w:rPr>
      </w:pPr>
      <w:bookmarkStart w:id="6" w:name="_Toc317775175"/>
      <w:bookmarkStart w:id="7" w:name="_Toc65660330"/>
      <w:bookmarkStart w:id="8" w:name="_Toc313893526"/>
      <w:bookmarkStart w:id="9" w:name="_Toc7758"/>
      <w:bookmarkStart w:id="10" w:name="_Toc12224"/>
      <w:bookmarkStart w:id="11" w:name="_Toc18246"/>
      <w:r>
        <w:rPr>
          <w:rFonts w:hint="eastAsia" w:ascii="方正仿宋_GBK" w:hAnsi="宋体" w:eastAsia="方正仿宋_GBK"/>
          <w:sz w:val="24"/>
        </w:rPr>
        <w:t>一、竞争性谈判内容</w:t>
      </w:r>
      <w:bookmarkEnd w:id="6"/>
      <w:bookmarkEnd w:id="7"/>
      <w:bookmarkEnd w:id="8"/>
      <w:bookmarkEnd w:id="9"/>
      <w:bookmarkEnd w:id="10"/>
      <w:bookmarkEnd w:id="11"/>
    </w:p>
    <w:tbl>
      <w:tblPr>
        <w:tblStyle w:val="59"/>
        <w:tblW w:w="43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9"/>
        <w:gridCol w:w="2460"/>
        <w:gridCol w:w="1382"/>
        <w:gridCol w:w="1218"/>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1" w:type="pct"/>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项目编号</w:t>
            </w:r>
          </w:p>
        </w:tc>
        <w:tc>
          <w:tcPr>
            <w:tcW w:w="1472"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项目</w:t>
            </w:r>
            <w:r>
              <w:rPr>
                <w:rFonts w:hint="eastAsia" w:ascii="方正仿宋_GBK" w:hAnsi="宋体" w:eastAsia="方正仿宋_GBK" w:cs="宋体"/>
                <w:b/>
                <w:bCs/>
                <w:kern w:val="0"/>
                <w:sz w:val="21"/>
                <w:szCs w:val="24"/>
              </w:rPr>
              <w:t>名称</w:t>
            </w:r>
          </w:p>
        </w:tc>
        <w:tc>
          <w:tcPr>
            <w:tcW w:w="827"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w:t>
            </w:r>
          </w:p>
        </w:tc>
        <w:tc>
          <w:tcPr>
            <w:tcW w:w="729"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8" w:type="pct"/>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21"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1"/>
                <w:lang w:val="en-US" w:eastAsia="zh-CN"/>
              </w:rPr>
            </w:pPr>
            <w:bookmarkStart w:id="12" w:name="_Hlk344477914"/>
            <w:r>
              <w:rPr>
                <w:rFonts w:hint="eastAsia" w:ascii="方正仿宋_GBK" w:hAnsi="宋体" w:eastAsia="方正仿宋_GBK" w:cs="宋体"/>
                <w:kern w:val="0"/>
                <w:sz w:val="21"/>
                <w:szCs w:val="21"/>
                <w:lang w:val="en-US" w:eastAsia="zh-CN"/>
              </w:rPr>
              <w:t>YHQ230207</w:t>
            </w:r>
          </w:p>
        </w:tc>
        <w:tc>
          <w:tcPr>
            <w:tcW w:w="147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渝中院区瓶装医用气体采购</w:t>
            </w:r>
          </w:p>
        </w:tc>
        <w:tc>
          <w:tcPr>
            <w:tcW w:w="827" w:type="pct"/>
            <w:tcBorders>
              <w:top w:val="single" w:color="auto" w:sz="4" w:space="0"/>
              <w:left w:val="single" w:color="auto" w:sz="4" w:space="0"/>
              <w:bottom w:val="single" w:color="auto" w:sz="4" w:space="0"/>
              <w:right w:val="single" w:color="auto" w:sz="4" w:space="0"/>
            </w:tcBorders>
            <w:noWrap w:val="0"/>
            <w:vAlign w:val="center"/>
          </w:tcPr>
          <w:p>
            <w:pPr>
              <w:jc w:val="left"/>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详见《第二篇 技术（质量）需求》</w:t>
            </w:r>
          </w:p>
        </w:tc>
        <w:tc>
          <w:tcPr>
            <w:tcW w:w="729"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bookmarkEnd w:id="12"/>
    </w:tbl>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3" w:name="_Toc65660332"/>
      <w:bookmarkStart w:id="14" w:name="_Toc18548"/>
      <w:bookmarkStart w:id="15" w:name="_Toc64731996"/>
      <w:bookmarkStart w:id="16" w:name="_Toc13541"/>
      <w:bookmarkStart w:id="17" w:name="_Toc6697"/>
      <w:bookmarkStart w:id="18" w:name="_Toc373860293"/>
      <w:bookmarkStart w:id="19" w:name="_Toc317775178"/>
      <w:r>
        <w:rPr>
          <w:rFonts w:hint="eastAsia" w:ascii="方正仿宋_GBK" w:hAnsi="宋体" w:eastAsia="方正仿宋_GBK"/>
          <w:sz w:val="24"/>
          <w:lang w:val="en-US" w:eastAsia="zh-CN"/>
        </w:rPr>
        <w:t>二</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资格条件</w:t>
      </w:r>
      <w:bookmarkEnd w:id="13"/>
      <w:bookmarkEnd w:id="14"/>
      <w:bookmarkEnd w:id="15"/>
      <w:bookmarkEnd w:id="16"/>
      <w:bookmarkEnd w:id="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pStyle w:val="241"/>
        <w:widowControl w:val="0"/>
        <w:numPr>
          <w:ilvl w:val="0"/>
          <w:numId w:val="0"/>
        </w:numPr>
        <w:spacing w:line="400" w:lineRule="exact"/>
        <w:ind w:left="420" w:leftChars="0"/>
        <w:jc w:val="both"/>
        <w:rPr>
          <w:rFonts w:asciiTheme="minorEastAsia" w:hAnsiTheme="minorEastAsia" w:eastAsiaTheme="minorEastAsia"/>
          <w:sz w:val="21"/>
          <w:szCs w:val="21"/>
        </w:rPr>
      </w:pPr>
      <w:r>
        <w:rPr>
          <w:rFonts w:hint="eastAsia" w:ascii="方正仿宋_GBK" w:hAnsi="宋体" w:eastAsia="方正仿宋_GBK"/>
          <w:sz w:val="24"/>
          <w:szCs w:val="24"/>
        </w:rPr>
        <w:t>（二）本项目的特定资格要求：</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1.投标人营业执照应包含医用氧气生产或经营；</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2.投标人在重庆主城或范围内有分公司或办事处；</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3.投标人销售的氧气产品获得中华人民共和国药品GMP认证（提供证件复印件并加盖公章）；</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4.投标人销售的氧气产品获得中华人民共和国药品生产许可证（提供证件复印件并加盖公章）；</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5.投标人提供的运输车辆需获得中华人民共和国道路运输经营许可证（提供证件复印件并加盖公章）。</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6.投标人销售的气体产品生产厂家需具有质量技术监督局颁发的气瓶充装许可证（提供证件复印件并加盖公章）。</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20" w:name="_Toc1386"/>
      <w:bookmarkStart w:id="21" w:name="_Toc8977"/>
      <w:bookmarkStart w:id="22" w:name="_Toc11908"/>
      <w:bookmarkStart w:id="23" w:name="_Toc65660333"/>
      <w:r>
        <w:rPr>
          <w:rFonts w:hint="eastAsia" w:ascii="方正仿宋_GBK" w:hAnsi="宋体" w:eastAsia="方正仿宋_GBK"/>
          <w:sz w:val="24"/>
          <w:lang w:val="en-US" w:eastAsia="zh-CN"/>
        </w:rPr>
        <w:t>三</w:t>
      </w:r>
      <w:r>
        <w:rPr>
          <w:rFonts w:hint="eastAsia" w:ascii="方正仿宋_GBK" w:hAnsi="宋体" w:eastAsia="方正仿宋_GBK"/>
          <w:sz w:val="24"/>
        </w:rPr>
        <w:t>、谈判有关说明</w:t>
      </w:r>
      <w:bookmarkEnd w:id="18"/>
      <w:bookmarkEnd w:id="20"/>
      <w:bookmarkEnd w:id="21"/>
      <w:bookmarkEnd w:id="22"/>
      <w:bookmarkEnd w:id="23"/>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进行注册和报名</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（二）凡有意参加谈判的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下载本项目竞争性谈判文件以及</w:t>
      </w:r>
      <w:r>
        <w:rPr>
          <w:rFonts w:hint="eastAsia" w:ascii="方正仿宋_GBK" w:hAnsi="宋体" w:eastAsia="方正仿宋_GBK"/>
          <w:sz w:val="24"/>
          <w:szCs w:val="24"/>
          <w:lang w:val="en-US" w:eastAsia="zh-CN"/>
        </w:rPr>
        <w:t>其他</w:t>
      </w:r>
      <w:r>
        <w:rPr>
          <w:rFonts w:hint="eastAsia" w:ascii="方正仿宋_GBK" w:hAnsi="宋体" w:eastAsia="方正仿宋_GBK"/>
          <w:sz w:val="24"/>
          <w:szCs w:val="24"/>
        </w:rPr>
        <w:t>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下载与否，均视为已知晓所有谈判实质性要求内容。</w:t>
      </w:r>
    </w:p>
    <w:p>
      <w:pPr>
        <w:spacing w:line="400" w:lineRule="exact"/>
        <w:ind w:firstLine="480" w:firstLineChars="200"/>
        <w:rPr>
          <w:rFonts w:hint="default" w:ascii="方正仿宋_GBK" w:hAnsi="宋体" w:eastAsia="方正仿宋_GBK"/>
          <w:color w:val="FF0000"/>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投标文件后才视为完成项目报名；当投标人的电子版投标文件与现场提交的纸质版投标文件出现内容上的出入时，以提交的纸质版投标文件作为谈判依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）竞争性谈判公告期限</w:t>
      </w:r>
      <w:r>
        <w:rPr>
          <w:rFonts w:hint="eastAsia" w:ascii="方正仿宋_GBK" w:hAnsi="宋体" w:eastAsia="方正仿宋_GBK"/>
          <w:sz w:val="24"/>
          <w:szCs w:val="24"/>
          <w:lang w:val="en-US" w:eastAsia="zh-CN"/>
        </w:rPr>
        <w:t>及报名截止期限</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谈判地点：</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）谈判开始时间：</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keepNext w:val="0"/>
        <w:keepLines w:val="0"/>
        <w:pageBreakBefore w:val="0"/>
        <w:widowControl w:val="0"/>
        <w:tabs>
          <w:tab w:val="left" w:pos="1635"/>
        </w:tabs>
        <w:kinsoku/>
        <w:wordWrap/>
        <w:overflowPunct/>
        <w:topLinePunct w:val="0"/>
        <w:autoSpaceDE/>
        <w:autoSpaceDN/>
        <w:bidi w:val="0"/>
        <w:adjustRightInd/>
        <w:snapToGrid/>
        <w:spacing w:line="400" w:lineRule="atLeast"/>
        <w:ind w:firstLine="480" w:firstLineChars="200"/>
        <w:textAlignment w:val="auto"/>
        <w:outlineLvl w:val="1"/>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以上</w:t>
      </w:r>
      <w:r>
        <w:rPr>
          <w:rFonts w:hint="eastAsia" w:ascii="方正仿宋_GBK" w:hAnsi="宋体" w:eastAsia="方正仿宋_GBK" w:cs="Times New Roman"/>
          <w:sz w:val="24"/>
          <w:szCs w:val="24"/>
          <w:lang w:val="en-US" w:eastAsia="zh-CN"/>
        </w:rPr>
        <w:t>内容若在挂网公示后有所变更，投标人注册手机号码将会收到相关短信通知，请及时查收。</w:t>
      </w:r>
    </w:p>
    <w:bookmarkEnd w:id="19"/>
    <w:p>
      <w:pPr>
        <w:pStyle w:val="5"/>
        <w:adjustRightInd w:val="0"/>
        <w:snapToGrid w:val="0"/>
        <w:spacing w:before="0" w:after="0" w:line="400" w:lineRule="exact"/>
        <w:ind w:firstLine="482" w:firstLineChars="200"/>
        <w:rPr>
          <w:rFonts w:hint="default" w:ascii="方正仿宋_GBK" w:hAnsi="宋体" w:eastAsia="方正仿宋_GBK"/>
          <w:color w:val="C00000"/>
          <w:sz w:val="24"/>
          <w:lang w:val="en-US" w:eastAsia="zh-CN"/>
        </w:rPr>
      </w:pPr>
      <w:bookmarkStart w:id="24" w:name="_Toc65660334"/>
      <w:bookmarkStart w:id="25" w:name="_Toc373860294"/>
      <w:bookmarkStart w:id="26" w:name="_Toc11956"/>
      <w:bookmarkStart w:id="27" w:name="_Toc521053053"/>
      <w:bookmarkStart w:id="28" w:name="_Toc24355"/>
      <w:bookmarkStart w:id="29" w:name="_Toc525047161"/>
      <w:bookmarkStart w:id="30" w:name="_Toc6178"/>
      <w:r>
        <w:rPr>
          <w:rFonts w:hint="eastAsia" w:ascii="方正仿宋_GBK" w:hAnsi="宋体" w:eastAsia="方正仿宋_GBK"/>
          <w:sz w:val="24"/>
          <w:lang w:val="en-US" w:eastAsia="zh-CN"/>
        </w:rPr>
        <w:t>四</w:t>
      </w:r>
      <w:r>
        <w:rPr>
          <w:rFonts w:hint="eastAsia" w:ascii="方正仿宋_GBK" w:hAnsi="宋体" w:eastAsia="方正仿宋_GBK"/>
          <w:sz w:val="24"/>
        </w:rPr>
        <w:t>、保证金</w:t>
      </w:r>
      <w:bookmarkEnd w:id="24"/>
      <w:bookmarkEnd w:id="25"/>
      <w:bookmarkEnd w:id="26"/>
      <w:bookmarkEnd w:id="27"/>
      <w:bookmarkEnd w:id="28"/>
      <w:bookmarkEnd w:id="29"/>
      <w:bookmarkEnd w:id="30"/>
    </w:p>
    <w:p>
      <w:pPr>
        <w:snapToGrid w:val="0"/>
        <w:spacing w:line="400" w:lineRule="exact"/>
        <w:ind w:firstLine="480" w:firstLineChars="200"/>
        <w:outlineLvl w:val="2"/>
        <w:rPr>
          <w:rFonts w:hint="eastAsia" w:ascii="方正仿宋_GBK" w:hAnsi="宋体" w:eastAsia="方正仿宋_GBK"/>
          <w:sz w:val="24"/>
          <w:szCs w:val="24"/>
        </w:rPr>
      </w:pPr>
      <w:r>
        <w:rPr>
          <w:rFonts w:hint="eastAsia" w:ascii="方正仿宋_GBK" w:hAnsi="宋体" w:eastAsia="方正仿宋_GBK"/>
          <w:sz w:val="24"/>
          <w:szCs w:val="24"/>
        </w:rPr>
        <w:t>（一）保证金递交</w:t>
      </w:r>
    </w:p>
    <w:p>
      <w:pPr>
        <w:pStyle w:val="35"/>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应足额交纳保证金（保证金金额详见本篇，一、竞争性谈判内容），并</w:t>
      </w:r>
      <w:r>
        <w:rPr>
          <w:rFonts w:hint="eastAsia" w:ascii="方正仿宋_GBK" w:hAnsi="宋体" w:eastAsia="方正仿宋_GBK"/>
          <w:sz w:val="24"/>
          <w:szCs w:val="24"/>
          <w:lang w:val="en-US" w:eastAsia="zh-CN"/>
        </w:rPr>
        <w:t>通过银行转账的方式直接转入重庆医科大学附属儿童医院对公账户</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（单位：重庆医科大学附属儿童医院，开户行：中国建设银行股份有限公司重庆渝中区观音岩支行，账号：50050101380000000168），并备注项目编号、项目名称（例：YXX220001服务器项目投标保证金）。</w:t>
      </w:r>
    </w:p>
    <w:p>
      <w:pPr>
        <w:pStyle w:val="35"/>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2.保证金须在响应文件上传前缴纳，并上传缴纳凭据至重庆医科大学附属儿童医院电子招投标平台。</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bookmarkStart w:id="31" w:name="_Toc2945"/>
      <w:bookmarkStart w:id="32" w:name="_Toc521053054"/>
      <w:bookmarkStart w:id="33" w:name="_Toc525047162"/>
      <w:bookmarkStart w:id="34" w:name="_Toc4355"/>
      <w:bookmarkStart w:id="35" w:name="_Toc65660335"/>
      <w:bookmarkStart w:id="36" w:name="_Toc479668114"/>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的保证金，在成交通知书发放后45个日历日内退还至项目报名时所填写的投标单位对公账户。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37" w:name="_Toc22784"/>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1"/>
      <w:bookmarkEnd w:id="32"/>
      <w:bookmarkEnd w:id="33"/>
      <w:bookmarkEnd w:id="34"/>
      <w:bookmarkEnd w:id="35"/>
      <w:bookmarkEnd w:id="36"/>
      <w:bookmarkStart w:id="38" w:name="_Toc65660336"/>
      <w:bookmarkStart w:id="39" w:name="_Toc16269"/>
      <w:bookmarkStart w:id="40" w:name="_Toc521053055"/>
      <w:bookmarkStart w:id="41" w:name="_Toc6563"/>
      <w:bookmarkStart w:id="42" w:name="_Toc525047163"/>
      <w:r>
        <w:rPr>
          <w:rFonts w:hint="eastAsia" w:ascii="方正仿宋_GBK" w:hAnsi="宋体" w:eastAsia="方正仿宋_GBK"/>
          <w:sz w:val="24"/>
        </w:rPr>
        <w:t>其它</w:t>
      </w:r>
      <w:bookmarkEnd w:id="37"/>
      <w:bookmarkEnd w:id="38"/>
      <w:bookmarkEnd w:id="39"/>
      <w:bookmarkEnd w:id="40"/>
      <w:bookmarkEnd w:id="41"/>
      <w:bookmarkEnd w:id="42"/>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（一）采购人所作出的一切书面通知、修改、补充说明、答疑等内容，都是采购文件不可分割的组成部分。</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投标人如对本邀标文件有任何实质性疑问，应当以书面形式向采购人提出质疑，并须将该质疑文件纸质版（须加盖提出质疑单位的公章确认）在投标截止时间前送达重庆医科大学附属儿童医院招标办公室，否则即视为完全放弃对本邀标文件的质疑权利。如采购人认为上述质疑有回复必要，将以书面形式将回复内容通知所有投标方。</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（三）投标人应仔细阅读和检查邀标文件的全部内容。如发现缺页或附件不全，应及时提出，以便补齐。如有疑问，请在投标截止日前向招标单位提出，超过此时间规定，招标单位不再受理对于邀标文件的疑问。</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43" w:name="_Toc521053056"/>
      <w:bookmarkStart w:id="44" w:name="_Toc2528"/>
      <w:bookmarkStart w:id="45" w:name="_Toc10415"/>
      <w:bookmarkStart w:id="46" w:name="_Toc65660337"/>
      <w:bookmarkStart w:id="47" w:name="_Toc1733"/>
      <w:bookmarkStart w:id="48" w:name="_Toc525047164"/>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3"/>
      <w:bookmarkEnd w:id="44"/>
      <w:bookmarkEnd w:id="45"/>
      <w:bookmarkEnd w:id="46"/>
      <w:bookmarkEnd w:id="47"/>
      <w:bookmarkEnd w:id="48"/>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邮  箱：zbb63633469@qq.com</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地  址：</w:t>
      </w:r>
      <w:r>
        <w:rPr>
          <w:rFonts w:hint="eastAsia" w:ascii="方正仿宋_GBK" w:hAnsi="宋体" w:eastAsia="方正仿宋_GBK"/>
          <w:color w:val="0000FF"/>
          <w:sz w:val="24"/>
          <w:szCs w:val="24"/>
        </w:rPr>
        <w:t>重庆市</w:t>
      </w:r>
      <w:r>
        <w:rPr>
          <w:rFonts w:hint="eastAsia" w:ascii="方正仿宋_GBK" w:hAnsi="宋体" w:eastAsia="方正仿宋_GBK"/>
          <w:color w:val="0000FF"/>
          <w:sz w:val="24"/>
          <w:szCs w:val="24"/>
          <w:lang w:val="en-US" w:eastAsia="zh-CN"/>
        </w:rPr>
        <w:t>两江新区金渝大道20号重庆医科大学附属儿童医院两江院区科教楼630招标办公室</w:t>
      </w:r>
    </w:p>
    <w:p>
      <w:pPr>
        <w:pStyle w:val="3"/>
        <w:rPr>
          <w:rFonts w:hint="default"/>
          <w:lang w:val="en-US" w:eastAsia="zh-CN"/>
        </w:rPr>
      </w:pPr>
    </w:p>
    <w:p>
      <w:pPr>
        <w:pStyle w:val="5"/>
        <w:spacing w:before="200" w:after="200" w:line="240" w:lineRule="auto"/>
        <w:jc w:val="center"/>
        <w:rPr>
          <w:rFonts w:hint="default" w:ascii="方正仿宋_GBK" w:hAnsi="Times New Roman" w:eastAsia="方正仿宋_GBK" w:cs="Times New Roman"/>
          <w:b/>
          <w:sz w:val="44"/>
          <w:szCs w:val="20"/>
          <w:lang w:val="en-US" w:eastAsia="zh-CN"/>
        </w:rPr>
      </w:pPr>
      <w:bookmarkStart w:id="49" w:name="_Toc25029"/>
      <w:bookmarkStart w:id="50" w:name="_Toc65660338"/>
      <w:bookmarkStart w:id="51" w:name="_Toc14516"/>
      <w:bookmarkStart w:id="52" w:name="_Toc1292"/>
      <w:bookmarkStart w:id="53" w:name="_Toc102227313"/>
      <w:r>
        <w:rPr>
          <w:rFonts w:hint="eastAsia" w:ascii="方正仿宋_GBK" w:hAnsi="Times New Roman" w:eastAsia="方正仿宋_GBK" w:cs="Times New Roman"/>
          <w:b/>
          <w:sz w:val="44"/>
          <w:szCs w:val="20"/>
          <w:lang w:val="en-US" w:eastAsia="zh-CN"/>
        </w:rPr>
        <w:t>第二篇  技术（质量）需求</w:t>
      </w:r>
      <w:bookmarkEnd w:id="49"/>
      <w:bookmarkEnd w:id="50"/>
      <w:bookmarkEnd w:id="51"/>
      <w:bookmarkEnd w:id="52"/>
      <w:r>
        <w:rPr>
          <w:rFonts w:hint="eastAsia" w:ascii="方正仿宋_GBK" w:hAnsi="Times New Roman" w:eastAsia="方正仿宋_GBK" w:cs="Times New Roman"/>
          <w:b/>
          <w:sz w:val="44"/>
          <w:szCs w:val="20"/>
          <w:lang w:val="en-US" w:eastAsia="zh-CN"/>
        </w:rPr>
        <w:tab/>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54" w:name="_Toc24129"/>
      <w:bookmarkStart w:id="55" w:name="_Toc2230"/>
      <w:bookmarkStart w:id="56" w:name="_Toc65660339"/>
      <w:bookmarkStart w:id="57" w:name="_Toc26971"/>
      <w:r>
        <w:rPr>
          <w:rFonts w:hint="eastAsia" w:ascii="方正仿宋_GBK" w:hAnsi="宋体" w:eastAsia="方正仿宋_GBK"/>
          <w:sz w:val="24"/>
        </w:rPr>
        <w:t>一、项目一览表</w:t>
      </w:r>
      <w:bookmarkEnd w:id="54"/>
      <w:bookmarkEnd w:id="55"/>
      <w:bookmarkEnd w:id="56"/>
      <w:bookmarkEnd w:id="57"/>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8"/>
        <w:gridCol w:w="3976"/>
        <w:gridCol w:w="1563"/>
        <w:gridCol w:w="2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3976"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w:t>
            </w:r>
          </w:p>
        </w:tc>
        <w:tc>
          <w:tcPr>
            <w:tcW w:w="1563" w:type="dxa"/>
            <w:noWrap w:val="0"/>
            <w:vAlign w:val="center"/>
          </w:tcPr>
          <w:p>
            <w:pPr>
              <w:jc w:val="center"/>
              <w:rPr>
                <w:rFonts w:hint="default" w:ascii="方正仿宋_GBK" w:hAnsi="宋体" w:eastAsia="方正仿宋_GBK"/>
                <w:b/>
                <w:sz w:val="21"/>
                <w:szCs w:val="21"/>
                <w:lang w:val="en-US" w:eastAsia="zh-CN"/>
              </w:rPr>
            </w:pPr>
            <w:r>
              <w:rPr>
                <w:rFonts w:hint="eastAsia" w:ascii="方正仿宋_GBK" w:hAnsi="宋体" w:eastAsia="方正仿宋_GBK"/>
                <w:b/>
                <w:sz w:val="21"/>
                <w:szCs w:val="21"/>
                <w:lang w:val="en-US" w:eastAsia="zh-CN"/>
              </w:rPr>
              <w:t>合同期限</w:t>
            </w:r>
          </w:p>
        </w:tc>
        <w:tc>
          <w:tcPr>
            <w:tcW w:w="216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5"/>
              <w:spacing w:line="240" w:lineRule="auto"/>
              <w:ind w:lef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976"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瓶装医用气体</w:t>
            </w:r>
          </w:p>
        </w:tc>
        <w:tc>
          <w:tcPr>
            <w:tcW w:w="1563"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三年</w:t>
            </w:r>
          </w:p>
        </w:tc>
        <w:tc>
          <w:tcPr>
            <w:tcW w:w="2168" w:type="dxa"/>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定点采购</w:t>
            </w:r>
          </w:p>
        </w:tc>
      </w:tr>
    </w:tbl>
    <w:p>
      <w:pPr>
        <w:pStyle w:val="5"/>
        <w:adjustRightInd w:val="0"/>
        <w:snapToGrid w:val="0"/>
        <w:spacing w:before="0" w:after="0" w:line="400" w:lineRule="exact"/>
        <w:ind w:firstLine="482" w:firstLineChars="200"/>
        <w:rPr>
          <w:rFonts w:hint="eastAsia" w:ascii="方正仿宋_GBK" w:hAnsi="宋体" w:eastAsia="方正仿宋_GBK"/>
          <w:sz w:val="24"/>
          <w:szCs w:val="24"/>
          <w:lang w:eastAsia="zh-CN"/>
        </w:rPr>
      </w:pPr>
      <w:bookmarkStart w:id="58" w:name="_Toc30195"/>
      <w:bookmarkStart w:id="59" w:name="_Toc4698"/>
      <w:bookmarkStart w:id="60" w:name="_Toc106030872"/>
      <w:bookmarkStart w:id="61" w:name="_Toc22102"/>
      <w:r>
        <w:rPr>
          <w:rFonts w:hint="eastAsia" w:ascii="方正仿宋_GBK" w:hAnsi="宋体" w:eastAsia="方正仿宋_GBK"/>
          <w:sz w:val="24"/>
          <w:szCs w:val="24"/>
        </w:rPr>
        <w:t>二、</w:t>
      </w:r>
      <w:bookmarkEnd w:id="58"/>
      <w:bookmarkEnd w:id="59"/>
      <w:bookmarkEnd w:id="60"/>
      <w:bookmarkEnd w:id="61"/>
      <w:r>
        <w:rPr>
          <w:rFonts w:hint="eastAsia" w:ascii="方正仿宋_GBK" w:hAnsi="宋体" w:eastAsia="方正仿宋_GBK"/>
          <w:sz w:val="24"/>
          <w:szCs w:val="24"/>
          <w:lang w:val="en-US" w:eastAsia="zh-CN"/>
        </w:rPr>
        <w:t>项目范围</w:t>
      </w:r>
    </w:p>
    <w:p>
      <w:pPr>
        <w:spacing w:line="400" w:lineRule="exact"/>
        <w:ind w:firstLine="480" w:firstLineChars="200"/>
        <w:rPr>
          <w:rFonts w:hint="eastAsia" w:ascii="方正仿宋_GBK" w:hAnsi="方正仿宋_GBK" w:eastAsia="方正仿宋_GBK"/>
          <w:sz w:val="24"/>
          <w:lang w:eastAsia="zh-CN"/>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一</w:t>
      </w: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医用气</w:t>
      </w:r>
      <w:r>
        <w:rPr>
          <w:rFonts w:hint="eastAsia" w:ascii="方正仿宋_GBK" w:hAnsi="方正仿宋_GBK" w:eastAsia="方正仿宋_GBK"/>
          <w:sz w:val="24"/>
        </w:rPr>
        <w:t>体产品清单及质量要求（见</w:t>
      </w: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附表-医用气</w:t>
      </w:r>
      <w:r>
        <w:rPr>
          <w:rFonts w:hint="eastAsia" w:ascii="方正仿宋_GBK" w:hAnsi="方正仿宋_GBK" w:eastAsia="方正仿宋_GBK"/>
          <w:sz w:val="24"/>
        </w:rPr>
        <w:t>体产品清单及质量要求</w:t>
      </w:r>
      <w:r>
        <w:rPr>
          <w:rFonts w:hint="eastAsia" w:ascii="方正仿宋_GBK" w:hAnsi="方正仿宋_GBK" w:eastAsia="方正仿宋_GBK"/>
          <w:sz w:val="24"/>
          <w:lang w:eastAsia="zh-CN"/>
        </w:rPr>
        <w:t>》</w:t>
      </w:r>
      <w:r>
        <w:rPr>
          <w:rFonts w:hint="eastAsia" w:ascii="方正仿宋_GBK" w:hAnsi="方正仿宋_GBK" w:eastAsia="方正仿宋_GBK"/>
          <w:sz w:val="24"/>
        </w:rPr>
        <w:t>）</w:t>
      </w:r>
      <w:r>
        <w:rPr>
          <w:rFonts w:hint="eastAsia" w:ascii="方正仿宋_GBK" w:hAnsi="方正仿宋_GBK" w:eastAsia="方正仿宋_GBK"/>
          <w:sz w:val="24"/>
          <w:lang w:eastAsia="zh-CN"/>
        </w:rPr>
        <w:t>。</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二</w:t>
      </w: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投标人应</w:t>
      </w:r>
      <w:r>
        <w:rPr>
          <w:rFonts w:hint="eastAsia" w:ascii="方正仿宋_GBK" w:hAnsi="方正仿宋_GBK" w:eastAsia="方正仿宋_GBK"/>
          <w:sz w:val="24"/>
        </w:rPr>
        <w:t>负责院方各类气瓶的新瓶处理、检验期后的效验等。</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三</w:t>
      </w: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投标人应</w:t>
      </w:r>
      <w:r>
        <w:rPr>
          <w:rFonts w:hint="eastAsia" w:ascii="方正仿宋_GBK" w:hAnsi="方正仿宋_GBK" w:eastAsia="方正仿宋_GBK"/>
          <w:sz w:val="24"/>
        </w:rPr>
        <w:t>负责为院方提供各类气瓶，包含院内应急备用气瓶（汇流排用）</w:t>
      </w: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及</w:t>
      </w:r>
      <w:r>
        <w:rPr>
          <w:rFonts w:hint="eastAsia" w:ascii="方正仿宋_GBK" w:hAnsi="方正仿宋_GBK" w:eastAsia="方正仿宋_GBK"/>
          <w:sz w:val="24"/>
        </w:rPr>
        <w:t>气瓶的维护保养、检测效验等。</w:t>
      </w:r>
    </w:p>
    <w:p>
      <w:pPr>
        <w:widowControl/>
        <w:jc w:val="left"/>
        <w:rPr>
          <w:rFonts w:hint="default" w:ascii="方正仿宋_GBK" w:hAnsi="宋体" w:eastAsia="方正仿宋_GBK"/>
          <w:b/>
          <w:bCs/>
          <w:sz w:val="24"/>
          <w:szCs w:val="24"/>
          <w:u w:val="none"/>
          <w:lang w:val="en-US" w:eastAsia="zh-CN"/>
        </w:rPr>
      </w:pPr>
      <w:r>
        <w:rPr>
          <w:rFonts w:hint="eastAsia" w:ascii="方正仿宋_GBK" w:hAnsi="宋体" w:eastAsia="方正仿宋_GBK"/>
          <w:b/>
          <w:bCs/>
          <w:sz w:val="24"/>
          <w:szCs w:val="24"/>
          <w:u w:val="none"/>
          <w:lang w:val="en-US" w:eastAsia="zh-CN"/>
        </w:rPr>
        <w:t>附表-医用气体产品清单与质量要求</w:t>
      </w:r>
    </w:p>
    <w:tbl>
      <w:tblPr>
        <w:tblStyle w:val="59"/>
        <w:tblW w:w="9633" w:type="dxa"/>
        <w:tblInd w:w="0" w:type="dxa"/>
        <w:tblLayout w:type="fixed"/>
        <w:tblCellMar>
          <w:top w:w="0" w:type="dxa"/>
          <w:left w:w="108" w:type="dxa"/>
          <w:bottom w:w="0" w:type="dxa"/>
          <w:right w:w="108" w:type="dxa"/>
        </w:tblCellMar>
      </w:tblPr>
      <w:tblGrid>
        <w:gridCol w:w="1645"/>
        <w:gridCol w:w="2610"/>
        <w:gridCol w:w="1388"/>
        <w:gridCol w:w="750"/>
        <w:gridCol w:w="1500"/>
        <w:gridCol w:w="1740"/>
      </w:tblGrid>
      <w:tr>
        <w:tblPrEx>
          <w:tblCellMar>
            <w:top w:w="0" w:type="dxa"/>
            <w:left w:w="108" w:type="dxa"/>
            <w:bottom w:w="0" w:type="dxa"/>
            <w:right w:w="108" w:type="dxa"/>
          </w:tblCellMar>
        </w:tblPrEx>
        <w:trPr>
          <w:trHeight w:val="818"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产品名称</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国家标准</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规格（纯度）</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计量单位</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单价</w:t>
            </w:r>
            <w:r>
              <w:rPr>
                <w:rFonts w:hint="eastAsia" w:ascii="微软雅黑" w:hAnsi="微软雅黑" w:eastAsia="微软雅黑" w:cs="微软雅黑"/>
                <w:b/>
                <w:bCs/>
                <w:sz w:val="21"/>
                <w:szCs w:val="21"/>
                <w:lang w:val="en-US" w:eastAsia="zh-CN"/>
              </w:rPr>
              <w:t>限价</w:t>
            </w:r>
          </w:p>
        </w:tc>
        <w:tc>
          <w:tcPr>
            <w:tcW w:w="1740" w:type="dxa"/>
            <w:tcBorders>
              <w:top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预计年用量</w:t>
            </w:r>
          </w:p>
          <w:p>
            <w:pPr>
              <w:jc w:val="center"/>
              <w:rPr>
                <w:rFonts w:hint="default"/>
                <w:lang w:val="en-US" w:eastAsia="zh-CN"/>
              </w:rPr>
            </w:pPr>
            <w:r>
              <w:rPr>
                <w:rFonts w:hint="eastAsia" w:ascii="微软雅黑" w:hAnsi="微软雅黑" w:eastAsia="微软雅黑" w:cs="微软雅黑"/>
                <w:b/>
                <w:bCs/>
                <w:sz w:val="21"/>
                <w:szCs w:val="21"/>
                <w:lang w:val="en-US" w:eastAsia="zh-CN"/>
              </w:rPr>
              <w:t>（瓶）</w:t>
            </w:r>
          </w:p>
        </w:tc>
      </w:tr>
      <w:tr>
        <w:tblPrEx>
          <w:tblCellMar>
            <w:top w:w="0" w:type="dxa"/>
            <w:left w:w="108" w:type="dxa"/>
            <w:bottom w:w="0" w:type="dxa"/>
            <w:right w:w="108" w:type="dxa"/>
          </w:tblCellMar>
        </w:tblPrEx>
        <w:trPr>
          <w:trHeight w:val="680"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30元/瓶</w:t>
            </w:r>
          </w:p>
        </w:tc>
        <w:tc>
          <w:tcPr>
            <w:tcW w:w="1740" w:type="dxa"/>
            <w:tcBorders>
              <w:top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150</w:t>
            </w:r>
          </w:p>
        </w:tc>
      </w:tr>
      <w:tr>
        <w:tblPrEx>
          <w:tblCellMar>
            <w:top w:w="0" w:type="dxa"/>
            <w:left w:w="108" w:type="dxa"/>
            <w:bottom w:w="0" w:type="dxa"/>
            <w:right w:w="108" w:type="dxa"/>
          </w:tblCellMar>
        </w:tblPrEx>
        <w:trPr>
          <w:trHeight w:val="933"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13元/瓶</w:t>
            </w:r>
          </w:p>
        </w:tc>
        <w:tc>
          <w:tcPr>
            <w:tcW w:w="1740" w:type="dxa"/>
            <w:tcBorders>
              <w:top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1421</w:t>
            </w:r>
          </w:p>
        </w:tc>
      </w:tr>
      <w:tr>
        <w:tblPrEx>
          <w:tblCellMar>
            <w:top w:w="0" w:type="dxa"/>
            <w:left w:w="108" w:type="dxa"/>
            <w:bottom w:w="0" w:type="dxa"/>
            <w:right w:w="108" w:type="dxa"/>
          </w:tblCellMar>
        </w:tblPrEx>
        <w:trPr>
          <w:trHeight w:val="933"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22元/瓶</w:t>
            </w:r>
          </w:p>
        </w:tc>
        <w:tc>
          <w:tcPr>
            <w:tcW w:w="1740" w:type="dxa"/>
            <w:tcBorders>
              <w:top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300</w:t>
            </w:r>
          </w:p>
        </w:tc>
      </w:tr>
      <w:tr>
        <w:tblPrEx>
          <w:tblCellMar>
            <w:top w:w="0" w:type="dxa"/>
            <w:left w:w="108" w:type="dxa"/>
            <w:bottom w:w="0" w:type="dxa"/>
            <w:right w:w="108" w:type="dxa"/>
          </w:tblCellMar>
        </w:tblPrEx>
        <w:trPr>
          <w:trHeight w:val="680"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高纯氧（40L）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GB/T14599-2008</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290元/瓶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r>
        <w:tblPrEx>
          <w:tblCellMar>
            <w:top w:w="0" w:type="dxa"/>
            <w:left w:w="108" w:type="dxa"/>
            <w:bottom w:w="0" w:type="dxa"/>
            <w:right w:w="108" w:type="dxa"/>
          </w:tblCellMar>
        </w:tblPrEx>
        <w:trPr>
          <w:trHeight w:val="680"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高纯氮（40L）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≥99.999%</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r>
        <w:tblPrEx>
          <w:tblCellMar>
            <w:top w:w="0" w:type="dxa"/>
            <w:left w:w="108" w:type="dxa"/>
            <w:bottom w:w="0" w:type="dxa"/>
            <w:right w:w="108" w:type="dxa"/>
          </w:tblCellMar>
        </w:tblPrEx>
        <w:trPr>
          <w:trHeight w:val="680"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液氮</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kl</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4000元/kl</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r>
      <w:tr>
        <w:tblPrEx>
          <w:tblCellMar>
            <w:top w:w="0" w:type="dxa"/>
            <w:left w:w="108" w:type="dxa"/>
            <w:bottom w:w="0" w:type="dxa"/>
            <w:right w:w="108" w:type="dxa"/>
          </w:tblCellMar>
        </w:tblPrEx>
        <w:trPr>
          <w:trHeight w:val="680"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纯氩（40L）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GB/T4842-2017</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35元/瓶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180</w:t>
            </w:r>
          </w:p>
        </w:tc>
      </w:tr>
      <w:tr>
        <w:tblPrEx>
          <w:tblCellMar>
            <w:top w:w="0" w:type="dxa"/>
            <w:left w:w="108" w:type="dxa"/>
            <w:bottom w:w="0" w:type="dxa"/>
            <w:right w:w="108" w:type="dxa"/>
          </w:tblCellMar>
        </w:tblPrEx>
        <w:trPr>
          <w:trHeight w:val="731"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二氧化碳     （40L）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GB/T6052-2011</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r>
        <w:tblPrEx>
          <w:tblCellMar>
            <w:top w:w="0" w:type="dxa"/>
            <w:left w:w="108" w:type="dxa"/>
            <w:bottom w:w="0" w:type="dxa"/>
            <w:right w:w="108" w:type="dxa"/>
          </w:tblCellMar>
        </w:tblPrEx>
        <w:trPr>
          <w:trHeight w:val="731"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高纯二氧化碳     （40L）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GB/T23938-2009</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800元/瓶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100</w:t>
            </w:r>
          </w:p>
        </w:tc>
      </w:tr>
      <w:tr>
        <w:tblPrEx>
          <w:tblCellMar>
            <w:top w:w="0" w:type="dxa"/>
            <w:left w:w="108" w:type="dxa"/>
            <w:bottom w:w="0" w:type="dxa"/>
            <w:right w:w="108" w:type="dxa"/>
          </w:tblCellMar>
        </w:tblPrEx>
        <w:trPr>
          <w:trHeight w:val="731"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高纯二氧化碳     （10L）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GB/T23938-2009</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500元/瓶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r>
      <w:tr>
        <w:tblPrEx>
          <w:tblCellMar>
            <w:top w:w="0" w:type="dxa"/>
            <w:left w:w="108" w:type="dxa"/>
            <w:bottom w:w="0" w:type="dxa"/>
            <w:right w:w="108" w:type="dxa"/>
          </w:tblCellMar>
        </w:tblPrEx>
        <w:trPr>
          <w:trHeight w:val="709"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干燥空气（40L）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21%O2+79%N2</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r>
        <w:tblPrEx>
          <w:tblCellMar>
            <w:top w:w="0" w:type="dxa"/>
            <w:left w:w="108" w:type="dxa"/>
            <w:bottom w:w="0" w:type="dxa"/>
            <w:right w:w="108" w:type="dxa"/>
          </w:tblCellMar>
        </w:tblPrEx>
        <w:trPr>
          <w:trHeight w:val="933"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瓶装氮气(40升)</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GB/T3864-2008</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18</w:t>
            </w:r>
            <w:r>
              <w:rPr>
                <w:rFonts w:hint="eastAsia" w:ascii="微软雅黑" w:hAnsi="微软雅黑" w:eastAsia="微软雅黑" w:cs="微软雅黑"/>
                <w:color w:val="000000"/>
                <w:sz w:val="21"/>
                <w:szCs w:val="21"/>
              </w:rPr>
              <w:t>元</w:t>
            </w:r>
            <w:r>
              <w:rPr>
                <w:rFonts w:hint="eastAsia" w:ascii="微软雅黑" w:hAnsi="微软雅黑" w:eastAsia="微软雅黑" w:cs="微软雅黑"/>
                <w:sz w:val="21"/>
                <w:szCs w:val="21"/>
              </w:rPr>
              <w:t>/瓶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50</w:t>
            </w:r>
          </w:p>
        </w:tc>
      </w:tr>
      <w:tr>
        <w:tblPrEx>
          <w:tblCellMar>
            <w:top w:w="0" w:type="dxa"/>
            <w:left w:w="108" w:type="dxa"/>
            <w:bottom w:w="0" w:type="dxa"/>
            <w:right w:w="108" w:type="dxa"/>
          </w:tblCellMar>
        </w:tblPrEx>
        <w:trPr>
          <w:trHeight w:val="680"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纯氮(40升)</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35元/瓶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140</w:t>
            </w:r>
          </w:p>
        </w:tc>
      </w:tr>
      <w:tr>
        <w:tblPrEx>
          <w:tblCellMar>
            <w:top w:w="0" w:type="dxa"/>
            <w:left w:w="108" w:type="dxa"/>
            <w:bottom w:w="0" w:type="dxa"/>
            <w:right w:w="108" w:type="dxa"/>
          </w:tblCellMar>
        </w:tblPrEx>
        <w:trPr>
          <w:trHeight w:val="933"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零级空气（40L）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21%O2+79%N2</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配制原料气纯度≥99.999%</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400元/瓶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r>
      <w:tr>
        <w:tblPrEx>
          <w:tblCellMar>
            <w:top w:w="0" w:type="dxa"/>
            <w:left w:w="108" w:type="dxa"/>
            <w:bottom w:w="0" w:type="dxa"/>
            <w:right w:w="108" w:type="dxa"/>
          </w:tblCellMar>
        </w:tblPrEx>
        <w:trPr>
          <w:trHeight w:val="771"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(7L)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21元/瓶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110</w:t>
            </w:r>
          </w:p>
        </w:tc>
      </w:tr>
      <w:tr>
        <w:tblPrEx>
          <w:tblCellMar>
            <w:top w:w="0" w:type="dxa"/>
            <w:left w:w="108" w:type="dxa"/>
            <w:bottom w:w="0" w:type="dxa"/>
            <w:right w:w="108" w:type="dxa"/>
          </w:tblCellMar>
        </w:tblPrEx>
        <w:trPr>
          <w:trHeight w:val="771"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150</w:t>
            </w:r>
          </w:p>
        </w:tc>
      </w:tr>
      <w:tr>
        <w:tblPrEx>
          <w:tblCellMar>
            <w:top w:w="0" w:type="dxa"/>
            <w:left w:w="108" w:type="dxa"/>
            <w:bottom w:w="0" w:type="dxa"/>
            <w:right w:w="108" w:type="dxa"/>
          </w:tblCellMar>
        </w:tblPrEx>
        <w:trPr>
          <w:trHeight w:val="771" w:hRule="atLeast"/>
        </w:trPr>
        <w:tc>
          <w:tcPr>
            <w:tcW w:w="16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混合气（40L）</w:t>
            </w:r>
          </w:p>
        </w:tc>
        <w:tc>
          <w:tcPr>
            <w:tcW w:w="26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FF0000"/>
                <w:sz w:val="21"/>
                <w:szCs w:val="21"/>
                <w:lang w:eastAsia="zh-CN"/>
              </w:rPr>
            </w:pPr>
            <w:r>
              <w:rPr>
                <w:rFonts w:hint="eastAsia" w:ascii="微软雅黑" w:hAnsi="微软雅黑" w:eastAsia="微软雅黑" w:cs="微软雅黑"/>
                <w:color w:val="FF0000"/>
                <w:sz w:val="21"/>
                <w:szCs w:val="21"/>
                <w:lang w:val="en-US" w:eastAsia="zh-CN"/>
              </w:rPr>
              <w:t>/</w:t>
            </w:r>
          </w:p>
        </w:tc>
        <w:tc>
          <w:tcPr>
            <w:tcW w:w="138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配制原料气纯度O2≥99.5％</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N2≥99.2％</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CO2≥99.5％</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15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150元/瓶</w:t>
            </w:r>
          </w:p>
        </w:tc>
        <w:tc>
          <w:tcPr>
            <w:tcW w:w="17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1421</w:t>
            </w:r>
          </w:p>
        </w:tc>
      </w:tr>
    </w:tbl>
    <w:p>
      <w:pPr>
        <w:snapToGrid w:val="0"/>
        <w:spacing w:line="400" w:lineRule="exact"/>
        <w:jc w:val="both"/>
        <w:rPr>
          <w:rFonts w:hint="eastAsia" w:ascii="微软雅黑" w:hAnsi="微软雅黑" w:eastAsia="微软雅黑" w:cs="微软雅黑"/>
          <w:b w:val="0"/>
          <w:sz w:val="21"/>
          <w:szCs w:val="21"/>
          <w:lang w:val="en-US" w:eastAsia="zh-CN"/>
        </w:rPr>
      </w:pPr>
      <w:r>
        <w:rPr>
          <w:rFonts w:hint="eastAsia" w:ascii="微软雅黑" w:hAnsi="微软雅黑" w:eastAsia="微软雅黑" w:cs="微软雅黑"/>
          <w:b/>
          <w:bCs/>
          <w:sz w:val="21"/>
          <w:szCs w:val="21"/>
          <w:lang w:val="en-US" w:eastAsia="zh-CN"/>
        </w:rPr>
        <w:t>注：预计年用量仅做参考，以实际结算数量为准。</w:t>
      </w:r>
    </w:p>
    <w:p>
      <w:pPr>
        <w:widowControl/>
        <w:ind w:firstLine="482" w:firstLineChars="200"/>
        <w:jc w:val="left"/>
        <w:rPr>
          <w:rFonts w:hint="eastAsia" w:ascii="方正仿宋_GBK" w:hAnsi="宋体" w:eastAsia="方正仿宋_GBK" w:cs="Times New Roman"/>
          <w:b/>
          <w:bCs/>
          <w:sz w:val="24"/>
          <w:szCs w:val="24"/>
          <w:u w:val="none"/>
          <w:lang w:val="en-US" w:eastAsia="zh-CN"/>
        </w:rPr>
      </w:pPr>
    </w:p>
    <w:p>
      <w:pPr>
        <w:widowControl/>
        <w:ind w:firstLine="482" w:firstLineChars="200"/>
        <w:jc w:val="left"/>
        <w:rPr>
          <w:rFonts w:hint="default" w:ascii="方正仿宋_GBK" w:hAnsi="宋体" w:eastAsia="方正仿宋_GBK" w:cs="Times New Roman"/>
          <w:b/>
          <w:bCs/>
          <w:sz w:val="24"/>
          <w:szCs w:val="24"/>
          <w:u w:val="none"/>
          <w:lang w:val="en-US" w:eastAsia="zh-CN"/>
        </w:rPr>
      </w:pPr>
      <w:r>
        <w:rPr>
          <w:rFonts w:hint="eastAsia" w:ascii="方正仿宋_GBK" w:hAnsi="宋体" w:eastAsia="方正仿宋_GBK" w:cs="Times New Roman"/>
          <w:b/>
          <w:bCs/>
          <w:sz w:val="24"/>
          <w:szCs w:val="24"/>
          <w:u w:val="none"/>
          <w:lang w:val="en-US" w:eastAsia="zh-CN"/>
        </w:rPr>
        <w:t>三、项目要求</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lang w:eastAsia="zh-CN"/>
        </w:rPr>
        <w:t>（</w:t>
      </w:r>
      <w:r>
        <w:rPr>
          <w:rFonts w:hint="eastAsia" w:ascii="方正仿宋_GBK" w:hAnsi="方正仿宋_GBK" w:eastAsia="方正仿宋_GBK"/>
          <w:sz w:val="24"/>
          <w:lang w:val="en-US" w:eastAsia="zh-CN"/>
        </w:rPr>
        <w:t>一</w:t>
      </w:r>
      <w:r>
        <w:rPr>
          <w:rFonts w:hint="eastAsia" w:ascii="方正仿宋_GBK" w:hAnsi="方正仿宋_GBK" w:eastAsia="方正仿宋_GBK"/>
          <w:sz w:val="24"/>
          <w:lang w:eastAsia="zh-CN"/>
        </w:rPr>
        <w:t>）</w:t>
      </w:r>
      <w:r>
        <w:rPr>
          <w:rFonts w:hint="eastAsia" w:ascii="方正仿宋_GBK" w:hAnsi="方正仿宋_GBK" w:eastAsia="方正仿宋_GBK"/>
          <w:sz w:val="24"/>
        </w:rPr>
        <w:t>供货要求:</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1</w:t>
      </w:r>
      <w:r>
        <w:rPr>
          <w:rFonts w:hint="eastAsia" w:ascii="方正仿宋_GBK" w:hAnsi="方正仿宋_GBK" w:eastAsia="方正仿宋_GBK"/>
          <w:sz w:val="24"/>
        </w:rPr>
        <w:t>.供货时间：院方提前1天通知</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需货要求。特殊气体院方提前2天通知</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需货要求，供、需双方计划如有变化，双方均应提前24小时与对方取得联系,双方协商保供事宜。</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2.</w:t>
      </w:r>
      <w:r>
        <w:rPr>
          <w:rFonts w:hint="eastAsia" w:ascii="方正仿宋_GBK" w:hAnsi="方正仿宋_GBK" w:eastAsia="方正仿宋_GBK"/>
          <w:sz w:val="24"/>
        </w:rPr>
        <w:t>应急供货：由于院方特殊原因必须要进行紧急供货时，供货方无任何理由必须第一时间采用紧急渠道进行供货，氧气的供货时间不得超过2小时。</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3</w:t>
      </w:r>
      <w:r>
        <w:rPr>
          <w:rFonts w:hint="eastAsia" w:ascii="方正仿宋_GBK" w:hAnsi="方正仿宋_GBK" w:eastAsia="方正仿宋_GBK"/>
          <w:sz w:val="24"/>
        </w:rPr>
        <w:t>.供货方式：</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送货。</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4.</w:t>
      </w:r>
      <w:r>
        <w:rPr>
          <w:rFonts w:hint="eastAsia" w:ascii="方正仿宋_GBK" w:hAnsi="方正仿宋_GBK" w:eastAsia="方正仿宋_GBK"/>
          <w:sz w:val="24"/>
        </w:rPr>
        <w:t>供货地点：渝中区儿童医院渝中院区</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lang w:val="en-US" w:eastAsia="zh-CN"/>
        </w:rPr>
        <w:t>5.</w:t>
      </w:r>
      <w:r>
        <w:rPr>
          <w:rFonts w:hint="eastAsia" w:ascii="方正仿宋_GBK" w:hAnsi="方正仿宋_GBK" w:eastAsia="方正仿宋_GBK"/>
          <w:sz w:val="24"/>
        </w:rPr>
        <w:t>供货质量：</w:t>
      </w:r>
      <w:r>
        <w:rPr>
          <w:rFonts w:hint="eastAsia" w:ascii="方正仿宋_GBK" w:hAnsi="方正仿宋_GBK" w:eastAsia="方正仿宋_GBK"/>
          <w:sz w:val="24"/>
          <w:lang w:eastAsia="zh-CN"/>
        </w:rPr>
        <w:t>投标人</w:t>
      </w:r>
      <w:r>
        <w:rPr>
          <w:rFonts w:hint="eastAsia" w:ascii="方正仿宋_GBK" w:hAnsi="方正仿宋_GBK" w:eastAsia="方正仿宋_GBK"/>
          <w:sz w:val="24"/>
        </w:rPr>
        <w:t>所供气体必须符合国家标准规定，并随产品提供由获取国家主管部门检验资质单位的检验合格证。</w:t>
      </w:r>
    </w:p>
    <w:p>
      <w:pPr>
        <w:widowControl/>
        <w:jc w:val="left"/>
        <w:rPr>
          <w:rFonts w:hint="eastAsia" w:ascii="方正仿宋_GBK" w:hAnsi="宋体" w:eastAsia="方正仿宋_GBK"/>
          <w:b/>
          <w:bCs/>
          <w:sz w:val="24"/>
          <w:szCs w:val="24"/>
          <w:u w:val="none"/>
          <w:lang w:val="en-US" w:eastAsia="zh-CN"/>
        </w:rPr>
      </w:pPr>
    </w:p>
    <w:p>
      <w:pPr>
        <w:snapToGrid w:val="0"/>
        <w:spacing w:line="400" w:lineRule="exact"/>
        <w:jc w:val="center"/>
        <w:rPr>
          <w:rFonts w:hint="eastAsia" w:ascii="方正仿宋_GBK" w:hAnsi="Times New Roman" w:eastAsia="方正仿宋_GBK" w:cs="Times New Roman"/>
          <w:b/>
          <w:sz w:val="44"/>
          <w:szCs w:val="20"/>
          <w:lang w:val="en-US" w:eastAsia="zh-CN"/>
        </w:rPr>
      </w:pPr>
      <w:r>
        <w:rPr>
          <w:rFonts w:ascii="方正小标宋_GBK" w:hAnsi="宋体" w:eastAsia="方正小标宋_GBK"/>
          <w:b w:val="0"/>
          <w:sz w:val="36"/>
          <w:szCs w:val="30"/>
        </w:rPr>
        <w:br w:type="page"/>
      </w:r>
      <w:bookmarkStart w:id="62" w:name="_Toc65660341"/>
      <w:bookmarkStart w:id="63" w:name="_Toc15492"/>
      <w:bookmarkStart w:id="64" w:name="_Toc13356"/>
      <w:bookmarkStart w:id="65" w:name="_Toc16936"/>
      <w:r>
        <w:rPr>
          <w:rFonts w:hint="eastAsia" w:ascii="方正仿宋_GBK" w:hAnsi="Times New Roman" w:eastAsia="方正仿宋_GBK" w:cs="Times New Roman"/>
          <w:b/>
          <w:sz w:val="44"/>
          <w:szCs w:val="20"/>
          <w:lang w:val="en-US" w:eastAsia="zh-CN"/>
        </w:rPr>
        <w:t xml:space="preserve">第三篇  </w:t>
      </w:r>
      <w:bookmarkEnd w:id="53"/>
      <w:bookmarkEnd w:id="62"/>
      <w:bookmarkEnd w:id="63"/>
      <w:bookmarkEnd w:id="64"/>
      <w:r>
        <w:rPr>
          <w:rFonts w:hint="eastAsia" w:ascii="方正仿宋_GBK" w:hAnsi="Times New Roman" w:eastAsia="方正仿宋_GBK" w:cs="Times New Roman"/>
          <w:b/>
          <w:sz w:val="44"/>
          <w:szCs w:val="20"/>
          <w:lang w:val="en-US" w:eastAsia="zh-CN"/>
        </w:rPr>
        <w:t>商务需求</w:t>
      </w:r>
      <w:bookmarkEnd w:id="65"/>
    </w:p>
    <w:tbl>
      <w:tblPr>
        <w:tblStyle w:val="59"/>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kinsoku/>
              <w:wordWrap/>
              <w:overflowPunct/>
              <w:topLinePunct w:val="0"/>
              <w:autoSpaceDE/>
              <w:autoSpaceDN/>
              <w:bidi w:val="0"/>
              <w:adjustRightInd/>
              <w:snapToGrid/>
              <w:spacing w:line="400" w:lineRule="exact"/>
              <w:ind w:firstLine="562" w:firstLineChars="200"/>
              <w:jc w:val="center"/>
              <w:textAlignment w:val="auto"/>
              <w:rPr>
                <w:rFonts w:hint="eastAsia" w:ascii="方正仿宋_GBK" w:hAnsi="宋体" w:eastAsia="方正仿宋_GBK" w:cs="Times New Roman"/>
                <w:sz w:val="24"/>
                <w:szCs w:val="24"/>
                <w:lang w:val="en-US" w:eastAsia="zh-CN"/>
              </w:rPr>
            </w:pPr>
            <w:bookmarkStart w:id="66" w:name="_Toc12935"/>
            <w:bookmarkStart w:id="67" w:name="_Toc13555"/>
            <w:bookmarkStart w:id="68" w:name="_Toc65660342"/>
            <w:bookmarkStart w:id="69" w:name="_Toc342913389"/>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配送时间、配送地点及验收方式</w:t>
            </w:r>
          </w:p>
        </w:tc>
        <w:tc>
          <w:tcPr>
            <w:tcW w:w="4277" w:type="pct"/>
            <w:vAlign w:val="center"/>
          </w:tcPr>
          <w:p>
            <w:pPr>
              <w:pStyle w:val="144"/>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配送时间：</w:t>
            </w:r>
          </w:p>
          <w:p>
            <w:pPr>
              <w:pStyle w:val="144"/>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default"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1.</w:t>
            </w:r>
            <w:r>
              <w:rPr>
                <w:rFonts w:hint="eastAsia" w:ascii="方正仿宋_GBK" w:hAnsi="方正仿宋_GBK" w:eastAsia="方正仿宋_GBK"/>
                <w:sz w:val="24"/>
                <w:lang w:val="en-US" w:eastAsia="zh-CN"/>
              </w:rPr>
              <w:t>采购人</w:t>
            </w:r>
            <w:r>
              <w:rPr>
                <w:rFonts w:hint="eastAsia" w:ascii="方正仿宋_GBK" w:hAnsi="方正仿宋_GBK" w:eastAsia="方正仿宋_GBK"/>
                <w:sz w:val="24"/>
              </w:rPr>
              <w:t>提前</w:t>
            </w:r>
            <w:r>
              <w:rPr>
                <w:rFonts w:hint="eastAsia" w:ascii="方正仿宋_GBK" w:hAnsi="方正仿宋_GBK" w:eastAsia="方正仿宋_GBK"/>
                <w:sz w:val="24"/>
                <w:lang w:val="en-US" w:eastAsia="zh-CN"/>
              </w:rPr>
              <w:t>一</w:t>
            </w:r>
            <w:r>
              <w:rPr>
                <w:rFonts w:hint="eastAsia" w:ascii="方正仿宋_GBK" w:hAnsi="方正仿宋_GBK" w:eastAsia="方正仿宋_GBK"/>
                <w:sz w:val="24"/>
              </w:rPr>
              <w:t>天通知</w:t>
            </w:r>
            <w:r>
              <w:rPr>
                <w:rFonts w:hint="eastAsia" w:ascii="方正仿宋_GBK" w:hAnsi="方正仿宋_GBK" w:eastAsia="方正仿宋_GBK"/>
                <w:sz w:val="24"/>
                <w:lang w:val="en-US" w:eastAsia="zh-CN"/>
              </w:rPr>
              <w:t>交供应商</w:t>
            </w:r>
            <w:r>
              <w:rPr>
                <w:rFonts w:hint="eastAsia" w:ascii="方正仿宋_GBK" w:hAnsi="方正仿宋_GBK" w:eastAsia="方正仿宋_GBK"/>
                <w:sz w:val="24"/>
              </w:rPr>
              <w:t>需货要求。特殊气体</w:t>
            </w:r>
            <w:r>
              <w:rPr>
                <w:rFonts w:hint="eastAsia" w:ascii="方正仿宋_GBK" w:hAnsi="方正仿宋_GBK" w:eastAsia="方正仿宋_GBK"/>
                <w:sz w:val="24"/>
                <w:lang w:val="en-US" w:eastAsia="zh-CN"/>
              </w:rPr>
              <w:t>采购人</w:t>
            </w:r>
            <w:r>
              <w:rPr>
                <w:rFonts w:hint="eastAsia" w:ascii="方正仿宋_GBK" w:hAnsi="方正仿宋_GBK" w:eastAsia="方正仿宋_GBK"/>
                <w:sz w:val="24"/>
              </w:rPr>
              <w:t>提前</w:t>
            </w:r>
            <w:r>
              <w:rPr>
                <w:rFonts w:hint="eastAsia" w:ascii="方正仿宋_GBK" w:hAnsi="方正仿宋_GBK" w:eastAsia="方正仿宋_GBK"/>
                <w:sz w:val="24"/>
                <w:lang w:val="en-US" w:eastAsia="zh-CN"/>
              </w:rPr>
              <w:t>两</w:t>
            </w:r>
            <w:r>
              <w:rPr>
                <w:rFonts w:hint="eastAsia" w:ascii="方正仿宋_GBK" w:hAnsi="方正仿宋_GBK" w:eastAsia="方正仿宋_GBK"/>
                <w:sz w:val="24"/>
              </w:rPr>
              <w:t>天通知</w:t>
            </w:r>
            <w:r>
              <w:rPr>
                <w:rFonts w:hint="eastAsia" w:ascii="方正仿宋_GBK" w:hAnsi="方正仿宋_GBK" w:eastAsia="方正仿宋_GBK"/>
                <w:sz w:val="24"/>
                <w:lang w:val="en-US" w:eastAsia="zh-CN"/>
              </w:rPr>
              <w:t>成交供应商</w:t>
            </w:r>
            <w:r>
              <w:rPr>
                <w:rFonts w:hint="eastAsia" w:ascii="方正仿宋_GBK" w:hAnsi="方正仿宋_GBK" w:eastAsia="方正仿宋_GBK"/>
                <w:sz w:val="24"/>
              </w:rPr>
              <w:t>需货要求，双方计划如有变化，均应提前24小时与对方取得联系,双方协商保供事宜。</w:t>
            </w:r>
          </w:p>
          <w:p>
            <w:pPr>
              <w:pStyle w:val="144"/>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default"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2.</w:t>
            </w:r>
            <w:r>
              <w:rPr>
                <w:rFonts w:hint="eastAsia" w:ascii="方正仿宋_GBK" w:hAnsi="方正仿宋_GBK" w:eastAsia="方正仿宋_GBK"/>
                <w:sz w:val="24"/>
              </w:rPr>
              <w:t>由于</w:t>
            </w:r>
            <w:r>
              <w:rPr>
                <w:rFonts w:hint="eastAsia" w:ascii="方正仿宋_GBK" w:hAnsi="方正仿宋_GBK" w:eastAsia="方正仿宋_GBK"/>
                <w:sz w:val="24"/>
                <w:lang w:val="en-US" w:eastAsia="zh-CN"/>
              </w:rPr>
              <w:t>采购人</w:t>
            </w:r>
            <w:r>
              <w:rPr>
                <w:rFonts w:hint="eastAsia" w:ascii="方正仿宋_GBK" w:hAnsi="方正仿宋_GBK" w:eastAsia="方正仿宋_GBK"/>
                <w:sz w:val="24"/>
              </w:rPr>
              <w:t>特殊原因必须要进行紧急供货时，</w:t>
            </w:r>
            <w:r>
              <w:rPr>
                <w:rFonts w:hint="eastAsia" w:ascii="方正仿宋_GBK" w:hAnsi="方正仿宋_GBK" w:eastAsia="方正仿宋_GBK"/>
                <w:sz w:val="24"/>
                <w:lang w:val="en-US" w:eastAsia="zh-CN"/>
              </w:rPr>
              <w:t>成交供应商</w:t>
            </w:r>
            <w:r>
              <w:rPr>
                <w:rFonts w:hint="eastAsia" w:ascii="方正仿宋_GBK" w:hAnsi="方正仿宋_GBK" w:eastAsia="方正仿宋_GBK"/>
                <w:sz w:val="24"/>
              </w:rPr>
              <w:t>须第一时间采用紧急渠道进行供货，氧气的供货时间不得超过2小时。</w:t>
            </w:r>
          </w:p>
          <w:p>
            <w:pPr>
              <w:pStyle w:val="144"/>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default"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b w:val="0"/>
                <w:bCs w:val="0"/>
                <w:color w:val="333333"/>
                <w:kern w:val="2"/>
                <w:sz w:val="24"/>
                <w:szCs w:val="24"/>
                <w:lang w:val="en-US" w:eastAsia="zh-CN" w:bidi="ar-SA"/>
              </w:rPr>
              <w:t>配送地点：重庆医科大学附属儿童医院渝中院区</w:t>
            </w:r>
          </w:p>
          <w:p>
            <w:pPr>
              <w:pStyle w:val="241"/>
              <w:widowControl w:val="0"/>
              <w:numPr>
                <w:ilvl w:val="0"/>
                <w:numId w:val="0"/>
              </w:numPr>
              <w:spacing w:line="240" w:lineRule="auto"/>
              <w:ind w:leftChars="0"/>
              <w:jc w:val="left"/>
              <w:rPr>
                <w:rFonts w:hint="default"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b w:val="0"/>
                <w:bCs w:val="0"/>
                <w:color w:val="333333"/>
                <w:kern w:val="2"/>
                <w:sz w:val="24"/>
                <w:szCs w:val="24"/>
                <w:lang w:val="en-US" w:eastAsia="zh-CN" w:bidi="ar-SA"/>
              </w:rPr>
              <w:t>验收方式：</w:t>
            </w:r>
            <w:r>
              <w:rPr>
                <w:rFonts w:hint="eastAsia" w:ascii="方正仿宋_GBK" w:hAnsi="方正仿宋_GBK" w:eastAsia="方正仿宋_GBK"/>
                <w:sz w:val="24"/>
                <w:lang w:val="en-US" w:eastAsia="zh-CN"/>
              </w:rPr>
              <w:t>成交供应商</w:t>
            </w:r>
            <w:r>
              <w:rPr>
                <w:rFonts w:hint="eastAsia" w:ascii="方正仿宋_GBK" w:hAnsi="方正仿宋_GBK" w:eastAsia="方正仿宋_GBK"/>
                <w:sz w:val="24"/>
              </w:rPr>
              <w:t>所供气体必须符合国家标准规定，并随产品提供由获取国家主管部门检验资质单位的检验合格证</w:t>
            </w:r>
            <w:r>
              <w:rPr>
                <w:rFonts w:hint="eastAsia" w:ascii="方正仿宋_GBK" w:hAnsi="方正仿宋_GBK" w:eastAsia="方正仿宋_GBK"/>
                <w:sz w:val="24"/>
                <w:lang w:eastAsia="zh-CN"/>
              </w:rPr>
              <w:t>，</w:t>
            </w:r>
            <w:r>
              <w:rPr>
                <w:rFonts w:hint="eastAsia" w:ascii="方正仿宋_GBK" w:hAnsi="宋体" w:eastAsia="方正仿宋_GBK" w:cs="Times New Roman"/>
                <w:sz w:val="24"/>
                <w:szCs w:val="24"/>
                <w:lang w:val="en-US" w:eastAsia="zh-CN"/>
              </w:rPr>
              <w:t>气体压力不得低于13mpa/cm2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报价要求</w:t>
            </w:r>
          </w:p>
        </w:tc>
        <w:tc>
          <w:tcPr>
            <w:tcW w:w="4277" w:type="pct"/>
            <w:vAlign w:val="center"/>
          </w:tcPr>
          <w:p>
            <w:pPr>
              <w:pStyle w:val="144"/>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rPr>
              <w:t>协商报价须为</w:t>
            </w:r>
            <w:r>
              <w:rPr>
                <w:rFonts w:hint="eastAsia" w:ascii="方正仿宋_GBK" w:hAnsi="宋体" w:eastAsia="方正仿宋_GBK" w:cs="Times New Roman"/>
                <w:sz w:val="24"/>
                <w:szCs w:val="24"/>
                <w:lang w:eastAsia="zh-CN"/>
              </w:rPr>
              <w:t>单价</w:t>
            </w:r>
            <w:r>
              <w:rPr>
                <w:rFonts w:hint="eastAsia" w:ascii="方正仿宋_GBK" w:hAnsi="宋体" w:eastAsia="方正仿宋_GBK" w:cs="Times New Roman"/>
                <w:sz w:val="24"/>
                <w:szCs w:val="24"/>
              </w:rPr>
              <w:t>报价，包括</w:t>
            </w:r>
            <w:r>
              <w:rPr>
                <w:rFonts w:hint="eastAsia" w:ascii="方正仿宋_GBK" w:hAnsi="宋体" w:eastAsia="方正仿宋_GBK" w:cs="Times New Roman"/>
                <w:sz w:val="24"/>
                <w:szCs w:val="24"/>
                <w:lang w:val="en-US" w:eastAsia="zh-CN"/>
              </w:rPr>
              <w:t>但不限于货物、运输、临时贮存及其它履行中标义务而产生的</w:t>
            </w:r>
            <w:r>
              <w:rPr>
                <w:rFonts w:hint="eastAsia" w:ascii="方正仿宋_GBK" w:hAnsi="宋体" w:eastAsia="方正仿宋_GBK" w:cs="Times New Roman"/>
                <w:sz w:val="24"/>
                <w:szCs w:val="24"/>
              </w:rPr>
              <w:t>所有</w:t>
            </w:r>
            <w:r>
              <w:rPr>
                <w:rFonts w:hint="eastAsia" w:ascii="方正仿宋_GBK" w:hAnsi="宋体" w:eastAsia="方正仿宋_GBK" w:cs="Times New Roman"/>
                <w:sz w:val="24"/>
                <w:szCs w:val="24"/>
                <w:lang w:val="en-US" w:eastAsia="zh-CN"/>
              </w:rPr>
              <w:t>费用</w:t>
            </w:r>
            <w:r>
              <w:rPr>
                <w:rFonts w:hint="eastAsia" w:ascii="方正仿宋_GBK" w:hAnsi="宋体" w:eastAsia="方正仿宋_GBK" w:cs="Times New Roman"/>
                <w:sz w:val="24"/>
                <w:szCs w:val="24"/>
              </w:rPr>
              <w:t>。因供应商自身原因造成漏报、少报皆由其自行承担责任，采购人不再补偿。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722" w:type="pct"/>
            <w:vAlign w:val="center"/>
          </w:tcPr>
          <w:p>
            <w:pPr>
              <w:pStyle w:val="32"/>
              <w:jc w:val="center"/>
              <w:rPr>
                <w:rFonts w:hint="eastAsia"/>
                <w:lang w:val="en-US" w:eastAsia="zh-CN"/>
              </w:rPr>
            </w:pPr>
            <w:r>
              <w:rPr>
                <w:rFonts w:hint="eastAsia" w:ascii="方正仿宋_GBK" w:hAnsi="宋体" w:eastAsia="方正仿宋_GBK" w:cs="Times New Roman"/>
                <w:b/>
                <w:bCs/>
                <w:color w:val="333333"/>
                <w:kern w:val="2"/>
                <w:sz w:val="24"/>
                <w:szCs w:val="24"/>
                <w:lang w:val="en-US" w:eastAsia="zh-CN"/>
              </w:rPr>
              <w:t>付款方式</w:t>
            </w:r>
          </w:p>
        </w:tc>
        <w:tc>
          <w:tcPr>
            <w:tcW w:w="4277" w:type="pct"/>
            <w:vAlign w:val="center"/>
          </w:tcPr>
          <w:p>
            <w:pPr>
              <w:pStyle w:val="144"/>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（一）每月结算一次</w:t>
            </w:r>
          </w:p>
          <w:p>
            <w:pPr>
              <w:pStyle w:val="144"/>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default"/>
                <w:lang w:val="en-US" w:eastAsia="zh-CN"/>
              </w:rPr>
            </w:pPr>
            <w:r>
              <w:rPr>
                <w:rFonts w:hint="eastAsia" w:ascii="方正仿宋_GBK" w:hAnsi="宋体" w:eastAsia="方正仿宋_GBK" w:cs="Times New Roman"/>
                <w:sz w:val="24"/>
                <w:szCs w:val="24"/>
                <w:lang w:val="en-US" w:eastAsia="zh-CN"/>
              </w:rPr>
              <w:t>（二）成交供应商每月向采购人开具上月采购费用金额的发票，采购人在收到发票后20个工作日内支付。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144"/>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知识产权</w:t>
            </w:r>
          </w:p>
        </w:tc>
        <w:tc>
          <w:tcPr>
            <w:tcW w:w="4277" w:type="pct"/>
            <w:vAlign w:val="center"/>
          </w:tcPr>
          <w:p>
            <w:pPr>
              <w:pStyle w:val="144"/>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ind w:firstLine="0" w:firstLineChars="0"/>
              <w:jc w:val="center"/>
              <w:rPr>
                <w:rFonts w:hint="eastAsia" w:ascii="方正仿宋_GBK" w:hAnsi="宋体" w:eastAsia="方正仿宋_GBK" w:cs="Times New Roman"/>
                <w:b/>
                <w:bCs/>
                <w:color w:val="333333"/>
                <w:kern w:val="2"/>
                <w:sz w:val="24"/>
                <w:szCs w:val="24"/>
                <w:lang w:val="en-US" w:eastAsia="zh-CN"/>
              </w:rPr>
            </w:pPr>
            <w:r>
              <w:rPr>
                <w:rFonts w:hint="eastAsia" w:ascii="方正仿宋_GBK" w:hAnsi="宋体" w:eastAsia="方正仿宋_GBK" w:cs="Times New Roman"/>
                <w:b/>
                <w:bCs/>
                <w:color w:val="333333"/>
                <w:kern w:val="2"/>
                <w:sz w:val="24"/>
                <w:szCs w:val="24"/>
                <w:lang w:val="en-US" w:eastAsia="zh-CN"/>
              </w:rPr>
              <w:t>其他</w:t>
            </w:r>
          </w:p>
        </w:tc>
        <w:tc>
          <w:tcPr>
            <w:tcW w:w="4277" w:type="pct"/>
            <w:vAlign w:val="center"/>
          </w:tcPr>
          <w:p>
            <w:pPr>
              <w:pStyle w:val="144"/>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rPr>
              <w:t>供应商必须在响应文件中对以上条款和服务承诺明确列出，承诺内容必须达到本篇及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pStyle w:val="144"/>
              <w:spacing w:after="0" w:line="400" w:lineRule="exact"/>
              <w:ind w:firstLine="0" w:firstLineChars="0"/>
              <w:rPr>
                <w:rFonts w:hint="eastAsia" w:ascii="方正仿宋_GBK" w:hAnsi="宋体" w:eastAsia="方正仿宋_GBK" w:cs="Times New Roman"/>
                <w:b w:val="0"/>
                <w:bCs w:val="0"/>
                <w:color w:val="333333"/>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bl>
    <w:p>
      <w:pPr>
        <w:pStyle w:val="5"/>
        <w:adjustRightInd w:val="0"/>
        <w:snapToGrid w:val="0"/>
        <w:spacing w:before="0" w:after="0" w:line="400" w:lineRule="exact"/>
        <w:ind w:firstLine="482" w:firstLineChars="200"/>
        <w:rPr>
          <w:rFonts w:hint="eastAsia" w:ascii="方正仿宋_GBK" w:hAnsi="宋体" w:eastAsia="方正仿宋_GBK"/>
          <w:sz w:val="24"/>
        </w:rPr>
      </w:pPr>
    </w:p>
    <w:bookmarkEnd w:id="66"/>
    <w:bookmarkEnd w:id="67"/>
    <w:bookmarkEnd w:id="68"/>
    <w:p>
      <w:pPr>
        <w:snapToGrid w:val="0"/>
        <w:spacing w:line="400" w:lineRule="exact"/>
        <w:ind w:firstLine="540"/>
        <w:rPr>
          <w:rFonts w:hint="eastAsia" w:ascii="方正仿宋_GBK" w:eastAsia="方正仿宋_GBK"/>
          <w:sz w:val="24"/>
          <w:szCs w:val="24"/>
        </w:rPr>
      </w:pPr>
    </w:p>
    <w:p>
      <w:pPr>
        <w:pStyle w:val="5"/>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仿宋_GBK" w:hAnsi="Times New Roman" w:eastAsia="方正仿宋_GBK" w:cs="Times New Roman"/>
          <w:b/>
          <w:kern w:val="2"/>
          <w:sz w:val="44"/>
          <w:lang w:val="en-US" w:eastAsia="zh-CN" w:bidi="ar-SA"/>
        </w:rPr>
      </w:pPr>
      <w:r>
        <w:rPr>
          <w:rFonts w:ascii="方正小标宋_GBK" w:eastAsia="方正小标宋_GBK"/>
          <w:b w:val="0"/>
          <w:sz w:val="36"/>
          <w:szCs w:val="30"/>
        </w:rPr>
        <w:br w:type="page"/>
      </w:r>
      <w:bookmarkStart w:id="70" w:name="_Toc11306"/>
      <w:bookmarkStart w:id="71" w:name="_Toc65660349"/>
      <w:bookmarkStart w:id="72" w:name="_Toc24195"/>
      <w:bookmarkStart w:id="73" w:name="_Toc16123"/>
      <w:r>
        <w:rPr>
          <w:rFonts w:hint="eastAsia" w:ascii="方正仿宋_GBK" w:hAnsi="Times New Roman" w:eastAsia="方正仿宋_GBK" w:cs="Times New Roman"/>
          <w:b/>
          <w:sz w:val="44"/>
          <w:szCs w:val="20"/>
          <w:lang w:val="en-US" w:eastAsia="zh-CN"/>
        </w:rPr>
        <w:t>第四篇  采购程序、评定成交的标准、无效谈判及采购终止</w:t>
      </w:r>
      <w:bookmarkEnd w:id="70"/>
      <w:bookmarkEnd w:id="71"/>
      <w:bookmarkEnd w:id="72"/>
      <w:bookmarkEnd w:id="73"/>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74" w:name="_Toc64732012"/>
      <w:bookmarkStart w:id="75" w:name="_Toc5167"/>
      <w:bookmarkStart w:id="76" w:name="_Toc65660350"/>
      <w:bookmarkStart w:id="77" w:name="_Toc9361"/>
      <w:bookmarkStart w:id="78" w:name="_Toc8979"/>
      <w:r>
        <w:rPr>
          <w:rFonts w:hint="eastAsia" w:ascii="方正仿宋_GBK" w:hAnsi="宋体" w:eastAsia="方正仿宋_GBK"/>
          <w:sz w:val="24"/>
        </w:rPr>
        <w:t>一、采购程序</w:t>
      </w:r>
      <w:bookmarkEnd w:id="74"/>
      <w:bookmarkEnd w:id="75"/>
      <w:bookmarkEnd w:id="76"/>
      <w:bookmarkEnd w:id="77"/>
      <w:bookmarkEnd w:id="78"/>
    </w:p>
    <w:p>
      <w:pPr>
        <w:pStyle w:val="35"/>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（一）谈判按竞争性谈判文件规定的时间和地点进行。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须有法定代表人（或其授权代表）或自然人参加。</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（二）竞争性谈判以抽签的形式确定谈判顺序，由本项目谈判小组分别与各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进行谈判。在谈判前，对各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的资格条件进行审查。 </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sz w:val="24"/>
          <w:szCs w:val="24"/>
        </w:rPr>
        <w:t>依据法律法规和竞争性谈判文件的规定，对响应文件中的资格证明材料、保证金等进行审查。资格性审查内容如下：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2835"/>
        <w:gridCol w:w="5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544"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5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5267" w:type="dxa"/>
            <w:vMerge w:val="restart"/>
            <w:noWrap w:val="0"/>
            <w:vAlign w:val="center"/>
          </w:tcPr>
          <w:p>
            <w:pPr>
              <w:rPr>
                <w:rFonts w:hint="eastAsia" w:ascii="方正仿宋_GBK" w:hAnsi="仿宋" w:eastAsia="方正仿宋_GBK"/>
                <w:b/>
                <w:sz w:val="21"/>
                <w:szCs w:val="21"/>
              </w:rPr>
            </w:pP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5267" w:type="dxa"/>
            <w:vMerge w:val="continue"/>
            <w:noWrap w:val="0"/>
            <w:vAlign w:val="center"/>
          </w:tcPr>
          <w:p>
            <w:pPr>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5267" w:type="dxa"/>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pPr>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3544" w:type="dxa"/>
            <w:gridSpan w:val="2"/>
            <w:noWrap w:val="0"/>
            <w:vAlign w:val="top"/>
          </w:tcPr>
          <w:p>
            <w:pPr>
              <w:jc w:val="left"/>
              <w:rPr>
                <w:rFonts w:hint="eastAsia" w:ascii="方正仿宋_GBK" w:hAnsi="仿宋" w:eastAsia="方正仿宋_GBK"/>
                <w:sz w:val="21"/>
                <w:szCs w:val="21"/>
              </w:rPr>
            </w:pPr>
            <w:r>
              <w:rPr>
                <w:rFonts w:hint="eastAsia" w:ascii="方正仿宋_GBK" w:hAnsi="仿宋" w:eastAsia="方正仿宋_GBK"/>
                <w:sz w:val="21"/>
                <w:szCs w:val="21"/>
              </w:rPr>
              <w:t>保证金</w:t>
            </w:r>
          </w:p>
        </w:tc>
        <w:tc>
          <w:tcPr>
            <w:tcW w:w="5267" w:type="dxa"/>
            <w:noWrap w:val="0"/>
            <w:vAlign w:val="top"/>
          </w:tcPr>
          <w:p>
            <w:pPr>
              <w:rPr>
                <w:rFonts w:hint="eastAsia" w:ascii="方正仿宋_GBK" w:hAnsi="仿宋" w:eastAsia="方正仿宋_GBK"/>
                <w:sz w:val="21"/>
                <w:szCs w:val="21"/>
              </w:rPr>
            </w:pPr>
            <w:r>
              <w:rPr>
                <w:rFonts w:hint="eastAsia" w:ascii="方正仿宋_GBK" w:hAnsi="仿宋" w:eastAsia="方正仿宋_GBK"/>
                <w:sz w:val="21"/>
                <w:szCs w:val="21"/>
              </w:rPr>
              <w:t>按照竞争性谈判文件要求足额交纳保证金。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（三）谈判小组在对响应文件的有效性、完整性和响应程度进行审查时，可以要求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对响应文件中含义不明确、同类问题表述不一致或者有明显文字和计算错误的内容等作出必要的澄清、说明或者更正。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的澄清、说明或者更正不得超出响应文件的范围或者改变响应文件的实质性内容。</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澄清、说明或者更正响应文件应当以书面形式作出。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的澄清、说明或者更正应当由法定代表人（或其授权代表）或自然人（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为自然人）签署或者加盖公章。由授权代表签署的，应当附法定代表人授权书。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为自然人的，应当由本人签署并附身份证明。</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（四）在谈判过程中谈判的任何一方不得向他人透露与谈判有关的技术资料、价格或其他信息。</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在谈判过程中，谈判小组可以根据竞争性谈判文件和谈判情况实质性变动采购需求中的技术（质量）、服务要求以及合同草案条款，但不得变动竞争性谈判文件中的其他内容。实质性变动的内容，须经采购人代表确认。对竞争性谈判文件作出的实质性变动是竞争性谈判文件的有效组成部分，谈判小组应当及时通知所有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应当按照谈判文件的变动情况和谈判小组的要求重新提交响应文件，并由其法定代表人或授权代表签字或者加盖公章。由授权代表签字的，应当附法定代表人授权书。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为自然人的，应当由本人签字并附身份证明。</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在谈判时作出的所有书面承诺须由法定代表人（或其授权代表）或自然人（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（七）谈判结束后，谈判小组要求所有参加正式谈判的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在规定时间内书面提交《</w:t>
      </w:r>
      <w:r>
        <w:rPr>
          <w:rFonts w:hint="eastAsia" w:ascii="方正仿宋_GBK" w:hAnsi="宋体" w:eastAsia="方正仿宋_GBK"/>
          <w:sz w:val="24"/>
          <w:szCs w:val="24"/>
          <w:lang w:val="en-US" w:eastAsia="zh-CN"/>
        </w:rPr>
        <w:t>开标现场最终报价表</w:t>
      </w:r>
      <w:r>
        <w:rPr>
          <w:rFonts w:hint="eastAsia" w:ascii="方正仿宋_GBK" w:hAnsi="宋体" w:eastAsia="方正仿宋_GBK"/>
          <w:sz w:val="24"/>
          <w:szCs w:val="24"/>
        </w:rPr>
        <w:t>》。</w:t>
      </w:r>
      <w:r>
        <w:rPr>
          <w:rFonts w:ascii="方正仿宋_GBK" w:hAnsi="宋体" w:eastAsia="方正仿宋_GBK"/>
          <w:sz w:val="24"/>
          <w:szCs w:val="24"/>
        </w:rPr>
        <w:t>已提交响应文件</w:t>
      </w:r>
      <w:r>
        <w:rPr>
          <w:rFonts w:hint="eastAsia" w:ascii="方正仿宋_GBK" w:hAnsi="宋体" w:eastAsia="方正仿宋_GBK"/>
          <w:sz w:val="24"/>
          <w:szCs w:val="24"/>
        </w:rPr>
        <w:t>但未在规定时间内进行最后报价</w:t>
      </w:r>
      <w:r>
        <w:rPr>
          <w:rFonts w:ascii="方正仿宋_GBK" w:hAnsi="宋体" w:eastAsia="方正仿宋_GBK"/>
          <w:sz w:val="24"/>
          <w:szCs w:val="24"/>
        </w:rPr>
        <w:t>的</w:t>
      </w:r>
      <w:r>
        <w:rPr>
          <w:rFonts w:hint="eastAsia" w:ascii="方正仿宋_GBK" w:hAnsi="宋体" w:eastAsia="方正仿宋_GBK"/>
          <w:sz w:val="24"/>
          <w:szCs w:val="24"/>
          <w:lang w:eastAsia="zh-CN"/>
        </w:rPr>
        <w:t>投标人</w:t>
      </w:r>
      <w:r>
        <w:rPr>
          <w:rFonts w:ascii="方正仿宋_GBK" w:hAnsi="宋体" w:eastAsia="方正仿宋_GBK"/>
          <w:sz w:val="24"/>
          <w:szCs w:val="24"/>
        </w:rPr>
        <w:t>，</w:t>
      </w:r>
      <w:r>
        <w:rPr>
          <w:rFonts w:hint="eastAsia" w:ascii="方正仿宋_GBK" w:hAnsi="宋体" w:eastAsia="方正仿宋_GBK"/>
          <w:sz w:val="24"/>
          <w:szCs w:val="24"/>
        </w:rPr>
        <w:t>视为放弃最后报价，以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响应文件中的报价为准。</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79" w:name="_Toc30639"/>
      <w:bookmarkStart w:id="80" w:name="_Toc64732013"/>
      <w:bookmarkStart w:id="81" w:name="_Toc18428"/>
      <w:bookmarkStart w:id="82" w:name="_Toc65660351"/>
      <w:bookmarkStart w:id="83" w:name="_Toc11713"/>
      <w:r>
        <w:rPr>
          <w:rFonts w:hint="eastAsia" w:ascii="方正仿宋_GBK" w:hAnsi="宋体" w:eastAsia="方正仿宋_GBK"/>
          <w:sz w:val="24"/>
        </w:rPr>
        <w:t>二、评定成交的标准</w:t>
      </w:r>
      <w:bookmarkEnd w:id="79"/>
      <w:bookmarkEnd w:id="80"/>
      <w:bookmarkEnd w:id="81"/>
      <w:bookmarkEnd w:id="82"/>
      <w:bookmarkEnd w:id="83"/>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（一）谈判小组将依照本竞争性谈判文件相关规定对技术（质量）和服务均能满足竞争性谈判实质性响应要求的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所提交的最后报价</w:t>
      </w:r>
      <w:r>
        <w:rPr>
          <w:rFonts w:hint="eastAsia" w:ascii="方正仿宋_GBK" w:hAnsi="宋体" w:eastAsia="方正仿宋_GBK"/>
          <w:sz w:val="24"/>
          <w:szCs w:val="24"/>
          <w:lang w:eastAsia="zh-CN"/>
        </w:rPr>
        <w:t>，</w:t>
      </w:r>
      <w:r>
        <w:rPr>
          <w:rFonts w:hint="eastAsia" w:ascii="方正仿宋_GBK" w:hAnsi="宋体" w:eastAsia="方正仿宋_GBK"/>
          <w:sz w:val="24"/>
          <w:szCs w:val="24"/>
        </w:rPr>
        <w:t>按照由低到高的顺序提出3名成交候选人。</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的最后报价相同，按技术（质量）的优劣顺序排列；以上都相同的，按服务条款的优劣顺序排列。</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（三）成交价格=</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的最后报价。</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84" w:name="_Toc779"/>
      <w:bookmarkStart w:id="85" w:name="_Toc29113"/>
      <w:bookmarkStart w:id="86" w:name="_Toc12644"/>
      <w:bookmarkStart w:id="87" w:name="_Toc65660352"/>
      <w:r>
        <w:rPr>
          <w:rFonts w:hint="eastAsia" w:ascii="方正仿宋_GBK" w:hAnsi="宋体" w:eastAsia="方正仿宋_GBK"/>
          <w:sz w:val="24"/>
        </w:rPr>
        <w:t>三、</w:t>
      </w:r>
      <w:r>
        <w:rPr>
          <w:rFonts w:hint="eastAsia" w:ascii="方正仿宋_GBK" w:hAnsi="宋体" w:eastAsia="方正仿宋_GBK"/>
          <w:color w:val="FF0000"/>
          <w:sz w:val="24"/>
        </w:rPr>
        <w:t>无效谈判</w:t>
      </w:r>
      <w:bookmarkEnd w:id="84"/>
      <w:bookmarkEnd w:id="85"/>
      <w:bookmarkEnd w:id="86"/>
      <w:bookmarkEnd w:id="8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发生以下条款情况之一者，视为无效谈判：</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的法定代表人（或其授权代表）或自然人未参加谈判的；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所提交的响应文件未按“第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篇响应文件格式要求”要求签署或盖章的；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color w:val="FF0000"/>
          <w:sz w:val="24"/>
          <w:szCs w:val="24"/>
          <w:lang w:eastAsia="zh-CN"/>
        </w:rPr>
        <w:t>投标人</w:t>
      </w:r>
      <w:r>
        <w:rPr>
          <w:rFonts w:hint="eastAsia" w:ascii="方正仿宋_GBK" w:hAnsi="宋体" w:eastAsia="方正仿宋_GBK"/>
          <w:color w:val="FF0000"/>
          <w:sz w:val="24"/>
          <w:szCs w:val="24"/>
        </w:rPr>
        <w:t>不接受谈判小组修正后价格的；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ascii="方正仿宋_GBK" w:hAnsi="宋体" w:eastAsia="方正仿宋_GBK"/>
          <w:sz w:val="24"/>
          <w:szCs w:val="24"/>
        </w:rPr>
        <w:t>参加同一合同项</w:t>
      </w:r>
      <w:r>
        <w:rPr>
          <w:rFonts w:hint="eastAsia" w:ascii="方正仿宋_GBK" w:hAnsi="宋体" w:eastAsia="方正仿宋_GBK"/>
          <w:sz w:val="24"/>
          <w:szCs w:val="24"/>
        </w:rPr>
        <w:t>（包）谈判的；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再参加该采购项目的其他采购活动的；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）同一</w:t>
      </w:r>
      <w:r>
        <w:rPr>
          <w:rFonts w:ascii="方正仿宋_GBK" w:hAnsi="宋体" w:eastAsia="方正仿宋_GBK"/>
          <w:sz w:val="24"/>
          <w:szCs w:val="24"/>
        </w:rPr>
        <w:t>合同项</w:t>
      </w:r>
      <w:r>
        <w:rPr>
          <w:rFonts w:hint="eastAsia" w:ascii="方正仿宋_GBK" w:hAnsi="宋体" w:eastAsia="方正仿宋_GBK"/>
          <w:sz w:val="24"/>
          <w:szCs w:val="24"/>
        </w:rPr>
        <w:t>（包）</w:t>
      </w:r>
      <w:r>
        <w:rPr>
          <w:rFonts w:ascii="方正仿宋_GBK" w:hAnsi="宋体" w:eastAsia="方正仿宋_GBK"/>
          <w:sz w:val="24"/>
          <w:szCs w:val="24"/>
        </w:rPr>
        <w:t>下</w:t>
      </w:r>
      <w:r>
        <w:rPr>
          <w:rFonts w:hint="eastAsia" w:ascii="方正仿宋_GBK" w:hAnsi="宋体" w:eastAsia="方正仿宋_GBK"/>
          <w:sz w:val="24"/>
          <w:szCs w:val="24"/>
        </w:rPr>
        <w:t>的货物，制造商参与谈判，再委托代理商参与谈判的；</w:t>
      </w:r>
    </w:p>
    <w:p>
      <w:pPr>
        <w:pStyle w:val="35"/>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响应文件内容有与国家现行法律法规相违背的内容，或附有采购人无法接受条件的；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（十）法律、法规和竞争性谈判文件规定的其他无效情形。</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88" w:name="_Toc28422"/>
      <w:bookmarkStart w:id="89" w:name="_Toc65660353"/>
      <w:bookmarkStart w:id="90" w:name="_Toc29298"/>
      <w:bookmarkStart w:id="91" w:name="_Toc16495"/>
      <w:r>
        <w:rPr>
          <w:rFonts w:hint="eastAsia" w:ascii="方正仿宋_GBK" w:hAnsi="宋体" w:eastAsia="方正仿宋_GBK"/>
          <w:sz w:val="24"/>
        </w:rPr>
        <w:t>四、采购终止</w:t>
      </w:r>
      <w:bookmarkEnd w:id="88"/>
      <w:bookmarkEnd w:id="89"/>
      <w:bookmarkEnd w:id="90"/>
      <w:bookmarkEnd w:id="91"/>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出现下列情形之一的，</w:t>
      </w:r>
      <w:r>
        <w:rPr>
          <w:rFonts w:hint="eastAsia" w:ascii="方正仿宋_GBK" w:hAnsi="宋体" w:eastAsia="方正仿宋_GBK"/>
          <w:sz w:val="24"/>
          <w:szCs w:val="24"/>
          <w:lang w:val="en-US" w:eastAsia="zh-CN"/>
        </w:rPr>
        <w:t>重庆医科大学附属儿童医院有权</w:t>
      </w:r>
      <w:r>
        <w:rPr>
          <w:rFonts w:hint="eastAsia" w:ascii="方正仿宋_GBK" w:hAnsi="宋体" w:eastAsia="方正仿宋_GBK"/>
          <w:sz w:val="24"/>
          <w:szCs w:val="24"/>
        </w:rPr>
        <w:t>终止竞争性谈判采购活动，发布项目终止公告并说明原因，重新开展采购活动：</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（一）因情况变化，不再符合规定的竞争性谈判采购方式适用情形的；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sz w:val="24"/>
          <w:szCs w:val="24"/>
        </w:rPr>
        <w:t>（三）在采购过程中</w:t>
      </w:r>
      <w:r>
        <w:rPr>
          <w:rFonts w:hint="eastAsia" w:ascii="方正仿宋_GBK" w:hAnsi="宋体" w:eastAsia="方正仿宋_GBK"/>
          <w:sz w:val="24"/>
          <w:szCs w:val="24"/>
          <w:lang w:val="en-US" w:eastAsia="zh-CN"/>
        </w:rPr>
        <w:t>有效谈判投标人</w:t>
      </w:r>
      <w:r>
        <w:rPr>
          <w:rFonts w:hint="eastAsia" w:ascii="方正仿宋_GBK" w:hAnsi="宋体" w:eastAsia="方正仿宋_GBK"/>
          <w:sz w:val="24"/>
          <w:szCs w:val="24"/>
        </w:rPr>
        <w:t>不足3家</w:t>
      </w:r>
      <w:r>
        <w:rPr>
          <w:rFonts w:hint="eastAsia" w:ascii="方正仿宋_GBK" w:hAnsi="宋体" w:eastAsia="方正仿宋_GBK"/>
          <w:sz w:val="24"/>
          <w:szCs w:val="24"/>
          <w:lang w:val="en-US" w:eastAsia="zh-CN"/>
        </w:rPr>
        <w:t>的</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挂网2次有效谈判仍不足3家的情形</w:t>
      </w:r>
      <w:r>
        <w:rPr>
          <w:rFonts w:hint="eastAsia" w:ascii="方正仿宋_GBK" w:hAnsi="宋体" w:eastAsia="方正仿宋_GBK"/>
          <w:color w:val="auto"/>
          <w:sz w:val="24"/>
          <w:szCs w:val="24"/>
          <w:lang w:val="en-US" w:eastAsia="zh-CN"/>
        </w:rPr>
        <w:t>除外；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w:t>
      </w:r>
    </w:p>
    <w:p>
      <w:pPr>
        <w:rPr>
          <w:rFonts w:hint="eastAsia" w:ascii="方正小标宋_GBK" w:eastAsia="方正小标宋_GBK"/>
          <w:b w:val="0"/>
          <w:sz w:val="36"/>
          <w:szCs w:val="30"/>
        </w:rPr>
      </w:pPr>
      <w:bookmarkStart w:id="92" w:name="_Toc65660354"/>
      <w:bookmarkStart w:id="93" w:name="_Toc20055"/>
      <w:bookmarkStart w:id="94" w:name="_Toc10768"/>
    </w:p>
    <w:p>
      <w:pPr>
        <w:rPr>
          <w:rFonts w:hint="eastAsia" w:ascii="方正小标宋_GBK" w:eastAsia="方正小标宋_GBK"/>
          <w:b w:val="0"/>
          <w:sz w:val="36"/>
          <w:szCs w:val="30"/>
        </w:rPr>
      </w:pPr>
      <w:r>
        <w:rPr>
          <w:rFonts w:hint="eastAsia" w:ascii="方正小标宋_GBK" w:eastAsia="方正小标宋_GBK"/>
          <w:b w:val="0"/>
          <w:sz w:val="36"/>
          <w:szCs w:val="30"/>
        </w:rPr>
        <w:br w:type="page"/>
      </w:r>
    </w:p>
    <w:p>
      <w:pPr>
        <w:pStyle w:val="5"/>
        <w:spacing w:before="200" w:after="200" w:line="240" w:lineRule="auto"/>
        <w:jc w:val="center"/>
        <w:rPr>
          <w:rFonts w:hint="eastAsia" w:ascii="方正仿宋_GBK" w:hAnsi="Times New Roman" w:eastAsia="方正仿宋_GBK" w:cs="Times New Roman"/>
          <w:b/>
          <w:sz w:val="44"/>
          <w:szCs w:val="20"/>
          <w:lang w:val="en-US" w:eastAsia="zh-CN"/>
        </w:rPr>
      </w:pPr>
      <w:bookmarkStart w:id="95" w:name="_Toc14526"/>
      <w:r>
        <w:rPr>
          <w:rFonts w:hint="eastAsia" w:ascii="方正仿宋_GBK" w:hAnsi="Times New Roman" w:eastAsia="方正仿宋_GBK" w:cs="Times New Roman"/>
          <w:b/>
          <w:sz w:val="44"/>
          <w:szCs w:val="20"/>
          <w:lang w:val="en-US" w:eastAsia="zh-CN"/>
        </w:rPr>
        <w:t>第五篇  投标人须知</w:t>
      </w:r>
      <w:bookmarkEnd w:id="92"/>
      <w:bookmarkEnd w:id="93"/>
      <w:bookmarkEnd w:id="94"/>
      <w:bookmarkEnd w:id="95"/>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96" w:name="_Toc65660355"/>
      <w:bookmarkStart w:id="97" w:name="_Toc16524"/>
      <w:bookmarkStart w:id="98" w:name="_Toc5290"/>
      <w:bookmarkStart w:id="99" w:name="_Toc2508"/>
      <w:r>
        <w:rPr>
          <w:rFonts w:hint="eastAsia" w:ascii="方正仿宋_GBK" w:hAnsi="宋体" w:eastAsia="方正仿宋_GBK"/>
          <w:sz w:val="24"/>
        </w:rPr>
        <w:t>一、谈判费用</w:t>
      </w:r>
      <w:bookmarkEnd w:id="96"/>
      <w:bookmarkEnd w:id="97"/>
      <w:bookmarkEnd w:id="98"/>
      <w:bookmarkEnd w:id="99"/>
    </w:p>
    <w:p>
      <w:pPr>
        <w:pStyle w:val="144"/>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应承担其编制响应文件与递交响应文件所涉及的一切费用，不论谈判结果如何，采购人在任何情况下无义务也无责任承担这些费用。</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00" w:name="_Toc5915"/>
      <w:bookmarkStart w:id="101" w:name="_Toc31739"/>
      <w:bookmarkStart w:id="102" w:name="_Toc65660356"/>
      <w:bookmarkStart w:id="103" w:name="_Toc18014"/>
      <w:r>
        <w:rPr>
          <w:rFonts w:hint="eastAsia" w:ascii="方正仿宋_GBK" w:hAnsi="宋体" w:eastAsia="方正仿宋_GBK"/>
          <w:sz w:val="24"/>
        </w:rPr>
        <w:t>二、竞争性谈判文件</w:t>
      </w:r>
      <w:bookmarkEnd w:id="100"/>
      <w:bookmarkEnd w:id="101"/>
      <w:bookmarkEnd w:id="102"/>
      <w:bookmarkEnd w:id="103"/>
      <w:r>
        <w:rPr>
          <w:rFonts w:ascii="方正仿宋_GBK" w:hAnsi="宋体" w:eastAsia="方正仿宋_GBK"/>
          <w:sz w:val="24"/>
        </w:rPr>
        <w:tab/>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（一）竞争性谈判文件由竞争性谈判邀请书、谈判项目技术（质量）需求、谈判项目服务需求、采购程序、评定成交的标准、无效谈判及采购终止、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须知、响应文件格式要求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（二）采购人所作的一切有效的书面通知、修改及补充，都是竞争性谈判文件不可分割的部分。</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（三）本竞争性谈判文件中，谈判小组根据与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谈判情况可能实质性变动的内容为竞争性谈判文件第二、三篇全部内容。</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04" w:name="_Toc65660357"/>
      <w:bookmarkStart w:id="105" w:name="_Toc9532"/>
      <w:bookmarkStart w:id="106" w:name="_Toc10338"/>
      <w:bookmarkStart w:id="107" w:name="_Toc3061"/>
      <w:r>
        <w:rPr>
          <w:rFonts w:hint="eastAsia" w:ascii="方正仿宋_GBK" w:hAnsi="宋体" w:eastAsia="方正仿宋_GBK"/>
          <w:sz w:val="24"/>
        </w:rPr>
        <w:t>三、谈判要求</w:t>
      </w:r>
      <w:bookmarkEnd w:id="104"/>
      <w:bookmarkEnd w:id="105"/>
      <w:bookmarkEnd w:id="106"/>
      <w:bookmarkEnd w:id="107"/>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应当按照竞争性谈判文件的要求编制响应文件，并对竞争性谈判文件提出的要求和条件作出实质性响应，响应文件原则上采用软面订本。</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篇响应文件格式”规定进行编写和装订，也可在基本格式基础上对表格进行扩展，未规定格式的由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3.谈判有效期：响应文件及有关承诺文件有效期为提交响应文件截止时间起90天。</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提交保证金金额和方式详见“</w:t>
      </w:r>
      <w:r>
        <w:rPr>
          <w:rFonts w:hint="eastAsia" w:ascii="方正仿宋_GBK" w:hAnsi="宋体" w:eastAsia="方正仿宋_GBK"/>
          <w:b/>
          <w:sz w:val="24"/>
          <w:szCs w:val="24"/>
          <w:u w:val="single"/>
        </w:rPr>
        <w:t xml:space="preserve">第一篇  </w:t>
      </w:r>
      <w:r>
        <w:rPr>
          <w:rFonts w:hint="eastAsia" w:ascii="方正仿宋_GBK" w:hAnsi="宋体" w:eastAsia="方正仿宋_GBK"/>
          <w:b/>
          <w:sz w:val="24"/>
          <w:szCs w:val="24"/>
          <w:u w:val="single"/>
          <w:lang w:val="en-US" w:eastAsia="zh-CN"/>
        </w:rPr>
        <w:t>四</w:t>
      </w:r>
      <w:r>
        <w:rPr>
          <w:rFonts w:hint="eastAsia" w:ascii="方正仿宋_GBK" w:hAnsi="宋体" w:eastAsia="方正仿宋_GBK"/>
          <w:b/>
          <w:sz w:val="24"/>
          <w:szCs w:val="24"/>
          <w:u w:val="single"/>
        </w:rPr>
        <w:t>、保证金”</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2.发生以下情况之一者，保证金不予退还：</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在提交响应文件截止时间后撤回响应文件的；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在响应文件中提供虚假材料的；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2.3除因不可抗力或竞争性谈判文件认可的情形以外，</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不与采购人签订合同的；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2.4</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与采购人、其他</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或者采购代理机构恶意串通的；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2.5</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不按规定的时间或拒绝按成交状态签订合同（即不按照采购文件确定的合同文本以及采购标的、规格型号、采购金额、采购数量、技术（质量）和服务要求等事项签订采购合同的）。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w:t>
      </w:r>
      <w:r>
        <w:rPr>
          <w:rFonts w:hint="eastAsia" w:ascii="方正仿宋_GBK" w:hAnsi="宋体" w:eastAsia="方正仿宋_GBK"/>
          <w:sz w:val="24"/>
        </w:rPr>
        <w:t>保证金的有效期限在谈判有效期过后三十天继续有效。</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（三）修正错误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所递交的响应文件或最后报价中的价格出现大写金额和小写金额不一致的错误，以大写金额修正为准。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谈判小组按上述修正错误的原则及方法修正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的报价，</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同意并签署确认后，修正后的报价对</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具有约束作用。如果</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不接受修正后的价格，将视为无效谈判。</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份，其中正本一份，副本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2.</w:t>
      </w:r>
      <w:r>
        <w:rPr>
          <w:rFonts w:hint="eastAsia" w:ascii="方正仿宋_GBK" w:hAnsi="宋体" w:eastAsia="方正仿宋_GBK"/>
          <w:sz w:val="24"/>
        </w:rPr>
        <w:t>在响应文件正本中，竞争性谈判文件第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篇响应文件格式中规定签署、盖章的地方必须按其规定签署、盖章。</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3.若</w:t>
      </w:r>
      <w:r>
        <w:rPr>
          <w:rFonts w:hint="eastAsia" w:ascii="方正仿宋_GBK" w:hAnsi="宋体" w:eastAsia="方正仿宋_GBK"/>
          <w:sz w:val="24"/>
          <w:lang w:eastAsia="zh-CN"/>
        </w:rPr>
        <w:t>投标人</w:t>
      </w:r>
      <w:r>
        <w:rPr>
          <w:rFonts w:hint="eastAsia" w:ascii="方正仿宋_GBK" w:hAnsi="宋体" w:eastAsia="方正仿宋_GBK"/>
          <w:sz w:val="24"/>
        </w:rPr>
        <w:t>对响应文件的错处作必要修改，则应在修改处加盖</w:t>
      </w:r>
      <w:r>
        <w:rPr>
          <w:rFonts w:hint="eastAsia" w:ascii="方正仿宋_GBK" w:hAnsi="宋体" w:eastAsia="方正仿宋_GBK"/>
          <w:sz w:val="24"/>
          <w:lang w:eastAsia="zh-CN"/>
        </w:rPr>
        <w:t>投标人</w:t>
      </w:r>
      <w:r>
        <w:rPr>
          <w:rFonts w:hint="eastAsia" w:ascii="方正仿宋_GBK" w:hAnsi="宋体" w:eastAsia="方正仿宋_GBK"/>
          <w:sz w:val="24"/>
        </w:rPr>
        <w:t>公章或由法定代表人（或其授权代表）或自然人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r>
        <w:rPr>
          <w:rFonts w:hint="eastAsia" w:ascii="方正仿宋_GBK" w:hAnsi="宋体" w:eastAsia="方正仿宋_GBK"/>
          <w:sz w:val="24"/>
        </w:rPr>
        <w:t>确认。</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4.电报、电话、传真形式的响应文件概不接受。</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（五）响应文件的递交</w:t>
      </w:r>
    </w:p>
    <w:p>
      <w:pPr>
        <w:pStyle w:val="32"/>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响应文件的正本、副本均应密封送达谈判地点，应在封套上注明谈判项目名称、</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名称。若正本、副本分别进行密封的，还应在封套上注明“正本”、“副本”。</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（六）响应文件语言：简体中文</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应当派1-2名代表参与谈判，至少1人应为法定代表人（或其授权代表）或自然人（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参与谈判人员应熟悉谈判项目技术及商务需求。</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08" w:name="_Toc6242"/>
      <w:bookmarkStart w:id="109" w:name="_Toc14702"/>
      <w:bookmarkStart w:id="110" w:name="_Toc65660358"/>
      <w:bookmarkStart w:id="111" w:name="_Toc1627"/>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的确定和变更</w:t>
      </w:r>
      <w:bookmarkEnd w:id="108"/>
      <w:bookmarkEnd w:id="109"/>
      <w:bookmarkEnd w:id="110"/>
      <w:bookmarkEnd w:id="111"/>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val="en-US" w:eastAsia="zh-CN"/>
        </w:rPr>
        <w:t>采购人</w:t>
      </w:r>
      <w:r>
        <w:rPr>
          <w:rFonts w:hint="eastAsia" w:ascii="方正仿宋_GBK" w:hAnsi="宋体" w:eastAsia="方正仿宋_GBK"/>
          <w:color w:val="auto"/>
          <w:sz w:val="24"/>
          <w:szCs w:val="24"/>
        </w:rPr>
        <w:t>根据质量和服务均能满足采购文件实质性响应要求且最后报价最低的原则确定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拒绝签订采购合同的，采购人可以按照评审报告推荐的成交候选人顺序，确定排名下一位的候选人为</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，也可以重新开展采购活动。拒绝签订采购合同的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不得参加对该项目重新开展的采购活动。</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2.</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无充分理由放弃成交的，采购人</w:t>
      </w:r>
      <w:r>
        <w:rPr>
          <w:rFonts w:hint="eastAsia" w:ascii="方正仿宋_GBK" w:hAnsi="宋体" w:eastAsia="方正仿宋_GBK"/>
          <w:color w:val="auto"/>
          <w:sz w:val="24"/>
          <w:szCs w:val="24"/>
          <w:lang w:val="en-US" w:eastAsia="zh-CN"/>
        </w:rPr>
        <w:t>有权</w:t>
      </w:r>
      <w:r>
        <w:rPr>
          <w:rFonts w:hint="eastAsia" w:ascii="方正仿宋_GBK" w:hAnsi="宋体" w:eastAsia="方正仿宋_GBK"/>
          <w:color w:val="auto"/>
          <w:sz w:val="24"/>
          <w:szCs w:val="24"/>
        </w:rPr>
        <w:t>向同级财政部门报告，财政部门将根据相关法律法规的规定进行处理。</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12" w:name="_Toc1092"/>
      <w:bookmarkStart w:id="113" w:name="_Toc65660359"/>
      <w:bookmarkStart w:id="114" w:name="_Toc16083"/>
      <w:bookmarkStart w:id="115" w:name="_Toc29821"/>
      <w:r>
        <w:rPr>
          <w:rFonts w:hint="eastAsia" w:ascii="方正仿宋_GBK" w:hAnsi="宋体" w:eastAsia="方正仿宋_GBK"/>
          <w:sz w:val="24"/>
        </w:rPr>
        <w:t>五、成交通知</w:t>
      </w:r>
      <w:bookmarkEnd w:id="112"/>
      <w:bookmarkEnd w:id="113"/>
      <w:bookmarkEnd w:id="114"/>
      <w:bookmarkEnd w:id="115"/>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）上发布成交结果公告。</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（二）结果公告发出同时，将</w:t>
      </w:r>
      <w:r>
        <w:rPr>
          <w:rFonts w:hint="eastAsia" w:ascii="方正仿宋_GBK" w:hAnsi="宋体" w:eastAsia="方正仿宋_GBK"/>
          <w:sz w:val="24"/>
          <w:szCs w:val="24"/>
          <w:lang w:val="en-US" w:eastAsia="zh-CN"/>
        </w:rPr>
        <w:t>在平台内</w:t>
      </w:r>
      <w:r>
        <w:rPr>
          <w:rFonts w:hint="eastAsia" w:ascii="方正仿宋_GBK" w:hAnsi="宋体" w:eastAsia="方正仿宋_GBK"/>
          <w:sz w:val="24"/>
          <w:szCs w:val="24"/>
        </w:rPr>
        <w:t>发出《成交通知书》。</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（三）《成交通知书》将作为签订合同的依据。</w:t>
      </w:r>
    </w:p>
    <w:p>
      <w:pPr>
        <w:pStyle w:val="5"/>
        <w:adjustRightInd w:val="0"/>
        <w:snapToGrid w:val="0"/>
        <w:spacing w:before="0" w:after="0" w:line="400" w:lineRule="exact"/>
        <w:ind w:firstLine="482" w:firstLineChars="200"/>
        <w:rPr>
          <w:rFonts w:hint="eastAsia" w:ascii="方正仿宋_GBK" w:hAnsi="宋体" w:eastAsia="方正仿宋_GBK"/>
          <w:sz w:val="24"/>
          <w:lang w:val="en-US" w:eastAsia="zh-CN"/>
        </w:rPr>
      </w:pPr>
      <w:bookmarkStart w:id="116" w:name="_Toc1010"/>
      <w:bookmarkStart w:id="117" w:name="_Toc65660360"/>
      <w:bookmarkStart w:id="118" w:name="_Toc30909"/>
      <w:bookmarkStart w:id="119" w:name="_Toc17142"/>
      <w:r>
        <w:rPr>
          <w:rFonts w:hint="eastAsia" w:ascii="方正仿宋_GBK" w:hAnsi="宋体" w:eastAsia="方正仿宋_GBK"/>
          <w:sz w:val="24"/>
        </w:rPr>
        <w:t>六、质疑</w:t>
      </w:r>
      <w:bookmarkEnd w:id="116"/>
      <w:bookmarkEnd w:id="117"/>
      <w:bookmarkEnd w:id="118"/>
      <w:r>
        <w:rPr>
          <w:rFonts w:hint="eastAsia" w:ascii="方正仿宋_GBK" w:hAnsi="宋体" w:eastAsia="方正仿宋_GBK"/>
          <w:sz w:val="24"/>
          <w:lang w:val="en-US" w:eastAsia="zh-CN"/>
        </w:rPr>
        <w:t>处理</w:t>
      </w:r>
      <w:bookmarkEnd w:id="119"/>
    </w:p>
    <w:p>
      <w:pPr>
        <w:spacing w:line="400" w:lineRule="exact"/>
        <w:ind w:firstLine="480" w:firstLineChars="200"/>
        <w:rPr>
          <w:rFonts w:ascii="方正仿宋_GBK" w:hAnsi="宋体" w:eastAsia="方正仿宋_GBK"/>
          <w:sz w:val="24"/>
          <w:szCs w:val="24"/>
        </w:rPr>
      </w:pPr>
      <w:bookmarkStart w:id="120" w:name="_Toc3127"/>
      <w:bookmarkStart w:id="121" w:name="_Toc16648"/>
      <w:bookmarkStart w:id="122" w:name="_Toc65660361"/>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谈判</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color w:val="FF0000"/>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的书面质疑后七个工作日内作出答复，并以书面形式通知质疑</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和其他有关</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23" w:name="_Toc32729"/>
      <w:r>
        <w:rPr>
          <w:rFonts w:hint="eastAsia" w:ascii="方正仿宋_GBK" w:hAnsi="宋体" w:eastAsia="方正仿宋_GBK"/>
          <w:sz w:val="24"/>
        </w:rPr>
        <w:t>七、签订合同</w:t>
      </w:r>
      <w:bookmarkEnd w:id="120"/>
      <w:bookmarkEnd w:id="121"/>
      <w:bookmarkEnd w:id="122"/>
      <w:bookmarkEnd w:id="123"/>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一</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中标人应于收到中标通知书之日起5个工作日内，按照中标项目的招标文件与投标文件递交采购合同；</w:t>
      </w:r>
    </w:p>
    <w:p>
      <w:pPr>
        <w:spacing w:line="400" w:lineRule="exact"/>
        <w:ind w:firstLine="360" w:firstLineChars="1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val="en-US" w:eastAsia="zh-CN"/>
        </w:rPr>
        <w:t xml:space="preserve">  （二）</w:t>
      </w:r>
      <w:r>
        <w:rPr>
          <w:rFonts w:hint="eastAsia" w:ascii="方正仿宋_GBK" w:hAnsi="方正仿宋_GBK" w:eastAsia="方正仿宋_GBK" w:cs="Times New Roman"/>
          <w:sz w:val="24"/>
        </w:rPr>
        <w:t>中标人未在规定时间内递交合同或放弃中标资格，则招标人将有充分的理由废除授标，将中标人纳入</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失信</w:t>
      </w:r>
      <w:r>
        <w:rPr>
          <w:rFonts w:hint="eastAsia" w:ascii="方正仿宋_GBK" w:hAnsi="方正仿宋_GBK" w:eastAsia="方正仿宋_GBK" w:cs="Times New Roman"/>
          <w:sz w:val="24"/>
          <w:lang w:eastAsia="zh-CN"/>
        </w:rPr>
        <w:t>投标人</w:t>
      </w:r>
      <w:r>
        <w:rPr>
          <w:rFonts w:hint="eastAsia" w:ascii="方正仿宋_GBK" w:hAnsi="方正仿宋_GBK" w:eastAsia="方正仿宋_GBK" w:cs="Times New Roman"/>
          <w:sz w:val="24"/>
        </w:rPr>
        <w:t>名单并扣除该项目的投标保证金，两年之内不得参与</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任何级别的招标项目；</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三</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如招标人因中标人未按时递交合同或放弃中标资格而造成损失，中标人应予以赔偿，同时依法承担相应法律责任；</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四</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中标人应当按照合同约定履行义务，完成中标项目，不得将中标项目转让(转包)</w:t>
      </w:r>
      <w:r>
        <w:rPr>
          <w:rFonts w:hint="eastAsia" w:ascii="方正仿宋_GBK" w:hAnsi="方正仿宋_GBK" w:eastAsia="方正仿宋_GBK" w:cs="Times New Roman"/>
          <w:sz w:val="24"/>
          <w:lang w:val="en-US" w:eastAsia="zh-CN"/>
        </w:rPr>
        <w:t>或分包</w:t>
      </w:r>
      <w:r>
        <w:rPr>
          <w:rFonts w:hint="eastAsia" w:ascii="方正仿宋_GBK" w:hAnsi="方正仿宋_GBK" w:eastAsia="方正仿宋_GBK" w:cs="Times New Roman"/>
          <w:sz w:val="24"/>
        </w:rPr>
        <w:t>给他人。</w:t>
      </w:r>
    </w:p>
    <w:p>
      <w:pPr>
        <w:spacing w:line="400" w:lineRule="exact"/>
        <w:ind w:firstLine="720" w:firstLineChars="300"/>
        <w:rPr>
          <w:rFonts w:hint="eastAsia" w:ascii="方正仿宋_GBK" w:hAnsi="宋体" w:eastAsia="方正仿宋_GBK"/>
          <w:sz w:val="24"/>
          <w:szCs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五</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交货期限是指自确定中标之日起，乙方按开标现场承诺的时间，在甲方指定地点交付本合同约定的所有货品。</w:t>
      </w:r>
    </w:p>
    <w:p>
      <w:pPr>
        <w:spacing w:line="360" w:lineRule="auto"/>
        <w:ind w:firstLine="480" w:firstLineChars="200"/>
        <w:rPr>
          <w:rFonts w:ascii="宋体" w:hAnsi="宋体"/>
          <w:sz w:val="24"/>
          <w:szCs w:val="24"/>
        </w:rPr>
        <w:sectPr>
          <w:pgSz w:w="11907" w:h="16840"/>
          <w:pgMar w:top="1134" w:right="1191" w:bottom="1134" w:left="1304" w:header="964" w:footer="992" w:gutter="0"/>
          <w:pgNumType w:fmt="decimal"/>
          <w:cols w:space="720" w:num="1"/>
          <w:docGrid w:linePitch="312" w:charSpace="0"/>
        </w:sectPr>
      </w:pPr>
    </w:p>
    <w:bookmarkEnd w:id="69"/>
    <w:p>
      <w:pPr>
        <w:pStyle w:val="5"/>
        <w:spacing w:before="200" w:after="200" w:line="240" w:lineRule="auto"/>
        <w:jc w:val="center"/>
        <w:rPr>
          <w:rFonts w:hint="eastAsia" w:ascii="方正仿宋_GBK" w:hAnsi="Times New Roman" w:eastAsia="方正仿宋_GBK" w:cs="Times New Roman"/>
          <w:b/>
          <w:sz w:val="44"/>
          <w:szCs w:val="20"/>
          <w:lang w:val="en-US" w:eastAsia="zh-CN"/>
        </w:rPr>
      </w:pPr>
      <w:bookmarkStart w:id="124" w:name="_Hlt41879464"/>
      <w:bookmarkEnd w:id="124"/>
      <w:bookmarkStart w:id="125" w:name="_Toc65660378"/>
      <w:bookmarkStart w:id="126" w:name="_Toc14203"/>
      <w:bookmarkStart w:id="127" w:name="_Toc9538"/>
      <w:bookmarkStart w:id="128" w:name="_Toc12789072"/>
      <w:bookmarkStart w:id="129" w:name="_Toc6968"/>
      <w:r>
        <w:rPr>
          <w:rFonts w:hint="eastAsia" w:ascii="方正仿宋_GBK" w:hAnsi="Times New Roman" w:eastAsia="方正仿宋_GBK" w:cs="Times New Roman"/>
          <w:b/>
          <w:sz w:val="44"/>
          <w:szCs w:val="20"/>
          <w:lang w:val="en-US" w:eastAsia="zh-CN"/>
        </w:rPr>
        <w:t>第六篇  响应文件格式要求</w:t>
      </w:r>
      <w:bookmarkEnd w:id="125"/>
      <w:bookmarkEnd w:id="126"/>
      <w:bookmarkEnd w:id="127"/>
      <w:bookmarkEnd w:id="128"/>
      <w:bookmarkEnd w:id="129"/>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default" w:ascii="方正仿宋_GBK" w:hAnsi="宋体" w:eastAsia="方正仿宋_GBK"/>
          <w:b w:val="0"/>
          <w:bCs/>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b w:val="0"/>
          <w:bCs/>
          <w:sz w:val="24"/>
          <w:szCs w:val="24"/>
          <w:lang w:val="en-US" w:eastAsia="zh-CN"/>
        </w:rPr>
        <w:t>开标现场最终报价表</w:t>
      </w:r>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二、技术（质量）部分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三、</w:t>
      </w:r>
      <w:r>
        <w:rPr>
          <w:rFonts w:hint="eastAsia" w:ascii="方正仿宋_GBK" w:hAnsi="宋体" w:eastAsia="方正仿宋_GBK"/>
          <w:b/>
          <w:sz w:val="24"/>
          <w:szCs w:val="24"/>
          <w:lang w:val="en-US" w:eastAsia="zh-CN"/>
        </w:rPr>
        <w:t>商务</w:t>
      </w:r>
      <w:r>
        <w:rPr>
          <w:rFonts w:hint="eastAsia" w:ascii="方正仿宋_GBK" w:hAnsi="宋体" w:eastAsia="方正仿宋_GBK"/>
          <w:b/>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（二）其它优惠承诺（格式自定）</w:t>
      </w:r>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2" w:firstLineChars="200"/>
        <w:rPr>
          <w:rFonts w:hint="eastAsia" w:ascii="方正仿宋_GBK" w:hAnsi="宋体" w:eastAsia="方正仿宋_GBK"/>
          <w:b/>
          <w:sz w:val="24"/>
          <w:szCs w:val="24"/>
        </w:rPr>
      </w:pPr>
      <w:r>
        <w:rPr>
          <w:rFonts w:hint="eastAsia" w:ascii="方正仿宋_GBK" w:hAnsi="宋体" w:eastAsia="方正仿宋_GBK"/>
          <w:b/>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w:t>
      </w:r>
    </w:p>
    <w:p>
      <w:pPr>
        <w:pStyle w:val="35"/>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价格依据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（三）其他与项目有关的资料（自附）</w:t>
      </w:r>
    </w:p>
    <w:p>
      <w:pPr>
        <w:snapToGrid w:val="0"/>
        <w:spacing w:line="360" w:lineRule="auto"/>
        <w:rPr>
          <w:rFonts w:ascii="宋体" w:hAnsi="宋体"/>
          <w:sz w:val="24"/>
          <w:szCs w:val="24"/>
          <w:bdr w:val="single" w:color="auto" w:sz="4" w:space="0"/>
        </w:rPr>
        <w:sectPr>
          <w:footerReference r:id="rId8" w:type="default"/>
          <w:pgSz w:w="11907" w:h="16840"/>
          <w:pgMar w:top="1134" w:right="1191" w:bottom="1134" w:left="1304" w:header="851" w:footer="992" w:gutter="0"/>
          <w:pgNumType w:fmt="decimal"/>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30" w:name="_Toc65660379"/>
      <w:bookmarkStart w:id="131" w:name="_Toc342913419"/>
      <w:bookmarkStart w:id="132" w:name="_Toc313008356"/>
      <w:bookmarkStart w:id="133" w:name="_Toc26343"/>
      <w:bookmarkStart w:id="134" w:name="_Toc313888360"/>
      <w:bookmarkStart w:id="135" w:name="_Toc14244"/>
      <w:bookmarkStart w:id="136" w:name="_Toc12789073"/>
      <w:bookmarkStart w:id="137"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竞争性谈判</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0" w:type="first"/>
          <w:footerReference r:id="rId13" w:type="first"/>
          <w:headerReference r:id="rId9" w:type="default"/>
          <w:footerReference r:id="rId11" w:type="default"/>
          <w:footerReference r:id="rId12"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38" w:name="_Toc10023"/>
      <w:r>
        <w:rPr>
          <w:rFonts w:hint="eastAsia" w:ascii="方正仿宋_GBK" w:hAnsi="宋体" w:eastAsia="方正仿宋_GBK"/>
          <w:sz w:val="24"/>
        </w:rPr>
        <w:t>一、经济部分</w:t>
      </w:r>
      <w:bookmarkEnd w:id="130"/>
      <w:bookmarkEnd w:id="131"/>
      <w:bookmarkEnd w:id="132"/>
      <w:bookmarkEnd w:id="133"/>
      <w:bookmarkEnd w:id="134"/>
      <w:bookmarkEnd w:id="135"/>
      <w:bookmarkEnd w:id="138"/>
    </w:p>
    <w:bookmarkEnd w:id="136"/>
    <w:bookmarkEnd w:id="137"/>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tabs>
          <w:tab w:val="left" w:pos="6300"/>
        </w:tabs>
        <w:snapToGrid w:val="0"/>
        <w:spacing w:line="312" w:lineRule="auto"/>
        <w:ind w:firstLine="562"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开标一览表</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谈判项目名称：</w:t>
      </w:r>
    </w:p>
    <w:tbl>
      <w:tblPr>
        <w:tblStyle w:val="59"/>
        <w:tblW w:w="9505" w:type="dxa"/>
        <w:tblInd w:w="0" w:type="dxa"/>
        <w:tblLayout w:type="fixed"/>
        <w:tblCellMar>
          <w:top w:w="0" w:type="dxa"/>
          <w:left w:w="108" w:type="dxa"/>
          <w:bottom w:w="0" w:type="dxa"/>
          <w:right w:w="108" w:type="dxa"/>
        </w:tblCellMar>
      </w:tblPr>
      <w:tblGrid>
        <w:gridCol w:w="1885"/>
        <w:gridCol w:w="2820"/>
        <w:gridCol w:w="1605"/>
        <w:gridCol w:w="1140"/>
        <w:gridCol w:w="2055"/>
      </w:tblGrid>
      <w:tr>
        <w:tblPrEx>
          <w:tblCellMar>
            <w:top w:w="0" w:type="dxa"/>
            <w:left w:w="108" w:type="dxa"/>
            <w:bottom w:w="0" w:type="dxa"/>
            <w:right w:w="108" w:type="dxa"/>
          </w:tblCellMar>
        </w:tblPrEx>
        <w:trPr>
          <w:trHeight w:val="818"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产品名称</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国家标准</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规格（纯度）</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计量单位</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单价</w:t>
            </w:r>
            <w:r>
              <w:rPr>
                <w:rFonts w:hint="eastAsia" w:ascii="微软雅黑" w:hAnsi="微软雅黑" w:eastAsia="微软雅黑" w:cs="微软雅黑"/>
                <w:b/>
                <w:bCs/>
                <w:sz w:val="21"/>
                <w:szCs w:val="21"/>
                <w:lang w:val="en-US" w:eastAsia="zh-CN"/>
              </w:rPr>
              <w:t>限价</w:t>
            </w: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933"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933"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高纯氧（40L）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GB/T14599-2008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高纯氮（40L）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液氮</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kl</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纯氩（40L）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GB/T4842-2017</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3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二氧化碳     （40L）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GB/T6052-2011</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3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高纯二氧化碳     （40L）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GB/T23938-2009</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3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高纯二氧化碳     （10L）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GB/T23938-2009</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09"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干燥空气（40L）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21%O2+79%N2</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933"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瓶装氮气(40升)</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GB/T3864-2008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纯氮(40升)</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933"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零级空气（40L）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21%O2+79%N2</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配制原料气纯度≥99.999%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7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(7L)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7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7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混合气（40L）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FF0000"/>
                <w:sz w:val="21"/>
                <w:szCs w:val="21"/>
                <w:lang w:eastAsia="zh-CN"/>
              </w:rPr>
            </w:pPr>
            <w:r>
              <w:rPr>
                <w:rFonts w:hint="eastAsia" w:ascii="微软雅黑" w:hAnsi="微软雅黑" w:eastAsia="微软雅黑" w:cs="微软雅黑"/>
                <w:color w:val="FF0000"/>
                <w:sz w:val="21"/>
                <w:szCs w:val="21"/>
                <w:lang w:val="en-US" w:eastAsia="zh-CN"/>
              </w:rPr>
              <w:t>/</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配制原料气纯度O2≥99.5％</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N2≥99.2％</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CO2≥99.5％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bl>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                                   法定代表人授权代表：</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（投标人公章）                               （签字或盖章）</w:t>
      </w: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年     月     日</w:t>
      </w:r>
    </w:p>
    <w:p>
      <w:pPr>
        <w:spacing w:line="400" w:lineRule="exact"/>
        <w:ind w:firstLine="480" w:firstLineChars="200"/>
        <w:rPr>
          <w:rFonts w:hint="eastAsia" w:ascii="方正仿宋_GBK" w:hAnsi="宋体" w:eastAsia="方正仿宋_GBK"/>
          <w:sz w:val="24"/>
          <w:szCs w:val="24"/>
        </w:rPr>
      </w:pPr>
    </w:p>
    <w:p>
      <w:pPr>
        <w:pStyle w:val="24"/>
        <w:rPr>
          <w:rFonts w:hint="eastAsia" w:ascii="方正仿宋_GBK" w:hAnsi="宋体" w:eastAsia="方正仿宋_GBK"/>
          <w:sz w:val="24"/>
          <w:szCs w:val="24"/>
        </w:rPr>
      </w:pPr>
    </w:p>
    <w:p>
      <w:pPr>
        <w:rPr>
          <w:rFonts w:hint="eastAsia" w:ascii="方正仿宋_GBK" w:hAnsi="宋体" w:eastAsia="方正仿宋_GBK"/>
          <w:sz w:val="24"/>
          <w:szCs w:val="24"/>
        </w:rPr>
      </w:pPr>
    </w:p>
    <w:p>
      <w:pPr>
        <w:pStyle w:val="24"/>
        <w:rPr>
          <w:rFonts w:hint="eastAsia" w:ascii="方正仿宋_GBK" w:hAnsi="宋体" w:eastAsia="方正仿宋_GBK"/>
          <w:sz w:val="24"/>
          <w:szCs w:val="24"/>
        </w:rPr>
      </w:pPr>
    </w:p>
    <w:p>
      <w:pPr>
        <w:rPr>
          <w:rFonts w:hint="eastAsia"/>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pStyle w:val="5"/>
        <w:adjustRightInd w:val="0"/>
        <w:snapToGrid w:val="0"/>
        <w:spacing w:before="0" w:after="0" w:line="400" w:lineRule="exact"/>
        <w:ind w:firstLine="482" w:firstLineChars="200"/>
        <w:rPr>
          <w:rFonts w:hint="default" w:ascii="方正仿宋_GBK" w:hAnsi="宋体" w:eastAsia="方正仿宋_GBK"/>
          <w:b w:val="0"/>
          <w:bCs/>
          <w:sz w:val="24"/>
          <w:lang w:val="en-US" w:eastAsia="zh-CN"/>
        </w:rPr>
      </w:pPr>
      <w:r>
        <w:rPr>
          <w:rFonts w:hint="eastAsia" w:ascii="方正仿宋_GBK" w:hAnsi="宋体" w:eastAsia="方正仿宋_GBK"/>
          <w:sz w:val="24"/>
          <w:szCs w:val="24"/>
        </w:rPr>
        <w:t>（二）</w:t>
      </w:r>
      <w:bookmarkStart w:id="139" w:name="_Toc12313"/>
      <w:bookmarkStart w:id="140" w:name="_Toc313888361"/>
      <w:bookmarkStart w:id="141" w:name="_Toc342913420"/>
      <w:bookmarkStart w:id="142" w:name="_Toc22655"/>
      <w:bookmarkStart w:id="143" w:name="_Toc65660380"/>
      <w:bookmarkStart w:id="144" w:name="_Toc313008357"/>
      <w:bookmarkStart w:id="145" w:name="_Toc14073"/>
      <w:r>
        <w:rPr>
          <w:rFonts w:hint="eastAsia" w:ascii="方正仿宋_GBK" w:hAnsi="宋体" w:eastAsia="方正仿宋_GBK"/>
          <w:b w:val="0"/>
          <w:bCs/>
          <w:sz w:val="24"/>
          <w:lang w:val="en-US" w:eastAsia="zh-CN"/>
        </w:rPr>
        <w:t>开标现场最终报价表</w:t>
      </w:r>
      <w:bookmarkEnd w:id="139"/>
    </w:p>
    <w:p>
      <w:pPr>
        <w:pStyle w:val="5"/>
        <w:adjustRightInd w:val="0"/>
        <w:snapToGrid w:val="0"/>
        <w:spacing w:before="0" w:after="0" w:line="400" w:lineRule="exact"/>
        <w:ind w:firstLine="482" w:firstLineChars="200"/>
        <w:rPr>
          <w:rFonts w:hint="eastAsia" w:ascii="方正仿宋_GBK" w:hAnsi="宋体" w:eastAsia="方正仿宋_GBK"/>
          <w:sz w:val="24"/>
        </w:rPr>
      </w:pPr>
    </w:p>
    <w:p>
      <w:pPr>
        <w:tabs>
          <w:tab w:val="left" w:pos="6300"/>
        </w:tabs>
        <w:snapToGrid w:val="0"/>
        <w:spacing w:line="312" w:lineRule="auto"/>
        <w:ind w:firstLine="562"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开标现场最终报价表</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谈判项目名称：</w:t>
      </w:r>
    </w:p>
    <w:tbl>
      <w:tblPr>
        <w:tblStyle w:val="59"/>
        <w:tblW w:w="9505" w:type="dxa"/>
        <w:tblInd w:w="0" w:type="dxa"/>
        <w:tblLayout w:type="fixed"/>
        <w:tblCellMar>
          <w:top w:w="0" w:type="dxa"/>
          <w:left w:w="108" w:type="dxa"/>
          <w:bottom w:w="0" w:type="dxa"/>
          <w:right w:w="108" w:type="dxa"/>
        </w:tblCellMar>
      </w:tblPr>
      <w:tblGrid>
        <w:gridCol w:w="1885"/>
        <w:gridCol w:w="2820"/>
        <w:gridCol w:w="1605"/>
        <w:gridCol w:w="1140"/>
        <w:gridCol w:w="2055"/>
      </w:tblGrid>
      <w:tr>
        <w:tblPrEx>
          <w:tblCellMar>
            <w:top w:w="0" w:type="dxa"/>
            <w:left w:w="108" w:type="dxa"/>
            <w:bottom w:w="0" w:type="dxa"/>
            <w:right w:w="108" w:type="dxa"/>
          </w:tblCellMar>
        </w:tblPrEx>
        <w:trPr>
          <w:trHeight w:val="818"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产品名称</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国家标准</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规格（纯度）</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计量单位</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单价</w:t>
            </w:r>
            <w:r>
              <w:rPr>
                <w:rFonts w:hint="eastAsia" w:ascii="微软雅黑" w:hAnsi="微软雅黑" w:eastAsia="微软雅黑" w:cs="微软雅黑"/>
                <w:b/>
                <w:bCs/>
                <w:sz w:val="21"/>
                <w:szCs w:val="21"/>
                <w:lang w:val="en-US" w:eastAsia="zh-CN"/>
              </w:rPr>
              <w:t>限价</w:t>
            </w: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933"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933"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高纯氧（40L）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GB/T14599-2008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高纯氮（40L）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液氮</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kl</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纯氩（40L）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GB/T4842-2017</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3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二氧化碳     （40L）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GB/T6052-2011</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3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高纯二氧化碳     （40L）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GB/T23938-2009</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3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both"/>
              <w:rPr>
                <w:rFonts w:hint="eastAsia" w:ascii="微软雅黑" w:hAnsi="微软雅黑" w:eastAsia="微软雅黑" w:cs="微软雅黑"/>
                <w:sz w:val="21"/>
                <w:szCs w:val="21"/>
              </w:rPr>
            </w:pPr>
            <w:r>
              <w:rPr>
                <w:rFonts w:hint="eastAsia" w:ascii="微软雅黑" w:hAnsi="微软雅黑" w:eastAsia="微软雅黑" w:cs="微软雅黑"/>
                <w:sz w:val="21"/>
                <w:szCs w:val="21"/>
              </w:rPr>
              <w:t>高纯二氧化碳     （10L）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GB/T23938-2009</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09"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干燥空气（40L）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21%O2+79%N2</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933"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瓶装氮气(40升)</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GB/T3864-2008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680"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纯氮(40升)</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GB/T8979-2008</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933"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零级空气（40L）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21%O2+79%N2</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配制原料气纯度≥99.999%</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7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(7L)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7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瓶装医用氧</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《中国药典》2020年二部</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r>
        <w:tblPrEx>
          <w:tblCellMar>
            <w:top w:w="0" w:type="dxa"/>
            <w:left w:w="108" w:type="dxa"/>
            <w:bottom w:w="0" w:type="dxa"/>
            <w:right w:w="108" w:type="dxa"/>
          </w:tblCellMar>
        </w:tblPrEx>
        <w:trPr>
          <w:trHeight w:val="771" w:hRule="atLeast"/>
        </w:trPr>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混合气（40L）</w:t>
            </w:r>
          </w:p>
        </w:tc>
        <w:tc>
          <w:tcPr>
            <w:tcW w:w="28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FF0000"/>
                <w:sz w:val="21"/>
                <w:szCs w:val="21"/>
                <w:lang w:eastAsia="zh-CN"/>
              </w:rPr>
            </w:pPr>
            <w:r>
              <w:rPr>
                <w:rFonts w:hint="eastAsia" w:ascii="微软雅黑" w:hAnsi="微软雅黑" w:eastAsia="微软雅黑" w:cs="微软雅黑"/>
                <w:color w:val="FF0000"/>
                <w:sz w:val="21"/>
                <w:szCs w:val="21"/>
                <w:lang w:val="en-US" w:eastAsia="zh-CN"/>
              </w:rPr>
              <w:t>/</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配制原料气纯度O2≥99.5％</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N2≥99.2％</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CO2≥99.5％</w:t>
            </w:r>
          </w:p>
        </w:tc>
        <w:tc>
          <w:tcPr>
            <w:tcW w:w="11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瓶</w:t>
            </w:r>
          </w:p>
        </w:tc>
        <w:tc>
          <w:tcPr>
            <w:tcW w:w="205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p>
        </w:tc>
      </w:tr>
    </w:tbl>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                                   法定代表人授权代表：</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（投标人公章）                               （签字或盖章）</w:t>
      </w: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年     月     日</w:t>
      </w:r>
    </w:p>
    <w:p>
      <w:pPr>
        <w:rPr>
          <w:rFonts w:hint="eastAsia" w:ascii="方正仿宋_GBK" w:hAnsi="宋体" w:eastAsia="方正仿宋_GBK"/>
          <w:sz w:val="24"/>
        </w:rPr>
      </w:pPr>
    </w:p>
    <w:p>
      <w:pPr>
        <w:pStyle w:val="2"/>
        <w:rPr>
          <w:rFonts w:hint="eastAsia"/>
        </w:rPr>
      </w:pPr>
    </w:p>
    <w:p>
      <w:pPr>
        <w:pStyle w:val="3"/>
        <w:rPr>
          <w:rFonts w:hint="eastAsia"/>
        </w:rPr>
      </w:pP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color w:val="FF0000"/>
          <w:sz w:val="24"/>
          <w:szCs w:val="24"/>
          <w:lang w:val="en-US" w:eastAsia="zh-CN"/>
        </w:rPr>
        <w:t>注：该表须单独打印，投标报价部分于现场填写并提交</w:t>
      </w:r>
      <w:r>
        <w:rPr>
          <w:rFonts w:hint="eastAsia" w:ascii="方正仿宋_GBK" w:hAnsi="宋体" w:eastAsia="方正仿宋_GBK" w:cs="Times New Roman"/>
          <w:sz w:val="24"/>
          <w:szCs w:val="24"/>
          <w:lang w:val="en-US" w:eastAsia="zh-CN"/>
        </w:rPr>
        <w:t>。</w:t>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46" w:name="_Toc31312"/>
    </w:p>
    <w:p>
      <w:pPr>
        <w:pStyle w:val="5"/>
        <w:adjustRightInd w:val="0"/>
        <w:snapToGrid w:val="0"/>
        <w:spacing w:before="0" w:after="0" w:line="400" w:lineRule="exact"/>
        <w:ind w:firstLine="482" w:firstLineChars="200"/>
        <w:rPr>
          <w:rFonts w:hint="eastAsia" w:ascii="方正仿宋_GBK" w:hAnsi="宋体" w:eastAsia="方正仿宋_GBK"/>
          <w:sz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sz w:val="24"/>
        </w:rPr>
        <w:br w:type="page"/>
      </w:r>
    </w:p>
    <w:p>
      <w:pPr>
        <w:pStyle w:val="5"/>
        <w:adjustRightInd w:val="0"/>
        <w:snapToGrid w:val="0"/>
        <w:spacing w:before="0" w:after="0" w:line="400" w:lineRule="exact"/>
        <w:ind w:firstLine="482" w:firstLineChars="200"/>
        <w:rPr>
          <w:rFonts w:hint="eastAsia" w:ascii="方正仿宋_GBK" w:hAnsi="宋体" w:eastAsia="方正仿宋_GBK"/>
          <w:sz w:val="24"/>
        </w:rPr>
      </w:pPr>
      <w:bookmarkStart w:id="165" w:name="_GoBack"/>
      <w:bookmarkEnd w:id="165"/>
      <w:r>
        <w:rPr>
          <w:rFonts w:hint="eastAsia" w:ascii="方正仿宋_GBK" w:hAnsi="宋体" w:eastAsia="方正仿宋_GBK"/>
          <w:sz w:val="24"/>
        </w:rPr>
        <w:t>二、技术（质量）部分</w:t>
      </w:r>
      <w:bookmarkEnd w:id="140"/>
      <w:bookmarkEnd w:id="141"/>
      <w:bookmarkEnd w:id="142"/>
      <w:bookmarkEnd w:id="143"/>
      <w:bookmarkEnd w:id="144"/>
      <w:bookmarkEnd w:id="145"/>
      <w:bookmarkEnd w:id="146"/>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2844"/>
        <w:gridCol w:w="2952"/>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2844"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采购需求</w:t>
            </w:r>
          </w:p>
        </w:tc>
        <w:tc>
          <w:tcPr>
            <w:tcW w:w="295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响应情况</w:t>
            </w:r>
          </w:p>
        </w:tc>
        <w:tc>
          <w:tcPr>
            <w:tcW w:w="221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r>
              <w:rPr>
                <w:rFonts w:hint="eastAsia" w:ascii="方正仿宋_GBK" w:hAnsi="仿宋" w:eastAsia="方正仿宋_GBK"/>
                <w:sz w:val="21"/>
                <w:szCs w:val="21"/>
              </w:rPr>
              <w:t>提醒：请注明技术参数或具体内容以及响应文件中技术参数或具体内容的位置（页码）</w:t>
            </w: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w:t>
      </w:r>
      <w:r>
        <w:rPr>
          <w:rFonts w:hint="eastAsia" w:ascii="方正仿宋_GBK" w:hAnsi="宋体" w:eastAsia="方正仿宋_GBK"/>
          <w:sz w:val="24"/>
          <w:szCs w:val="24"/>
        </w:rPr>
        <w:t>签署</w:t>
      </w:r>
      <w:r>
        <w:rPr>
          <w:rFonts w:hint="eastAsia" w:ascii="方正仿宋_GBK" w:hAnsi="宋体" w:eastAsia="方正仿宋_GBK"/>
          <w:sz w:val="24"/>
          <w:szCs w:val="28"/>
        </w:rPr>
        <w:t>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谈判项目技术（质量）需求”中所列条款进行比较和响应；</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2.本表可扩展。</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br w:type="page"/>
      </w:r>
      <w:r>
        <w:rPr>
          <w:rFonts w:hint="eastAsia" w:ascii="方正仿宋_GBK" w:hAnsi="宋体" w:eastAsia="方正仿宋_GBK"/>
          <w:sz w:val="24"/>
          <w:szCs w:val="24"/>
        </w:rPr>
        <w:t>（二）其他资料（格式自定）</w:t>
      </w:r>
    </w:p>
    <w:p>
      <w:pPr>
        <w:tabs>
          <w:tab w:val="left" w:pos="6300"/>
        </w:tabs>
        <w:snapToGrid w:val="0"/>
        <w:spacing w:line="5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47" w:name="_Toc32339"/>
      <w:bookmarkStart w:id="148" w:name="_Toc65660381"/>
      <w:bookmarkStart w:id="149" w:name="_Toc32158"/>
      <w:bookmarkStart w:id="150" w:name="_Toc26038"/>
      <w:bookmarkStart w:id="151" w:name="_Toc342913421"/>
      <w:bookmarkStart w:id="152" w:name="_Toc313008358"/>
      <w:bookmarkStart w:id="153" w:name="_Toc313888362"/>
      <w:r>
        <w:rPr>
          <w:rFonts w:hint="eastAsia" w:ascii="方正仿宋_GBK" w:hAnsi="宋体" w:eastAsia="方正仿宋_GBK"/>
          <w:sz w:val="24"/>
        </w:rPr>
        <w:t>三、</w:t>
      </w:r>
      <w:r>
        <w:rPr>
          <w:rFonts w:hint="eastAsia" w:ascii="方正仿宋_GBK" w:hAnsi="宋体" w:eastAsia="方正仿宋_GBK"/>
          <w:sz w:val="24"/>
          <w:lang w:val="en-US" w:eastAsia="zh-CN"/>
        </w:rPr>
        <w:t>商务</w:t>
      </w:r>
      <w:r>
        <w:rPr>
          <w:rFonts w:hint="eastAsia" w:ascii="方正仿宋_GBK" w:hAnsi="宋体" w:eastAsia="方正仿宋_GBK"/>
          <w:sz w:val="24"/>
        </w:rPr>
        <w:t>部分</w:t>
      </w:r>
      <w:bookmarkEnd w:id="147"/>
      <w:bookmarkEnd w:id="148"/>
      <w:bookmarkEnd w:id="149"/>
      <w:bookmarkEnd w:id="15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3184"/>
        <w:gridCol w:w="2438"/>
        <w:gridCol w:w="2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512"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序号</w:t>
            </w:r>
          </w:p>
        </w:tc>
        <w:tc>
          <w:tcPr>
            <w:tcW w:w="3184"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采购需求</w:t>
            </w:r>
          </w:p>
        </w:tc>
        <w:tc>
          <w:tcPr>
            <w:tcW w:w="2438"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响应情况</w:t>
            </w:r>
          </w:p>
        </w:tc>
        <w:tc>
          <w:tcPr>
            <w:tcW w:w="2359"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outlineLvl w:val="0"/>
              <w:rPr>
                <w:rFonts w:hint="eastAsia" w:ascii="方正仿宋_GBK" w:hAnsi="宋体" w:eastAsia="方正仿宋_GBK"/>
                <w:sz w:val="21"/>
                <w:szCs w:val="24"/>
              </w:rPr>
            </w:pPr>
            <w:r>
              <w:rPr>
                <w:rFonts w:hint="eastAsia" w:ascii="方正仿宋_GBK" w:hAnsi="仿宋" w:eastAsia="方正仿宋_GBK"/>
                <w:sz w:val="21"/>
                <w:szCs w:val="21"/>
              </w:rPr>
              <w:t>提醒：请注明具体内容以及响应文件中具体内容的位置（页码）</w:t>
            </w: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谈判项目</w:t>
      </w:r>
      <w:r>
        <w:rPr>
          <w:rFonts w:hint="eastAsia" w:ascii="方正仿宋_GBK" w:hAnsi="仿宋" w:eastAsia="方正仿宋_GBK"/>
          <w:sz w:val="24"/>
          <w:szCs w:val="24"/>
          <w:lang w:val="en-US" w:eastAsia="zh-CN"/>
        </w:rPr>
        <w:t>商务</w:t>
      </w:r>
      <w:r>
        <w:rPr>
          <w:rFonts w:hint="eastAsia" w:ascii="方正仿宋_GBK" w:hAnsi="仿宋" w:eastAsia="方正仿宋_GBK"/>
          <w:sz w:val="24"/>
          <w:szCs w:val="24"/>
        </w:rPr>
        <w:t>需求”中所列条款进行比较和响应；</w:t>
      </w: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2.本表可扩展</w:t>
      </w:r>
      <w:r>
        <w:rPr>
          <w:rFonts w:hint="eastAsia" w:ascii="方正仿宋_GBK" w:hAnsi="宋体" w:eastAsia="方正仿宋_GBK"/>
          <w:sz w:val="24"/>
          <w:szCs w:val="24"/>
        </w:rPr>
        <w:t>。</w:t>
      </w:r>
    </w:p>
    <w:p>
      <w:pPr>
        <w:tabs>
          <w:tab w:val="left" w:pos="6300"/>
        </w:tabs>
        <w:snapToGrid w:val="0"/>
        <w:spacing w:line="480" w:lineRule="exact"/>
        <w:ind w:firstLine="480" w:firstLineChars="200"/>
        <w:rPr>
          <w:rFonts w:hint="eastAsia" w:ascii="方正仿宋_GBK" w:hAnsi="宋体" w:eastAsia="方正仿宋_GBK"/>
          <w:sz w:val="24"/>
          <w:szCs w:val="24"/>
        </w:rPr>
      </w:pP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r>
        <w:rPr>
          <w:rFonts w:hint="eastAsia" w:ascii="方正仿宋_GBK" w:hAnsi="宋体" w:eastAsia="方正仿宋_GBK"/>
          <w:sz w:val="24"/>
          <w:szCs w:val="24"/>
        </w:rPr>
        <w:t>（二）其它优惠承诺（格式自定）</w:t>
      </w:r>
    </w:p>
    <w:p>
      <w:pPr>
        <w:tabs>
          <w:tab w:val="left" w:pos="6300"/>
        </w:tabs>
        <w:snapToGrid w:val="0"/>
        <w:spacing w:line="48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r>
        <w:rPr>
          <w:rFonts w:ascii="方正仿宋_GBK" w:hAnsi="宋体" w:eastAsia="方正仿宋_GBK"/>
          <w:sz w:val="24"/>
          <w:szCs w:val="24"/>
        </w:rPr>
        <w:br w:type="page"/>
      </w:r>
      <w:bookmarkStart w:id="154" w:name="_Toc65660382"/>
      <w:bookmarkStart w:id="155" w:name="_Toc2082"/>
      <w:bookmarkStart w:id="156" w:name="_Toc20162"/>
      <w:bookmarkStart w:id="157" w:name="_Toc6614"/>
      <w:r>
        <w:rPr>
          <w:rFonts w:hint="eastAsia" w:ascii="方正仿宋_GBK" w:hAnsi="宋体" w:eastAsia="方正仿宋_GBK"/>
          <w:sz w:val="24"/>
        </w:rPr>
        <w:t>四、</w:t>
      </w:r>
      <w:bookmarkEnd w:id="151"/>
      <w:bookmarkEnd w:id="152"/>
      <w:bookmarkEnd w:id="153"/>
      <w:r>
        <w:rPr>
          <w:rFonts w:hint="eastAsia" w:ascii="方正仿宋_GBK" w:hAnsi="宋体" w:eastAsia="方正仿宋_GBK"/>
          <w:sz w:val="24"/>
        </w:rPr>
        <w:t>资格条件及其他</w:t>
      </w:r>
      <w:bookmarkEnd w:id="154"/>
      <w:bookmarkEnd w:id="155"/>
      <w:bookmarkEnd w:id="156"/>
      <w:bookmarkEnd w:id="157"/>
      <w:bookmarkStart w:id="158" w:name="_Toc342913422"/>
      <w:bookmarkStart w:id="159" w:name="_Toc313008359"/>
      <w:bookmarkStart w:id="160" w:name="_Toc31388836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500" w:lineRule="exact"/>
        <w:ind w:firstLine="570"/>
        <w:rPr>
          <w:rFonts w:hint="eastAsia" w:ascii="方正仿宋_GBK" w:hAnsi="宋体" w:eastAsia="方正仿宋_GBK"/>
          <w:sz w:val="24"/>
          <w:szCs w:val="24"/>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谈判项目名称：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widowControl/>
        <w:spacing w:line="400" w:lineRule="exact"/>
        <w:ind w:firstLine="560" w:firstLineChars="200"/>
        <w:jc w:val="left"/>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谈判项目名称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（被授权人姓名及身份证代码）代表我单位全权办理上述项目的谈判、签约等具体工作，并签署全部有关文件、协议及合同。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400" w:lineRule="exact"/>
        <w:ind w:firstLine="573"/>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widowControl/>
        <w:spacing w:line="400" w:lineRule="exact"/>
        <w:jc w:val="left"/>
        <w:rPr>
          <w:rFonts w:hint="eastAsia" w:ascii="方正仿宋_GBK" w:hAnsi="宋体" w:eastAsia="方正仿宋_GBK"/>
          <w:sz w:val="24"/>
          <w:szCs w:val="24"/>
          <w:lang w:val="en-US" w:eastAsia="zh-CN"/>
        </w:rPr>
      </w:pPr>
    </w:p>
    <w:p>
      <w:pPr>
        <w:pStyle w:val="2"/>
        <w:rPr>
          <w:rFonts w:hint="eastAsia"/>
          <w:lang w:val="en-US" w:eastAsia="zh-CN"/>
        </w:rPr>
      </w:pPr>
    </w:p>
    <w:p>
      <w:pPr>
        <w:pStyle w:val="3"/>
        <w:rPr>
          <w:rFonts w:hint="eastAsia" w:ascii="方正仿宋_GBK" w:hAnsi="宋体" w:eastAsia="方正仿宋_GBK"/>
          <w:sz w:val="24"/>
          <w:szCs w:val="24"/>
          <w:lang w:val="en-US" w:eastAsia="zh-CN"/>
        </w:rPr>
      </w:pPr>
    </w:p>
    <w:p>
      <w:pPr>
        <w:pStyle w:val="3"/>
        <w:rPr>
          <w:rFonts w:hint="eastAsia" w:ascii="方正仿宋_GBK" w:hAnsi="宋体" w:eastAsia="方正仿宋_GBK"/>
          <w:sz w:val="24"/>
          <w:szCs w:val="24"/>
          <w:lang w:val="en-US" w:eastAsia="zh-CN"/>
        </w:rPr>
      </w:pPr>
    </w:p>
    <w:p>
      <w:pPr>
        <w:pStyle w:val="3"/>
        <w:rPr>
          <w:rFonts w:hint="eastAsia" w:ascii="方正仿宋_GBK" w:hAnsi="宋体" w:eastAsia="方正仿宋_GBK"/>
          <w:sz w:val="24"/>
          <w:szCs w:val="24"/>
          <w:lang w:val="en-US" w:eastAsia="zh-CN"/>
        </w:rPr>
      </w:pPr>
    </w:p>
    <w:p>
      <w:pPr>
        <w:widowControl/>
        <w:spacing w:line="400" w:lineRule="exact"/>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3"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仿宋" w:eastAsia="方正仿宋_GBK"/>
          <w:sz w:val="24"/>
          <w:u w:val="single"/>
        </w:rPr>
        <w:t xml:space="preserve">                   </w:t>
      </w:r>
      <w:r>
        <w:rPr>
          <w:rFonts w:hint="eastAsia" w:ascii="方正仿宋_GBK" w:hAnsi="仿宋" w:eastAsia="方正仿宋_GBK"/>
          <w:sz w:val="24"/>
        </w:rPr>
        <w:t>（采购代理机构名称）：</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widowControl/>
        <w:spacing w:line="400" w:lineRule="exact"/>
        <w:ind w:firstLine="7920" w:firstLineChars="3300"/>
        <w:jc w:val="left"/>
        <w:rPr>
          <w:rFonts w:hint="eastAsia" w:ascii="方正仿宋_GBK" w:hAnsi="宋体" w:eastAsia="方正仿宋_GBK"/>
          <w:sz w:val="24"/>
          <w:szCs w:val="24"/>
        </w:rPr>
      </w:pPr>
      <w:r>
        <w:rPr>
          <w:rFonts w:hint="eastAsia" w:ascii="方正仿宋_GBK" w:hAnsi="仿宋" w:eastAsia="方正仿宋_GBK"/>
          <w:sz w:val="24"/>
        </w:rPr>
        <w:t>年   月   日</w:t>
      </w: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widowControl/>
        <w:spacing w:line="400" w:lineRule="exact"/>
        <w:ind w:firstLine="480" w:firstLineChars="200"/>
        <w:jc w:val="left"/>
        <w:rPr>
          <w:rFonts w:hint="eastAsia" w:ascii="方正仿宋_GBK" w:hAnsi="宋体" w:eastAsia="方正仿宋_GBK"/>
          <w:sz w:val="24"/>
          <w:szCs w:val="24"/>
        </w:rPr>
      </w:pPr>
    </w:p>
    <w:p>
      <w:pPr>
        <w:pStyle w:val="5"/>
        <w:adjustRightInd w:val="0"/>
        <w:snapToGrid w:val="0"/>
        <w:spacing w:before="0" w:after="0" w:line="400" w:lineRule="exact"/>
        <w:ind w:firstLine="482" w:firstLineChars="200"/>
        <w:rPr>
          <w:rFonts w:hint="eastAsia" w:ascii="方正仿宋_GBK" w:hAnsi="宋体" w:eastAsia="方正仿宋_GBK"/>
          <w:sz w:val="24"/>
        </w:rPr>
      </w:pPr>
      <w:r>
        <w:rPr>
          <w:rFonts w:ascii="方正仿宋_GBK" w:hAnsi="宋体" w:eastAsia="方正仿宋_GBK"/>
          <w:sz w:val="24"/>
          <w:szCs w:val="24"/>
        </w:rPr>
        <w:br w:type="page"/>
      </w:r>
      <w:bookmarkStart w:id="161" w:name="_Toc23859"/>
      <w:bookmarkStart w:id="162" w:name="_Toc2080"/>
      <w:bookmarkStart w:id="163" w:name="_Toc65660383"/>
      <w:bookmarkStart w:id="164" w:name="_Toc17010"/>
      <w:r>
        <w:rPr>
          <w:rFonts w:hint="eastAsia" w:ascii="方正仿宋_GBK" w:hAnsi="宋体" w:eastAsia="方正仿宋_GBK"/>
          <w:sz w:val="24"/>
        </w:rPr>
        <w:t>五、</w:t>
      </w:r>
      <w:bookmarkEnd w:id="158"/>
      <w:bookmarkEnd w:id="159"/>
      <w:bookmarkEnd w:id="160"/>
      <w:r>
        <w:rPr>
          <w:rFonts w:hint="eastAsia" w:ascii="方正仿宋_GBK" w:hAnsi="宋体" w:eastAsia="方正仿宋_GBK"/>
          <w:sz w:val="24"/>
        </w:rPr>
        <w:t>其他资料</w:t>
      </w:r>
      <w:bookmarkEnd w:id="161"/>
      <w:bookmarkEnd w:id="162"/>
      <w:bookmarkEnd w:id="163"/>
      <w:bookmarkEnd w:id="164"/>
    </w:p>
    <w:p>
      <w:pPr>
        <w:widowControl/>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p>
    <w:p>
      <w:pPr>
        <w:spacing w:line="360" w:lineRule="auto"/>
        <w:jc w:val="both"/>
        <w:rPr>
          <w:rFonts w:hint="eastAsia" w:ascii="方正仿宋_GBK" w:hAnsi="仿宋" w:eastAsia="方正仿宋_GBK"/>
        </w:rPr>
      </w:pPr>
      <w:r>
        <w:rPr>
          <w:rFonts w:hint="eastAsia" w:ascii="方正仿宋_GBK" w:hAnsi="仿宋"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昆仑楷体">
    <w:altName w:val="宋体"/>
    <w:panose1 w:val="02010609000101010101"/>
    <w:charset w:val="86"/>
    <w:family w:val="moder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文鼎粗黑">
    <w:altName w:val="黑体"/>
    <w:panose1 w:val="020B0609010101010101"/>
    <w:charset w:val="86"/>
    <w:family w:val="modern"/>
    <w:pitch w:val="default"/>
    <w:sig w:usb0="00000000" w:usb1="00000000" w:usb2="00000010" w:usb3="00000000" w:csb0="00040000"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3"/>
      </w:rPr>
    </w:pPr>
  </w:p>
  <w:p>
    <w:pPr>
      <w:pStyle w:val="37"/>
      <w:jc w:val="center"/>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3"/>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18</w:t>
                    </w:r>
                    <w:r>
                      <w:fldChar w:fldCharType="end"/>
                    </w:r>
                  </w:p>
                </w:txbxContent>
              </v:textbox>
            </v:shape>
          </w:pict>
        </mc:Fallback>
      </mc:AlternateContent>
    </w:r>
  </w:p>
  <w:p>
    <w:pPr>
      <w:pStyle w:val="3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rPr>
        <w:rFonts w:hint="default" w:eastAsia="宋体"/>
        <w:lang w:val="en-US" w:eastAsia="zh-CN"/>
      </w:rPr>
    </w:pPr>
    <w:r>
      <w:rPr>
        <w:rFonts w:hint="eastAsia"/>
        <w:lang w:val="en-US" w:eastAsia="zh-CN"/>
      </w:rPr>
      <w:t>重庆医科大学附属儿童医院竞争性谈判文件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46"/>
      <w:suff w:val="nothing"/>
      <w:lvlText w:val="附　录　%1"/>
      <w:lvlJc w:val="left"/>
      <w:pPr>
        <w:ind w:left="0" w:firstLine="0"/>
      </w:pPr>
      <w:rPr>
        <w:rFonts w:hint="eastAsia" w:ascii="黑体" w:hAnsi="Times New Roman" w:eastAsia="黑体"/>
        <w:b w:val="0"/>
        <w:i w:val="0"/>
        <w:sz w:val="21"/>
      </w:rPr>
    </w:lvl>
    <w:lvl w:ilvl="1" w:tentative="0">
      <w:start w:val="1"/>
      <w:numFmt w:val="decimal"/>
      <w:pStyle w:val="154"/>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95"/>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84"/>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187"/>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22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206"/>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219"/>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03"/>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58"/>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2"/>
  </w:num>
  <w:num w:numId="2">
    <w:abstractNumId w:val="8"/>
  </w:num>
  <w:num w:numId="3">
    <w:abstractNumId w:val="5"/>
  </w:num>
  <w:num w:numId="4">
    <w:abstractNumId w:val="3"/>
  </w:num>
  <w:num w:numId="5">
    <w:abstractNumId w:val="9"/>
  </w:num>
  <w:num w:numId="6">
    <w:abstractNumId w:val="0"/>
  </w:num>
  <w:num w:numId="7">
    <w:abstractNumId w:val="11"/>
  </w:num>
  <w:num w:numId="8">
    <w:abstractNumId w:val="2"/>
  </w:num>
  <w:num w:numId="9">
    <w:abstractNumId w:val="4"/>
  </w:num>
  <w:num w:numId="10">
    <w:abstractNumId w:val="1"/>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xMjQ2MDI1NmZlZDcwNDUyODczM2U4ZjFjNjY1ODIifQ=="/>
  </w:docVars>
  <w:rsids>
    <w:rsidRoot w:val="00172A27"/>
    <w:rsid w:val="00002EAF"/>
    <w:rsid w:val="000040DE"/>
    <w:rsid w:val="00005A02"/>
    <w:rsid w:val="00015A2E"/>
    <w:rsid w:val="00016B79"/>
    <w:rsid w:val="00026AFF"/>
    <w:rsid w:val="00027AF7"/>
    <w:rsid w:val="00033C8A"/>
    <w:rsid w:val="000358F8"/>
    <w:rsid w:val="000362F7"/>
    <w:rsid w:val="0003632F"/>
    <w:rsid w:val="00036537"/>
    <w:rsid w:val="00043C9B"/>
    <w:rsid w:val="000446C0"/>
    <w:rsid w:val="000513D1"/>
    <w:rsid w:val="0005298B"/>
    <w:rsid w:val="00052A3A"/>
    <w:rsid w:val="00053A69"/>
    <w:rsid w:val="00053CC2"/>
    <w:rsid w:val="00054308"/>
    <w:rsid w:val="0005456D"/>
    <w:rsid w:val="000549FF"/>
    <w:rsid w:val="000576E1"/>
    <w:rsid w:val="00063981"/>
    <w:rsid w:val="00064FA3"/>
    <w:rsid w:val="00091B1C"/>
    <w:rsid w:val="00092CF5"/>
    <w:rsid w:val="000938CD"/>
    <w:rsid w:val="000946B8"/>
    <w:rsid w:val="000959DA"/>
    <w:rsid w:val="00096E0E"/>
    <w:rsid w:val="000A126B"/>
    <w:rsid w:val="000A164E"/>
    <w:rsid w:val="000A2FE6"/>
    <w:rsid w:val="000A77B9"/>
    <w:rsid w:val="000B42F4"/>
    <w:rsid w:val="000B711E"/>
    <w:rsid w:val="000B7377"/>
    <w:rsid w:val="000B7F54"/>
    <w:rsid w:val="000C04DB"/>
    <w:rsid w:val="000C1EE4"/>
    <w:rsid w:val="000C34DA"/>
    <w:rsid w:val="000C3C93"/>
    <w:rsid w:val="000C5B30"/>
    <w:rsid w:val="000C6AC7"/>
    <w:rsid w:val="000D15C6"/>
    <w:rsid w:val="000D23F5"/>
    <w:rsid w:val="000D40BA"/>
    <w:rsid w:val="000E3259"/>
    <w:rsid w:val="000F3752"/>
    <w:rsid w:val="000F48FD"/>
    <w:rsid w:val="000F511B"/>
    <w:rsid w:val="000F5ACE"/>
    <w:rsid w:val="000F7DBF"/>
    <w:rsid w:val="00100639"/>
    <w:rsid w:val="00103DA9"/>
    <w:rsid w:val="00103DDC"/>
    <w:rsid w:val="0010418E"/>
    <w:rsid w:val="001077D3"/>
    <w:rsid w:val="001122C5"/>
    <w:rsid w:val="00113E89"/>
    <w:rsid w:val="00116856"/>
    <w:rsid w:val="00120259"/>
    <w:rsid w:val="00120851"/>
    <w:rsid w:val="00124CD0"/>
    <w:rsid w:val="00124CF0"/>
    <w:rsid w:val="001266BF"/>
    <w:rsid w:val="00131054"/>
    <w:rsid w:val="00133D16"/>
    <w:rsid w:val="0013496A"/>
    <w:rsid w:val="00135B50"/>
    <w:rsid w:val="00135E0D"/>
    <w:rsid w:val="001363B2"/>
    <w:rsid w:val="001376CB"/>
    <w:rsid w:val="001401FF"/>
    <w:rsid w:val="00140C83"/>
    <w:rsid w:val="00140E25"/>
    <w:rsid w:val="00147FB4"/>
    <w:rsid w:val="0015011C"/>
    <w:rsid w:val="00150429"/>
    <w:rsid w:val="0015108F"/>
    <w:rsid w:val="00153353"/>
    <w:rsid w:val="0015351E"/>
    <w:rsid w:val="001559C6"/>
    <w:rsid w:val="0016035A"/>
    <w:rsid w:val="0016303B"/>
    <w:rsid w:val="00165700"/>
    <w:rsid w:val="0017421F"/>
    <w:rsid w:val="001748ED"/>
    <w:rsid w:val="00177DD5"/>
    <w:rsid w:val="00180ACB"/>
    <w:rsid w:val="00181A7F"/>
    <w:rsid w:val="0018347E"/>
    <w:rsid w:val="0018465A"/>
    <w:rsid w:val="00184E27"/>
    <w:rsid w:val="00186623"/>
    <w:rsid w:val="0018699A"/>
    <w:rsid w:val="001915CE"/>
    <w:rsid w:val="001A0016"/>
    <w:rsid w:val="001A4270"/>
    <w:rsid w:val="001A6A3F"/>
    <w:rsid w:val="001A6DCC"/>
    <w:rsid w:val="001A7806"/>
    <w:rsid w:val="001B2365"/>
    <w:rsid w:val="001B3DBD"/>
    <w:rsid w:val="001B4377"/>
    <w:rsid w:val="001B6655"/>
    <w:rsid w:val="001D2321"/>
    <w:rsid w:val="001D2DCD"/>
    <w:rsid w:val="001D435E"/>
    <w:rsid w:val="001D5055"/>
    <w:rsid w:val="001E0376"/>
    <w:rsid w:val="001E5CAC"/>
    <w:rsid w:val="001E5EB4"/>
    <w:rsid w:val="001E725F"/>
    <w:rsid w:val="001E75B9"/>
    <w:rsid w:val="001E75F4"/>
    <w:rsid w:val="001F1AF7"/>
    <w:rsid w:val="001F1CA8"/>
    <w:rsid w:val="001F48D9"/>
    <w:rsid w:val="001F4964"/>
    <w:rsid w:val="001F511B"/>
    <w:rsid w:val="001F7063"/>
    <w:rsid w:val="00200186"/>
    <w:rsid w:val="00202B04"/>
    <w:rsid w:val="00204936"/>
    <w:rsid w:val="002100EE"/>
    <w:rsid w:val="002105E1"/>
    <w:rsid w:val="00211874"/>
    <w:rsid w:val="00211A92"/>
    <w:rsid w:val="0022065B"/>
    <w:rsid w:val="00222097"/>
    <w:rsid w:val="0022517B"/>
    <w:rsid w:val="00225B78"/>
    <w:rsid w:val="00227BA9"/>
    <w:rsid w:val="00231797"/>
    <w:rsid w:val="00235F8F"/>
    <w:rsid w:val="00237759"/>
    <w:rsid w:val="0024359D"/>
    <w:rsid w:val="00244E68"/>
    <w:rsid w:val="002539DF"/>
    <w:rsid w:val="00263F49"/>
    <w:rsid w:val="002643C1"/>
    <w:rsid w:val="00267DDF"/>
    <w:rsid w:val="00270ED7"/>
    <w:rsid w:val="00271A27"/>
    <w:rsid w:val="00271D47"/>
    <w:rsid w:val="002721EA"/>
    <w:rsid w:val="00275FED"/>
    <w:rsid w:val="00280E8A"/>
    <w:rsid w:val="00282FBA"/>
    <w:rsid w:val="00283A40"/>
    <w:rsid w:val="00283B57"/>
    <w:rsid w:val="00285164"/>
    <w:rsid w:val="00285D78"/>
    <w:rsid w:val="00293D74"/>
    <w:rsid w:val="00294EB6"/>
    <w:rsid w:val="00295381"/>
    <w:rsid w:val="002A4956"/>
    <w:rsid w:val="002A5652"/>
    <w:rsid w:val="002A6710"/>
    <w:rsid w:val="002A7598"/>
    <w:rsid w:val="002A7622"/>
    <w:rsid w:val="002B1F56"/>
    <w:rsid w:val="002B3C24"/>
    <w:rsid w:val="002B47A4"/>
    <w:rsid w:val="002B7904"/>
    <w:rsid w:val="002C0821"/>
    <w:rsid w:val="002C2507"/>
    <w:rsid w:val="002C2E6E"/>
    <w:rsid w:val="002C69BF"/>
    <w:rsid w:val="002C6DF1"/>
    <w:rsid w:val="002E4C46"/>
    <w:rsid w:val="002E632A"/>
    <w:rsid w:val="002F159B"/>
    <w:rsid w:val="002F1B06"/>
    <w:rsid w:val="002F26FF"/>
    <w:rsid w:val="002F3DE3"/>
    <w:rsid w:val="002F5060"/>
    <w:rsid w:val="002F632E"/>
    <w:rsid w:val="002F761B"/>
    <w:rsid w:val="00310AF9"/>
    <w:rsid w:val="00312897"/>
    <w:rsid w:val="0031465E"/>
    <w:rsid w:val="00314E6F"/>
    <w:rsid w:val="00315742"/>
    <w:rsid w:val="003163B3"/>
    <w:rsid w:val="00317698"/>
    <w:rsid w:val="00323FD5"/>
    <w:rsid w:val="00325A26"/>
    <w:rsid w:val="00326BBC"/>
    <w:rsid w:val="00335BDB"/>
    <w:rsid w:val="003360A8"/>
    <w:rsid w:val="003405FD"/>
    <w:rsid w:val="00341DEB"/>
    <w:rsid w:val="00343C3E"/>
    <w:rsid w:val="00346A3D"/>
    <w:rsid w:val="00350C20"/>
    <w:rsid w:val="0035143D"/>
    <w:rsid w:val="003548FA"/>
    <w:rsid w:val="00355A74"/>
    <w:rsid w:val="00361427"/>
    <w:rsid w:val="00361441"/>
    <w:rsid w:val="00362402"/>
    <w:rsid w:val="00363A39"/>
    <w:rsid w:val="0036458B"/>
    <w:rsid w:val="00371328"/>
    <w:rsid w:val="00371D2F"/>
    <w:rsid w:val="00372D5B"/>
    <w:rsid w:val="0037335E"/>
    <w:rsid w:val="00375E03"/>
    <w:rsid w:val="0038344F"/>
    <w:rsid w:val="00384161"/>
    <w:rsid w:val="00387610"/>
    <w:rsid w:val="00396FFE"/>
    <w:rsid w:val="003973D3"/>
    <w:rsid w:val="003A0892"/>
    <w:rsid w:val="003A449E"/>
    <w:rsid w:val="003A501C"/>
    <w:rsid w:val="003A57F1"/>
    <w:rsid w:val="003A71F3"/>
    <w:rsid w:val="003B19F5"/>
    <w:rsid w:val="003B2501"/>
    <w:rsid w:val="003B7B71"/>
    <w:rsid w:val="003C0A38"/>
    <w:rsid w:val="003D0E0A"/>
    <w:rsid w:val="003D1569"/>
    <w:rsid w:val="003E1F8A"/>
    <w:rsid w:val="003E4727"/>
    <w:rsid w:val="003E5324"/>
    <w:rsid w:val="003E5E67"/>
    <w:rsid w:val="00402B32"/>
    <w:rsid w:val="004044EE"/>
    <w:rsid w:val="00410C93"/>
    <w:rsid w:val="00411B4A"/>
    <w:rsid w:val="00412680"/>
    <w:rsid w:val="004167CD"/>
    <w:rsid w:val="00425367"/>
    <w:rsid w:val="00425EDA"/>
    <w:rsid w:val="0043290D"/>
    <w:rsid w:val="00433ADB"/>
    <w:rsid w:val="004353BF"/>
    <w:rsid w:val="004400CA"/>
    <w:rsid w:val="00446735"/>
    <w:rsid w:val="004474F3"/>
    <w:rsid w:val="004515DA"/>
    <w:rsid w:val="00453A00"/>
    <w:rsid w:val="004543A5"/>
    <w:rsid w:val="00462878"/>
    <w:rsid w:val="0046417B"/>
    <w:rsid w:val="004657EA"/>
    <w:rsid w:val="00481A49"/>
    <w:rsid w:val="00484E88"/>
    <w:rsid w:val="004953EC"/>
    <w:rsid w:val="004A015E"/>
    <w:rsid w:val="004A020F"/>
    <w:rsid w:val="004A0DE1"/>
    <w:rsid w:val="004A21A7"/>
    <w:rsid w:val="004A2410"/>
    <w:rsid w:val="004A27AC"/>
    <w:rsid w:val="004A2B68"/>
    <w:rsid w:val="004A6DDD"/>
    <w:rsid w:val="004A7523"/>
    <w:rsid w:val="004B181C"/>
    <w:rsid w:val="004C1DD0"/>
    <w:rsid w:val="004C2ED2"/>
    <w:rsid w:val="004C60EA"/>
    <w:rsid w:val="004C64E4"/>
    <w:rsid w:val="004D1D5E"/>
    <w:rsid w:val="004E0650"/>
    <w:rsid w:val="004E3234"/>
    <w:rsid w:val="004E3AEE"/>
    <w:rsid w:val="004E4EFB"/>
    <w:rsid w:val="004E55DB"/>
    <w:rsid w:val="004F0533"/>
    <w:rsid w:val="004F2A9F"/>
    <w:rsid w:val="004F6879"/>
    <w:rsid w:val="005000E9"/>
    <w:rsid w:val="00500D8B"/>
    <w:rsid w:val="00502B2F"/>
    <w:rsid w:val="00505F40"/>
    <w:rsid w:val="00512D00"/>
    <w:rsid w:val="00514179"/>
    <w:rsid w:val="00516CDF"/>
    <w:rsid w:val="005170E4"/>
    <w:rsid w:val="005171C9"/>
    <w:rsid w:val="005214D2"/>
    <w:rsid w:val="00522621"/>
    <w:rsid w:val="00524D8A"/>
    <w:rsid w:val="005266F6"/>
    <w:rsid w:val="005320C1"/>
    <w:rsid w:val="00536484"/>
    <w:rsid w:val="00545431"/>
    <w:rsid w:val="005460D5"/>
    <w:rsid w:val="0055517C"/>
    <w:rsid w:val="00556AA7"/>
    <w:rsid w:val="005573AE"/>
    <w:rsid w:val="0056050C"/>
    <w:rsid w:val="0056217D"/>
    <w:rsid w:val="00562860"/>
    <w:rsid w:val="005631C8"/>
    <w:rsid w:val="00565746"/>
    <w:rsid w:val="00566A85"/>
    <w:rsid w:val="00570831"/>
    <w:rsid w:val="00570FCB"/>
    <w:rsid w:val="00571368"/>
    <w:rsid w:val="00573AE3"/>
    <w:rsid w:val="00574240"/>
    <w:rsid w:val="005768CC"/>
    <w:rsid w:val="00581B74"/>
    <w:rsid w:val="00583204"/>
    <w:rsid w:val="005902D9"/>
    <w:rsid w:val="00590B75"/>
    <w:rsid w:val="0059244D"/>
    <w:rsid w:val="005925EE"/>
    <w:rsid w:val="00592A7E"/>
    <w:rsid w:val="005943A4"/>
    <w:rsid w:val="00596AB7"/>
    <w:rsid w:val="00597F87"/>
    <w:rsid w:val="005A1459"/>
    <w:rsid w:val="005A1EA7"/>
    <w:rsid w:val="005A7D38"/>
    <w:rsid w:val="005B0724"/>
    <w:rsid w:val="005B1E46"/>
    <w:rsid w:val="005B295A"/>
    <w:rsid w:val="005B7775"/>
    <w:rsid w:val="005C0014"/>
    <w:rsid w:val="005C2924"/>
    <w:rsid w:val="005C42AC"/>
    <w:rsid w:val="005C4F84"/>
    <w:rsid w:val="005C5383"/>
    <w:rsid w:val="005D12E2"/>
    <w:rsid w:val="005D3382"/>
    <w:rsid w:val="005D703E"/>
    <w:rsid w:val="005E370D"/>
    <w:rsid w:val="005E620C"/>
    <w:rsid w:val="005E7E9D"/>
    <w:rsid w:val="005F123E"/>
    <w:rsid w:val="005F1B6C"/>
    <w:rsid w:val="005F4509"/>
    <w:rsid w:val="005F7F2B"/>
    <w:rsid w:val="0060543A"/>
    <w:rsid w:val="00610C5F"/>
    <w:rsid w:val="00613410"/>
    <w:rsid w:val="00615434"/>
    <w:rsid w:val="0061717E"/>
    <w:rsid w:val="00617986"/>
    <w:rsid w:val="00625262"/>
    <w:rsid w:val="00627DD2"/>
    <w:rsid w:val="00635B4B"/>
    <w:rsid w:val="00640026"/>
    <w:rsid w:val="006414B7"/>
    <w:rsid w:val="00654A48"/>
    <w:rsid w:val="006552FD"/>
    <w:rsid w:val="0065651B"/>
    <w:rsid w:val="00664607"/>
    <w:rsid w:val="0066468B"/>
    <w:rsid w:val="00670089"/>
    <w:rsid w:val="00670560"/>
    <w:rsid w:val="006809DA"/>
    <w:rsid w:val="00680AE4"/>
    <w:rsid w:val="00684E51"/>
    <w:rsid w:val="0069086A"/>
    <w:rsid w:val="00695990"/>
    <w:rsid w:val="0069635B"/>
    <w:rsid w:val="006A100B"/>
    <w:rsid w:val="006A143A"/>
    <w:rsid w:val="006A278D"/>
    <w:rsid w:val="006A3285"/>
    <w:rsid w:val="006A4743"/>
    <w:rsid w:val="006A55C3"/>
    <w:rsid w:val="006B0048"/>
    <w:rsid w:val="006B17C8"/>
    <w:rsid w:val="006B243E"/>
    <w:rsid w:val="006B5E7E"/>
    <w:rsid w:val="006B72DE"/>
    <w:rsid w:val="006C4BA5"/>
    <w:rsid w:val="006C5FC1"/>
    <w:rsid w:val="006D44E1"/>
    <w:rsid w:val="006D552C"/>
    <w:rsid w:val="006E21FA"/>
    <w:rsid w:val="006E6952"/>
    <w:rsid w:val="006F03F0"/>
    <w:rsid w:val="006F0DEB"/>
    <w:rsid w:val="006F0FB7"/>
    <w:rsid w:val="006F15D4"/>
    <w:rsid w:val="006F354D"/>
    <w:rsid w:val="006F511B"/>
    <w:rsid w:val="006F70D3"/>
    <w:rsid w:val="006F7C11"/>
    <w:rsid w:val="00701184"/>
    <w:rsid w:val="00704E5D"/>
    <w:rsid w:val="00705739"/>
    <w:rsid w:val="007113A1"/>
    <w:rsid w:val="0071489C"/>
    <w:rsid w:val="007159B2"/>
    <w:rsid w:val="00717148"/>
    <w:rsid w:val="00717835"/>
    <w:rsid w:val="00724F97"/>
    <w:rsid w:val="00726088"/>
    <w:rsid w:val="007267F7"/>
    <w:rsid w:val="007279DB"/>
    <w:rsid w:val="00730B6A"/>
    <w:rsid w:val="00730BFB"/>
    <w:rsid w:val="00731622"/>
    <w:rsid w:val="00732F02"/>
    <w:rsid w:val="00734C8D"/>
    <w:rsid w:val="00736D88"/>
    <w:rsid w:val="00736DD2"/>
    <w:rsid w:val="00736E78"/>
    <w:rsid w:val="00743D93"/>
    <w:rsid w:val="00745FA2"/>
    <w:rsid w:val="0074681C"/>
    <w:rsid w:val="00746B5E"/>
    <w:rsid w:val="00746EC2"/>
    <w:rsid w:val="0075581A"/>
    <w:rsid w:val="0076486C"/>
    <w:rsid w:val="00765984"/>
    <w:rsid w:val="00767F36"/>
    <w:rsid w:val="00770494"/>
    <w:rsid w:val="00771617"/>
    <w:rsid w:val="00771A7C"/>
    <w:rsid w:val="007766B3"/>
    <w:rsid w:val="007766E9"/>
    <w:rsid w:val="00777433"/>
    <w:rsid w:val="007820DC"/>
    <w:rsid w:val="00785E3E"/>
    <w:rsid w:val="00785F86"/>
    <w:rsid w:val="00794CCF"/>
    <w:rsid w:val="00794FE8"/>
    <w:rsid w:val="007955DD"/>
    <w:rsid w:val="007959AC"/>
    <w:rsid w:val="007A20E0"/>
    <w:rsid w:val="007A2D82"/>
    <w:rsid w:val="007A64B7"/>
    <w:rsid w:val="007B2204"/>
    <w:rsid w:val="007B4B60"/>
    <w:rsid w:val="007C075F"/>
    <w:rsid w:val="007C2245"/>
    <w:rsid w:val="007C2331"/>
    <w:rsid w:val="007C2636"/>
    <w:rsid w:val="007C4A0F"/>
    <w:rsid w:val="007C75E9"/>
    <w:rsid w:val="007D3CA6"/>
    <w:rsid w:val="007E0D9F"/>
    <w:rsid w:val="007E298C"/>
    <w:rsid w:val="007E30A9"/>
    <w:rsid w:val="007E3989"/>
    <w:rsid w:val="007E64BA"/>
    <w:rsid w:val="007F2295"/>
    <w:rsid w:val="007F3CCE"/>
    <w:rsid w:val="007F5589"/>
    <w:rsid w:val="007F5C55"/>
    <w:rsid w:val="007F6A65"/>
    <w:rsid w:val="00801462"/>
    <w:rsid w:val="008026BD"/>
    <w:rsid w:val="00802CE7"/>
    <w:rsid w:val="00803B59"/>
    <w:rsid w:val="008041D4"/>
    <w:rsid w:val="00804AE5"/>
    <w:rsid w:val="00807C01"/>
    <w:rsid w:val="00807EE7"/>
    <w:rsid w:val="008109A2"/>
    <w:rsid w:val="0081156A"/>
    <w:rsid w:val="00815920"/>
    <w:rsid w:val="00823DF6"/>
    <w:rsid w:val="00825DDF"/>
    <w:rsid w:val="00826964"/>
    <w:rsid w:val="00827398"/>
    <w:rsid w:val="00831290"/>
    <w:rsid w:val="00832559"/>
    <w:rsid w:val="00832F7E"/>
    <w:rsid w:val="008409B0"/>
    <w:rsid w:val="00842974"/>
    <w:rsid w:val="0084353E"/>
    <w:rsid w:val="00851805"/>
    <w:rsid w:val="00853FE4"/>
    <w:rsid w:val="00854ACE"/>
    <w:rsid w:val="00854BF8"/>
    <w:rsid w:val="0085550A"/>
    <w:rsid w:val="0086105E"/>
    <w:rsid w:val="008616EF"/>
    <w:rsid w:val="00863C25"/>
    <w:rsid w:val="008668A0"/>
    <w:rsid w:val="008705BC"/>
    <w:rsid w:val="0087422F"/>
    <w:rsid w:val="00874324"/>
    <w:rsid w:val="00875A42"/>
    <w:rsid w:val="00883BD5"/>
    <w:rsid w:val="008904A8"/>
    <w:rsid w:val="00891344"/>
    <w:rsid w:val="008A2EFF"/>
    <w:rsid w:val="008A30C6"/>
    <w:rsid w:val="008A48FC"/>
    <w:rsid w:val="008A7C3B"/>
    <w:rsid w:val="008B12E9"/>
    <w:rsid w:val="008B53D8"/>
    <w:rsid w:val="008B63A1"/>
    <w:rsid w:val="008C28C6"/>
    <w:rsid w:val="008C3708"/>
    <w:rsid w:val="008C510F"/>
    <w:rsid w:val="008D264D"/>
    <w:rsid w:val="008D4DD3"/>
    <w:rsid w:val="008D5EB0"/>
    <w:rsid w:val="008D6EBF"/>
    <w:rsid w:val="008E0E94"/>
    <w:rsid w:val="008E39CA"/>
    <w:rsid w:val="008E50B8"/>
    <w:rsid w:val="008E66B8"/>
    <w:rsid w:val="008F00E5"/>
    <w:rsid w:val="008F1988"/>
    <w:rsid w:val="008F25DB"/>
    <w:rsid w:val="008F2AD5"/>
    <w:rsid w:val="008F2D73"/>
    <w:rsid w:val="008F3F62"/>
    <w:rsid w:val="008F6252"/>
    <w:rsid w:val="008F770B"/>
    <w:rsid w:val="009023F3"/>
    <w:rsid w:val="00902D42"/>
    <w:rsid w:val="0090383C"/>
    <w:rsid w:val="00904E19"/>
    <w:rsid w:val="00905382"/>
    <w:rsid w:val="00905D25"/>
    <w:rsid w:val="00907FFD"/>
    <w:rsid w:val="00911ACF"/>
    <w:rsid w:val="00911AE9"/>
    <w:rsid w:val="00912132"/>
    <w:rsid w:val="00912A05"/>
    <w:rsid w:val="00916001"/>
    <w:rsid w:val="009160E6"/>
    <w:rsid w:val="00922FAD"/>
    <w:rsid w:val="00924F0A"/>
    <w:rsid w:val="0092708B"/>
    <w:rsid w:val="009313BB"/>
    <w:rsid w:val="0093578C"/>
    <w:rsid w:val="00937713"/>
    <w:rsid w:val="00943FB2"/>
    <w:rsid w:val="009519E2"/>
    <w:rsid w:val="00954464"/>
    <w:rsid w:val="00960FDC"/>
    <w:rsid w:val="00963C95"/>
    <w:rsid w:val="00966820"/>
    <w:rsid w:val="00967377"/>
    <w:rsid w:val="00967A56"/>
    <w:rsid w:val="00972633"/>
    <w:rsid w:val="00973679"/>
    <w:rsid w:val="009739E4"/>
    <w:rsid w:val="00973E50"/>
    <w:rsid w:val="00980037"/>
    <w:rsid w:val="009821C6"/>
    <w:rsid w:val="00983B43"/>
    <w:rsid w:val="009935C9"/>
    <w:rsid w:val="00996D2C"/>
    <w:rsid w:val="009A070C"/>
    <w:rsid w:val="009B6D65"/>
    <w:rsid w:val="009C032D"/>
    <w:rsid w:val="009C3034"/>
    <w:rsid w:val="009C40F0"/>
    <w:rsid w:val="009C4958"/>
    <w:rsid w:val="009C7326"/>
    <w:rsid w:val="009D01D6"/>
    <w:rsid w:val="009D2934"/>
    <w:rsid w:val="009D6931"/>
    <w:rsid w:val="009E1F06"/>
    <w:rsid w:val="009E2AF3"/>
    <w:rsid w:val="009E737D"/>
    <w:rsid w:val="009E749B"/>
    <w:rsid w:val="009F3B26"/>
    <w:rsid w:val="009F3FE9"/>
    <w:rsid w:val="009F4390"/>
    <w:rsid w:val="009F5335"/>
    <w:rsid w:val="009F5682"/>
    <w:rsid w:val="00A03977"/>
    <w:rsid w:val="00A04BC7"/>
    <w:rsid w:val="00A050D4"/>
    <w:rsid w:val="00A056BA"/>
    <w:rsid w:val="00A065B8"/>
    <w:rsid w:val="00A16C2A"/>
    <w:rsid w:val="00A26FF7"/>
    <w:rsid w:val="00A30B50"/>
    <w:rsid w:val="00A3107D"/>
    <w:rsid w:val="00A330D4"/>
    <w:rsid w:val="00A35338"/>
    <w:rsid w:val="00A417D7"/>
    <w:rsid w:val="00A445DC"/>
    <w:rsid w:val="00A44BEA"/>
    <w:rsid w:val="00A527E2"/>
    <w:rsid w:val="00A553F3"/>
    <w:rsid w:val="00A575D9"/>
    <w:rsid w:val="00A57A7E"/>
    <w:rsid w:val="00A60C8A"/>
    <w:rsid w:val="00A66DEB"/>
    <w:rsid w:val="00A67DFB"/>
    <w:rsid w:val="00A67FC1"/>
    <w:rsid w:val="00A711C6"/>
    <w:rsid w:val="00A7358D"/>
    <w:rsid w:val="00A75ABC"/>
    <w:rsid w:val="00A7737E"/>
    <w:rsid w:val="00A77D33"/>
    <w:rsid w:val="00A837D7"/>
    <w:rsid w:val="00A84863"/>
    <w:rsid w:val="00A86554"/>
    <w:rsid w:val="00A911F8"/>
    <w:rsid w:val="00A930D0"/>
    <w:rsid w:val="00A943CB"/>
    <w:rsid w:val="00A952ED"/>
    <w:rsid w:val="00A95D95"/>
    <w:rsid w:val="00A974FE"/>
    <w:rsid w:val="00A977EC"/>
    <w:rsid w:val="00AA3FD1"/>
    <w:rsid w:val="00AA4AAD"/>
    <w:rsid w:val="00AB0701"/>
    <w:rsid w:val="00AB4509"/>
    <w:rsid w:val="00AB5D3A"/>
    <w:rsid w:val="00AB5ED3"/>
    <w:rsid w:val="00AB6B0C"/>
    <w:rsid w:val="00AB70CD"/>
    <w:rsid w:val="00AC2047"/>
    <w:rsid w:val="00AC2780"/>
    <w:rsid w:val="00AC28C5"/>
    <w:rsid w:val="00AC485C"/>
    <w:rsid w:val="00AC48B3"/>
    <w:rsid w:val="00AC6BCD"/>
    <w:rsid w:val="00AC7AC9"/>
    <w:rsid w:val="00AD23EF"/>
    <w:rsid w:val="00AD2504"/>
    <w:rsid w:val="00AD361A"/>
    <w:rsid w:val="00AD6A95"/>
    <w:rsid w:val="00AE0E00"/>
    <w:rsid w:val="00AE1920"/>
    <w:rsid w:val="00AE6A83"/>
    <w:rsid w:val="00AF01B3"/>
    <w:rsid w:val="00AF0F13"/>
    <w:rsid w:val="00AF65E5"/>
    <w:rsid w:val="00AF7992"/>
    <w:rsid w:val="00B00AB3"/>
    <w:rsid w:val="00B00B4D"/>
    <w:rsid w:val="00B031C9"/>
    <w:rsid w:val="00B0498C"/>
    <w:rsid w:val="00B04AB7"/>
    <w:rsid w:val="00B0583F"/>
    <w:rsid w:val="00B073C8"/>
    <w:rsid w:val="00B14C52"/>
    <w:rsid w:val="00B200AA"/>
    <w:rsid w:val="00B20272"/>
    <w:rsid w:val="00B21225"/>
    <w:rsid w:val="00B21731"/>
    <w:rsid w:val="00B225F1"/>
    <w:rsid w:val="00B22A7A"/>
    <w:rsid w:val="00B3056D"/>
    <w:rsid w:val="00B30755"/>
    <w:rsid w:val="00B313C2"/>
    <w:rsid w:val="00B33ED2"/>
    <w:rsid w:val="00B36D6C"/>
    <w:rsid w:val="00B4023A"/>
    <w:rsid w:val="00B44584"/>
    <w:rsid w:val="00B478C3"/>
    <w:rsid w:val="00B50A8F"/>
    <w:rsid w:val="00B51BBE"/>
    <w:rsid w:val="00B51C65"/>
    <w:rsid w:val="00B51D5D"/>
    <w:rsid w:val="00B534C4"/>
    <w:rsid w:val="00B537C3"/>
    <w:rsid w:val="00B61348"/>
    <w:rsid w:val="00B6263F"/>
    <w:rsid w:val="00B64178"/>
    <w:rsid w:val="00B67114"/>
    <w:rsid w:val="00B702D7"/>
    <w:rsid w:val="00B71C3A"/>
    <w:rsid w:val="00B75449"/>
    <w:rsid w:val="00B75F36"/>
    <w:rsid w:val="00B823F6"/>
    <w:rsid w:val="00B83831"/>
    <w:rsid w:val="00B93463"/>
    <w:rsid w:val="00B94CCB"/>
    <w:rsid w:val="00BA26B3"/>
    <w:rsid w:val="00BA3FFF"/>
    <w:rsid w:val="00BA4003"/>
    <w:rsid w:val="00BA527C"/>
    <w:rsid w:val="00BA67CA"/>
    <w:rsid w:val="00BA6F7B"/>
    <w:rsid w:val="00BB02CB"/>
    <w:rsid w:val="00BB5D6B"/>
    <w:rsid w:val="00BB7494"/>
    <w:rsid w:val="00BB778C"/>
    <w:rsid w:val="00BC0431"/>
    <w:rsid w:val="00BC19B9"/>
    <w:rsid w:val="00BC1C91"/>
    <w:rsid w:val="00BD0FBA"/>
    <w:rsid w:val="00BD7B7F"/>
    <w:rsid w:val="00BE07A9"/>
    <w:rsid w:val="00BE0A4E"/>
    <w:rsid w:val="00BE33D1"/>
    <w:rsid w:val="00BF4FCD"/>
    <w:rsid w:val="00BF5230"/>
    <w:rsid w:val="00BF7EE4"/>
    <w:rsid w:val="00C01161"/>
    <w:rsid w:val="00C1090C"/>
    <w:rsid w:val="00C23C73"/>
    <w:rsid w:val="00C240C8"/>
    <w:rsid w:val="00C26513"/>
    <w:rsid w:val="00C37F72"/>
    <w:rsid w:val="00C420C1"/>
    <w:rsid w:val="00C4525F"/>
    <w:rsid w:val="00C45963"/>
    <w:rsid w:val="00C472B8"/>
    <w:rsid w:val="00C477E6"/>
    <w:rsid w:val="00C53124"/>
    <w:rsid w:val="00C53B2E"/>
    <w:rsid w:val="00C53B49"/>
    <w:rsid w:val="00C53FFD"/>
    <w:rsid w:val="00C55080"/>
    <w:rsid w:val="00C6160A"/>
    <w:rsid w:val="00C64326"/>
    <w:rsid w:val="00C65570"/>
    <w:rsid w:val="00C67CCD"/>
    <w:rsid w:val="00C7484C"/>
    <w:rsid w:val="00C753F3"/>
    <w:rsid w:val="00C76ECD"/>
    <w:rsid w:val="00C83C75"/>
    <w:rsid w:val="00C84763"/>
    <w:rsid w:val="00C848E6"/>
    <w:rsid w:val="00C84E04"/>
    <w:rsid w:val="00C8791A"/>
    <w:rsid w:val="00C909AA"/>
    <w:rsid w:val="00C910BE"/>
    <w:rsid w:val="00C9130D"/>
    <w:rsid w:val="00C922BE"/>
    <w:rsid w:val="00C92F76"/>
    <w:rsid w:val="00C94FD0"/>
    <w:rsid w:val="00C951AE"/>
    <w:rsid w:val="00CA5844"/>
    <w:rsid w:val="00CA7415"/>
    <w:rsid w:val="00CB2177"/>
    <w:rsid w:val="00CB265C"/>
    <w:rsid w:val="00CB4FEB"/>
    <w:rsid w:val="00CB7A07"/>
    <w:rsid w:val="00CC457C"/>
    <w:rsid w:val="00CC59BB"/>
    <w:rsid w:val="00CD635D"/>
    <w:rsid w:val="00CD7CED"/>
    <w:rsid w:val="00CE04C7"/>
    <w:rsid w:val="00CF09B7"/>
    <w:rsid w:val="00CF156B"/>
    <w:rsid w:val="00CF1E02"/>
    <w:rsid w:val="00CF2D68"/>
    <w:rsid w:val="00CF2F47"/>
    <w:rsid w:val="00CF329B"/>
    <w:rsid w:val="00CF597A"/>
    <w:rsid w:val="00D0319A"/>
    <w:rsid w:val="00D032D5"/>
    <w:rsid w:val="00D05BAA"/>
    <w:rsid w:val="00D07FB9"/>
    <w:rsid w:val="00D10112"/>
    <w:rsid w:val="00D121B8"/>
    <w:rsid w:val="00D13B7A"/>
    <w:rsid w:val="00D22C4B"/>
    <w:rsid w:val="00D230C7"/>
    <w:rsid w:val="00D235DF"/>
    <w:rsid w:val="00D23E7D"/>
    <w:rsid w:val="00D2405F"/>
    <w:rsid w:val="00D24905"/>
    <w:rsid w:val="00D25FE3"/>
    <w:rsid w:val="00D30C7F"/>
    <w:rsid w:val="00D35D2A"/>
    <w:rsid w:val="00D41BA9"/>
    <w:rsid w:val="00D456F3"/>
    <w:rsid w:val="00D46250"/>
    <w:rsid w:val="00D52376"/>
    <w:rsid w:val="00D54CA1"/>
    <w:rsid w:val="00D57B9E"/>
    <w:rsid w:val="00D60F92"/>
    <w:rsid w:val="00D612C2"/>
    <w:rsid w:val="00D64080"/>
    <w:rsid w:val="00D66A2D"/>
    <w:rsid w:val="00D745E0"/>
    <w:rsid w:val="00D74CF9"/>
    <w:rsid w:val="00D76AA3"/>
    <w:rsid w:val="00D80604"/>
    <w:rsid w:val="00D858F8"/>
    <w:rsid w:val="00D86212"/>
    <w:rsid w:val="00D91FE4"/>
    <w:rsid w:val="00D9460E"/>
    <w:rsid w:val="00D952B8"/>
    <w:rsid w:val="00D95411"/>
    <w:rsid w:val="00DA086B"/>
    <w:rsid w:val="00DA0B92"/>
    <w:rsid w:val="00DA5225"/>
    <w:rsid w:val="00DA565F"/>
    <w:rsid w:val="00DA5E46"/>
    <w:rsid w:val="00DA7E05"/>
    <w:rsid w:val="00DB1007"/>
    <w:rsid w:val="00DB4794"/>
    <w:rsid w:val="00DB4BDE"/>
    <w:rsid w:val="00DB5457"/>
    <w:rsid w:val="00DB5C3E"/>
    <w:rsid w:val="00DB628E"/>
    <w:rsid w:val="00DD1761"/>
    <w:rsid w:val="00DD66DC"/>
    <w:rsid w:val="00DE1E3E"/>
    <w:rsid w:val="00DE4929"/>
    <w:rsid w:val="00DE4DC4"/>
    <w:rsid w:val="00DE5BEB"/>
    <w:rsid w:val="00DE7ABF"/>
    <w:rsid w:val="00DF2028"/>
    <w:rsid w:val="00DF3046"/>
    <w:rsid w:val="00DF348B"/>
    <w:rsid w:val="00DF39A9"/>
    <w:rsid w:val="00DF782C"/>
    <w:rsid w:val="00E023D0"/>
    <w:rsid w:val="00E02BE3"/>
    <w:rsid w:val="00E030A0"/>
    <w:rsid w:val="00E04FF7"/>
    <w:rsid w:val="00E124E3"/>
    <w:rsid w:val="00E1356C"/>
    <w:rsid w:val="00E1419D"/>
    <w:rsid w:val="00E14812"/>
    <w:rsid w:val="00E14F74"/>
    <w:rsid w:val="00E15DDE"/>
    <w:rsid w:val="00E2339E"/>
    <w:rsid w:val="00E2709C"/>
    <w:rsid w:val="00E308E8"/>
    <w:rsid w:val="00E3245B"/>
    <w:rsid w:val="00E34DF5"/>
    <w:rsid w:val="00E3707B"/>
    <w:rsid w:val="00E4024B"/>
    <w:rsid w:val="00E40CF1"/>
    <w:rsid w:val="00E4710C"/>
    <w:rsid w:val="00E50685"/>
    <w:rsid w:val="00E570D9"/>
    <w:rsid w:val="00E57F6B"/>
    <w:rsid w:val="00E64B94"/>
    <w:rsid w:val="00E654A2"/>
    <w:rsid w:val="00E71934"/>
    <w:rsid w:val="00E7342C"/>
    <w:rsid w:val="00E81737"/>
    <w:rsid w:val="00E8198D"/>
    <w:rsid w:val="00E873EA"/>
    <w:rsid w:val="00E91EC1"/>
    <w:rsid w:val="00E947AE"/>
    <w:rsid w:val="00E95ABA"/>
    <w:rsid w:val="00EA010E"/>
    <w:rsid w:val="00EA4561"/>
    <w:rsid w:val="00EB0588"/>
    <w:rsid w:val="00EB0E2D"/>
    <w:rsid w:val="00EB1E33"/>
    <w:rsid w:val="00EB215E"/>
    <w:rsid w:val="00EB2F99"/>
    <w:rsid w:val="00EB4AA3"/>
    <w:rsid w:val="00EB706C"/>
    <w:rsid w:val="00EC0215"/>
    <w:rsid w:val="00EC029D"/>
    <w:rsid w:val="00EC0881"/>
    <w:rsid w:val="00EC3AB1"/>
    <w:rsid w:val="00ED05EA"/>
    <w:rsid w:val="00ED0742"/>
    <w:rsid w:val="00ED216E"/>
    <w:rsid w:val="00ED579F"/>
    <w:rsid w:val="00EE061A"/>
    <w:rsid w:val="00EE30AF"/>
    <w:rsid w:val="00EE67BB"/>
    <w:rsid w:val="00EE68E4"/>
    <w:rsid w:val="00EF2477"/>
    <w:rsid w:val="00F009EC"/>
    <w:rsid w:val="00F06551"/>
    <w:rsid w:val="00F06D97"/>
    <w:rsid w:val="00F10932"/>
    <w:rsid w:val="00F11A47"/>
    <w:rsid w:val="00F134B1"/>
    <w:rsid w:val="00F13738"/>
    <w:rsid w:val="00F169C3"/>
    <w:rsid w:val="00F16EFC"/>
    <w:rsid w:val="00F1718E"/>
    <w:rsid w:val="00F20FF1"/>
    <w:rsid w:val="00F25205"/>
    <w:rsid w:val="00F2777C"/>
    <w:rsid w:val="00F31987"/>
    <w:rsid w:val="00F35457"/>
    <w:rsid w:val="00F3595B"/>
    <w:rsid w:val="00F36398"/>
    <w:rsid w:val="00F4097C"/>
    <w:rsid w:val="00F426A6"/>
    <w:rsid w:val="00F429FD"/>
    <w:rsid w:val="00F449C4"/>
    <w:rsid w:val="00F538D9"/>
    <w:rsid w:val="00F5531F"/>
    <w:rsid w:val="00F56399"/>
    <w:rsid w:val="00F63953"/>
    <w:rsid w:val="00F6510D"/>
    <w:rsid w:val="00F65545"/>
    <w:rsid w:val="00F6689A"/>
    <w:rsid w:val="00F7213B"/>
    <w:rsid w:val="00F725B2"/>
    <w:rsid w:val="00F7298D"/>
    <w:rsid w:val="00F7750A"/>
    <w:rsid w:val="00F80006"/>
    <w:rsid w:val="00F80084"/>
    <w:rsid w:val="00F81663"/>
    <w:rsid w:val="00F85A30"/>
    <w:rsid w:val="00F92045"/>
    <w:rsid w:val="00F95676"/>
    <w:rsid w:val="00F96A73"/>
    <w:rsid w:val="00FA0979"/>
    <w:rsid w:val="00FA5828"/>
    <w:rsid w:val="00FB3FC5"/>
    <w:rsid w:val="00FB4BA6"/>
    <w:rsid w:val="00FC3EBE"/>
    <w:rsid w:val="00FC66C2"/>
    <w:rsid w:val="00FC6F58"/>
    <w:rsid w:val="00FC6FA8"/>
    <w:rsid w:val="00FD2470"/>
    <w:rsid w:val="00FD26B5"/>
    <w:rsid w:val="00FD5823"/>
    <w:rsid w:val="00FE1B42"/>
    <w:rsid w:val="00FE1C27"/>
    <w:rsid w:val="00FE215B"/>
    <w:rsid w:val="00FE5C31"/>
    <w:rsid w:val="00FE68B1"/>
    <w:rsid w:val="00FF25BA"/>
    <w:rsid w:val="00FF3BC9"/>
    <w:rsid w:val="00FF748B"/>
    <w:rsid w:val="00FF7623"/>
    <w:rsid w:val="015251A9"/>
    <w:rsid w:val="037F1AAB"/>
    <w:rsid w:val="03BE7F18"/>
    <w:rsid w:val="0480254A"/>
    <w:rsid w:val="04D46D43"/>
    <w:rsid w:val="08C52A1E"/>
    <w:rsid w:val="0CC74CE0"/>
    <w:rsid w:val="0EBC78C0"/>
    <w:rsid w:val="107752B0"/>
    <w:rsid w:val="11A92009"/>
    <w:rsid w:val="12D62551"/>
    <w:rsid w:val="16480659"/>
    <w:rsid w:val="1ABD3F8C"/>
    <w:rsid w:val="1B344769"/>
    <w:rsid w:val="1BA4182E"/>
    <w:rsid w:val="1C746C70"/>
    <w:rsid w:val="1CD758AD"/>
    <w:rsid w:val="1DF1193F"/>
    <w:rsid w:val="1EBA4A39"/>
    <w:rsid w:val="21E738ED"/>
    <w:rsid w:val="245B32B8"/>
    <w:rsid w:val="25D1069F"/>
    <w:rsid w:val="25D216B8"/>
    <w:rsid w:val="25F15DB5"/>
    <w:rsid w:val="266A7FA7"/>
    <w:rsid w:val="29505CDA"/>
    <w:rsid w:val="2B286BC5"/>
    <w:rsid w:val="2B89500C"/>
    <w:rsid w:val="2C2D2523"/>
    <w:rsid w:val="2F57706B"/>
    <w:rsid w:val="310E761B"/>
    <w:rsid w:val="33AD685B"/>
    <w:rsid w:val="3530225E"/>
    <w:rsid w:val="361E4B80"/>
    <w:rsid w:val="36EA2EF3"/>
    <w:rsid w:val="36F92625"/>
    <w:rsid w:val="3AD31FFD"/>
    <w:rsid w:val="3B0D2CD2"/>
    <w:rsid w:val="3C75460F"/>
    <w:rsid w:val="3D396C7C"/>
    <w:rsid w:val="3E8D1015"/>
    <w:rsid w:val="3F2255E5"/>
    <w:rsid w:val="40D8574E"/>
    <w:rsid w:val="414C48A8"/>
    <w:rsid w:val="4311195E"/>
    <w:rsid w:val="43D7786D"/>
    <w:rsid w:val="44637395"/>
    <w:rsid w:val="461F6313"/>
    <w:rsid w:val="4A0C2326"/>
    <w:rsid w:val="4AB80486"/>
    <w:rsid w:val="4E3F2D9E"/>
    <w:rsid w:val="50A27791"/>
    <w:rsid w:val="51BB25F2"/>
    <w:rsid w:val="526562DC"/>
    <w:rsid w:val="52EB45C2"/>
    <w:rsid w:val="531E68CD"/>
    <w:rsid w:val="545C6AF1"/>
    <w:rsid w:val="56B61429"/>
    <w:rsid w:val="56D66DE4"/>
    <w:rsid w:val="575E1494"/>
    <w:rsid w:val="589F3A44"/>
    <w:rsid w:val="59D9651C"/>
    <w:rsid w:val="59DC3A22"/>
    <w:rsid w:val="5BD75000"/>
    <w:rsid w:val="5BDC2C95"/>
    <w:rsid w:val="5C5666C8"/>
    <w:rsid w:val="5CE01A54"/>
    <w:rsid w:val="5D1B313B"/>
    <w:rsid w:val="5E910B3F"/>
    <w:rsid w:val="666A0BEA"/>
    <w:rsid w:val="6B0335F9"/>
    <w:rsid w:val="6F393418"/>
    <w:rsid w:val="716F5BBA"/>
    <w:rsid w:val="72026C0C"/>
    <w:rsid w:val="721C3F61"/>
    <w:rsid w:val="75123F8E"/>
    <w:rsid w:val="75256D8B"/>
    <w:rsid w:val="789E5CA1"/>
    <w:rsid w:val="79C147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1">
    <w:name w:val="Default Paragraph Font"/>
    <w:qFormat/>
    <w:uiPriority w:val="0"/>
  </w:style>
  <w:style w:type="table" w:default="1" w:styleId="59">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2"/>
      </w:numPr>
      <w:tabs>
        <w:tab w:val="left" w:pos="780"/>
        <w:tab w:val="clear" w:pos="425"/>
      </w:tabs>
      <w:spacing w:line="360" w:lineRule="auto"/>
    </w:pPr>
    <w:rPr>
      <w:sz w:val="24"/>
    </w:rPr>
  </w:style>
  <w:style w:type="paragraph" w:styleId="16">
    <w:name w:val="List Bullet 4"/>
    <w:basedOn w:val="1"/>
    <w:qFormat/>
    <w:uiPriority w:val="0"/>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1"/>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4"/>
      </w:numPr>
      <w:adjustRightInd w:val="0"/>
      <w:snapToGrid w:val="0"/>
      <w:spacing w:line="360" w:lineRule="auto"/>
    </w:pPr>
    <w:rPr>
      <w:sz w:val="24"/>
    </w:rPr>
  </w:style>
  <w:style w:type="paragraph" w:styleId="24">
    <w:name w:val="Body Text"/>
    <w:basedOn w:val="1"/>
    <w:next w:val="1"/>
    <w:qFormat/>
    <w:uiPriority w:val="0"/>
    <w:rPr>
      <w:rFonts w:ascii="仿宋_GB2312" w:eastAsia="仿宋_GB2312"/>
      <w:sz w:val="32"/>
    </w:rPr>
  </w:style>
  <w:style w:type="paragraph" w:styleId="25">
    <w:name w:val="Body Text Indent"/>
    <w:basedOn w:val="1"/>
    <w:link w:val="72"/>
    <w:qFormat/>
    <w:uiPriority w:val="0"/>
    <w:pPr>
      <w:spacing w:line="700" w:lineRule="exact"/>
      <w:ind w:left="960"/>
    </w:pPr>
    <w:rPr>
      <w:sz w:val="44"/>
    </w:rPr>
  </w:style>
  <w:style w:type="paragraph" w:styleId="26">
    <w:name w:val="List Number 3"/>
    <w:basedOn w:val="1"/>
    <w:qFormat/>
    <w:uiPriority w:val="0"/>
    <w:pPr>
      <w:tabs>
        <w:tab w:val="left" w:pos="2120"/>
      </w:tabs>
      <w:adjustRightInd w:val="0"/>
      <w:snapToGrid w:val="0"/>
      <w:spacing w:line="360" w:lineRule="auto"/>
      <w:ind w:left="2120" w:hanging="720"/>
    </w:pPr>
    <w:rPr>
      <w:sz w:val="24"/>
    </w:rPr>
  </w:style>
  <w:style w:type="paragraph" w:styleId="27">
    <w:name w:val="List 2"/>
    <w:basedOn w:val="1"/>
    <w:qFormat/>
    <w:uiPriority w:val="0"/>
    <w:pPr>
      <w:adjustRightInd w:val="0"/>
      <w:snapToGrid w:val="0"/>
      <w:spacing w:line="360" w:lineRule="auto"/>
      <w:ind w:left="100" w:leftChars="200" w:hanging="200" w:hangingChars="200"/>
    </w:pPr>
    <w:rPr>
      <w:sz w:val="24"/>
    </w:rPr>
  </w:style>
  <w:style w:type="paragraph" w:styleId="28">
    <w:name w:val="List Continue"/>
    <w:basedOn w:val="1"/>
    <w:qFormat/>
    <w:uiPriority w:val="0"/>
    <w:pPr>
      <w:adjustRightInd w:val="0"/>
      <w:snapToGrid w:val="0"/>
      <w:spacing w:after="120" w:afterLines="0" w:afterAutospacing="0" w:line="360" w:lineRule="auto"/>
      <w:ind w:left="420" w:leftChars="200"/>
    </w:pPr>
    <w:rPr>
      <w:sz w:val="24"/>
    </w:rPr>
  </w:style>
  <w:style w:type="paragraph" w:styleId="29">
    <w:name w:val="List Bullet 2"/>
    <w:basedOn w:val="1"/>
    <w:qFormat/>
    <w:uiPriority w:val="0"/>
    <w:pPr>
      <w:numPr>
        <w:ilvl w:val="0"/>
        <w:numId w:val="5"/>
      </w:numPr>
      <w:adjustRightInd w:val="0"/>
      <w:snapToGrid w:val="0"/>
      <w:spacing w:line="360" w:lineRule="auto"/>
    </w:pPr>
    <w:rPr>
      <w:sz w:val="24"/>
    </w:r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73"/>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4"/>
    <w:qFormat/>
    <w:uiPriority w:val="0"/>
  </w:style>
  <w:style w:type="paragraph" w:styleId="35">
    <w:name w:val="Body Text Indent 2"/>
    <w:basedOn w:val="1"/>
    <w:link w:val="75"/>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39"/>
    <w:pPr>
      <w:spacing w:line="180" w:lineRule="auto"/>
      <w:jc w:val="center"/>
    </w:pPr>
    <w:rPr>
      <w:sz w:val="30"/>
    </w:rPr>
  </w:style>
  <w:style w:type="paragraph" w:styleId="40">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6"/>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afterLines="0" w:afterAutospacing="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2">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3">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6">
    <w:name w:val="annotation subject"/>
    <w:basedOn w:val="21"/>
    <w:next w:val="21"/>
    <w:link w:val="77"/>
    <w:qFormat/>
    <w:uiPriority w:val="0"/>
    <w:pPr>
      <w:adjustRightInd/>
      <w:spacing w:line="240" w:lineRule="auto"/>
      <w:textAlignment w:val="auto"/>
    </w:pPr>
  </w:style>
  <w:style w:type="paragraph" w:styleId="57">
    <w:name w:val="Body Text First Indent"/>
    <w:basedOn w:val="1"/>
    <w:qFormat/>
    <w:uiPriority w:val="0"/>
    <w:pPr>
      <w:spacing w:line="360" w:lineRule="auto"/>
      <w:ind w:firstLine="420"/>
    </w:pPr>
    <w:rPr>
      <w:rFonts w:ascii="宋体" w:hAnsi="宋体"/>
      <w:sz w:val="24"/>
    </w:rPr>
  </w:style>
  <w:style w:type="paragraph" w:styleId="58">
    <w:name w:val="Body Text First Indent 2"/>
    <w:basedOn w:val="25"/>
    <w:link w:val="78"/>
    <w:qFormat/>
    <w:uiPriority w:val="0"/>
    <w:pPr>
      <w:spacing w:after="120" w:afterLines="0" w:line="240" w:lineRule="auto"/>
      <w:ind w:left="420" w:leftChars="200" w:firstLine="420" w:firstLineChars="200"/>
    </w:pPr>
  </w:style>
  <w:style w:type="table" w:styleId="60">
    <w:name w:val="Table Grid"/>
    <w:basedOn w:val="5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basedOn w:val="61"/>
    <w:qFormat/>
    <w:uiPriority w:val="22"/>
    <w:rPr>
      <w:b/>
    </w:rPr>
  </w:style>
  <w:style w:type="character" w:styleId="63">
    <w:name w:val="page number"/>
    <w:qFormat/>
    <w:uiPriority w:val="0"/>
  </w:style>
  <w:style w:type="character" w:styleId="64">
    <w:name w:val="FollowedHyperlink"/>
    <w:qFormat/>
    <w:uiPriority w:val="0"/>
    <w:rPr>
      <w:color w:val="800080"/>
      <w:u w:val="single"/>
    </w:rPr>
  </w:style>
  <w:style w:type="character" w:styleId="65">
    <w:name w:val="Emphasis"/>
    <w:qFormat/>
    <w:uiPriority w:val="0"/>
    <w:rPr>
      <w:i/>
    </w:rPr>
  </w:style>
  <w:style w:type="character" w:styleId="66">
    <w:name w:val="Hyperlink"/>
    <w:qFormat/>
    <w:uiPriority w:val="99"/>
    <w:rPr>
      <w:color w:val="0000FF"/>
      <w:u w:val="single"/>
    </w:rPr>
  </w:style>
  <w:style w:type="character" w:styleId="67">
    <w:name w:val="annotation reference"/>
    <w:qFormat/>
    <w:uiPriority w:val="0"/>
    <w:rPr>
      <w:sz w:val="21"/>
      <w:szCs w:val="21"/>
    </w:rPr>
  </w:style>
  <w:style w:type="character" w:styleId="68">
    <w:name w:val="footnote reference"/>
    <w:qFormat/>
    <w:uiPriority w:val="0"/>
    <w:rPr>
      <w:position w:val="6"/>
      <w:sz w:val="14"/>
      <w:vertAlign w:val="superscript"/>
    </w:rPr>
  </w:style>
  <w:style w:type="character" w:customStyle="1" w:styleId="69">
    <w:name w:val="标题 2 Char"/>
    <w:link w:val="5"/>
    <w:qFormat/>
    <w:uiPriority w:val="0"/>
    <w:rPr>
      <w:rFonts w:ascii="Arial" w:hAnsi="Arial" w:eastAsia="黑体"/>
      <w:b/>
      <w:kern w:val="2"/>
      <w:sz w:val="32"/>
    </w:rPr>
  </w:style>
  <w:style w:type="character" w:customStyle="1" w:styleId="70">
    <w:name w:val="标题 3 Char"/>
    <w:link w:val="6"/>
    <w:qFormat/>
    <w:uiPriority w:val="0"/>
    <w:rPr>
      <w:rFonts w:eastAsia="宋体"/>
      <w:b/>
      <w:kern w:val="2"/>
      <w:sz w:val="32"/>
      <w:lang w:val="en-US" w:eastAsia="zh-CN"/>
    </w:rPr>
  </w:style>
  <w:style w:type="character" w:customStyle="1" w:styleId="71">
    <w:name w:val="批注文字 Char"/>
    <w:link w:val="21"/>
    <w:qFormat/>
    <w:uiPriority w:val="0"/>
    <w:rPr>
      <w:sz w:val="24"/>
    </w:rPr>
  </w:style>
  <w:style w:type="character" w:customStyle="1" w:styleId="72">
    <w:name w:val="正文文本缩进 Char"/>
    <w:link w:val="25"/>
    <w:qFormat/>
    <w:uiPriority w:val="0"/>
    <w:rPr>
      <w:kern w:val="2"/>
      <w:sz w:val="44"/>
    </w:rPr>
  </w:style>
  <w:style w:type="character" w:customStyle="1" w:styleId="73">
    <w:name w:val="纯文本 Char"/>
    <w:link w:val="32"/>
    <w:qFormat/>
    <w:uiPriority w:val="0"/>
    <w:rPr>
      <w:rFonts w:ascii="宋体" w:hAnsi="Courier New"/>
      <w:kern w:val="2"/>
      <w:sz w:val="21"/>
    </w:rPr>
  </w:style>
  <w:style w:type="character" w:customStyle="1" w:styleId="74">
    <w:name w:val="日期 Char"/>
    <w:link w:val="34"/>
    <w:qFormat/>
    <w:uiPriority w:val="0"/>
    <w:rPr>
      <w:kern w:val="2"/>
      <w:sz w:val="28"/>
    </w:rPr>
  </w:style>
  <w:style w:type="character" w:customStyle="1" w:styleId="75">
    <w:name w:val="正文文本缩进 2 Char"/>
    <w:link w:val="35"/>
    <w:qFormat/>
    <w:uiPriority w:val="0"/>
    <w:rPr>
      <w:kern w:val="2"/>
      <w:sz w:val="28"/>
    </w:rPr>
  </w:style>
  <w:style w:type="character" w:customStyle="1" w:styleId="76">
    <w:name w:val="脚注文本 Char"/>
    <w:link w:val="42"/>
    <w:qFormat/>
    <w:uiPriority w:val="0"/>
    <w:rPr>
      <w:kern w:val="2"/>
      <w:sz w:val="18"/>
    </w:rPr>
  </w:style>
  <w:style w:type="character" w:customStyle="1" w:styleId="77">
    <w:name w:val="批注主题 Char"/>
    <w:link w:val="56"/>
    <w:qFormat/>
    <w:uiPriority w:val="0"/>
  </w:style>
  <w:style w:type="character" w:customStyle="1" w:styleId="78">
    <w:name w:val="正文首行缩进 2 Char"/>
    <w:link w:val="58"/>
    <w:qFormat/>
    <w:uiPriority w:val="0"/>
  </w:style>
  <w:style w:type="character" w:customStyle="1" w:styleId="79">
    <w:name w:val="content-white1"/>
    <w:qFormat/>
    <w:uiPriority w:val="0"/>
    <w:rPr>
      <w:rFonts w:ascii="_x000B__x000C_" w:hAnsi="_x000B__x000C_"/>
      <w:color w:val="auto"/>
      <w:sz w:val="18"/>
      <w:u w:val="none"/>
    </w:rPr>
  </w:style>
  <w:style w:type="character" w:customStyle="1" w:styleId="80">
    <w:name w:val=" Char Char3"/>
    <w:qFormat/>
    <w:uiPriority w:val="0"/>
    <w:rPr>
      <w:rFonts w:eastAsia="宋体"/>
      <w:kern w:val="2"/>
      <w:sz w:val="18"/>
      <w:lang w:val="en-US" w:eastAsia="zh-CN"/>
    </w:rPr>
  </w:style>
  <w:style w:type="character" w:customStyle="1" w:styleId="81">
    <w:name w:val="Table Text Char Char Char Char"/>
    <w:link w:val="82"/>
    <w:qFormat/>
    <w:uiPriority w:val="0"/>
    <w:rPr>
      <w:rFonts w:ascii="Arial" w:hAnsi="Arial"/>
      <w:kern w:val="2"/>
      <w:sz w:val="18"/>
      <w:lang w:val="en-US" w:eastAsia="zh-CN" w:bidi="ar-SA"/>
    </w:rPr>
  </w:style>
  <w:style w:type="paragraph" w:customStyle="1" w:styleId="82">
    <w:name w:val="Table Text Char Char Char"/>
    <w:link w:val="81"/>
    <w:qFormat/>
    <w:uiPriority w:val="0"/>
    <w:pPr>
      <w:snapToGrid w:val="0"/>
      <w:spacing w:before="80" w:after="80"/>
    </w:pPr>
    <w:rPr>
      <w:rFonts w:ascii="Arial" w:hAnsi="Arial" w:eastAsia="宋体" w:cs="Times New Roman"/>
      <w:kern w:val="2"/>
      <w:sz w:val="18"/>
      <w:lang w:val="en-US" w:eastAsia="zh-CN" w:bidi="ar-SA"/>
    </w:rPr>
  </w:style>
  <w:style w:type="character" w:customStyle="1" w:styleId="83">
    <w:name w:val=" Char Char7"/>
    <w:qFormat/>
    <w:uiPriority w:val="0"/>
    <w:rPr>
      <w:rFonts w:ascii="宋体" w:hAnsi="宋体" w:eastAsia="宋体"/>
      <w:kern w:val="2"/>
      <w:sz w:val="28"/>
    </w:rPr>
  </w:style>
  <w:style w:type="character" w:customStyle="1" w:styleId="84">
    <w:name w:val="未命名11"/>
    <w:qFormat/>
    <w:uiPriority w:val="0"/>
    <w:rPr>
      <w:color w:val="77FFFF"/>
      <w:sz w:val="24"/>
    </w:rPr>
  </w:style>
  <w:style w:type="character" w:customStyle="1" w:styleId="85">
    <w:name w:val="小 Char"/>
    <w:qFormat/>
    <w:uiPriority w:val="0"/>
    <w:rPr>
      <w:rFonts w:ascii="宋体" w:hAnsi="Courier New" w:eastAsia="宋体"/>
      <w:kern w:val="2"/>
      <w:sz w:val="21"/>
      <w:lang w:val="en-US" w:eastAsia="zh-CN" w:bidi="ar-SA"/>
    </w:rPr>
  </w:style>
  <w:style w:type="character" w:customStyle="1" w:styleId="86">
    <w:name w:val="文字 Char"/>
    <w:link w:val="87"/>
    <w:qFormat/>
    <w:uiPriority w:val="0"/>
    <w:rPr>
      <w:rFonts w:ascii="宋体"/>
      <w:kern w:val="2"/>
      <w:sz w:val="28"/>
    </w:rPr>
  </w:style>
  <w:style w:type="paragraph" w:customStyle="1" w:styleId="87">
    <w:name w:val="文字"/>
    <w:basedOn w:val="1"/>
    <w:link w:val="86"/>
    <w:qFormat/>
    <w:uiPriority w:val="0"/>
    <w:pPr>
      <w:tabs>
        <w:tab w:val="left" w:pos="8520"/>
      </w:tabs>
      <w:spacing w:line="312" w:lineRule="auto"/>
      <w:ind w:right="-210" w:firstLine="556"/>
    </w:pPr>
    <w:rPr>
      <w:rFonts w:ascii="宋体"/>
    </w:rPr>
  </w:style>
  <w:style w:type="character" w:customStyle="1" w:styleId="88">
    <w:name w:val="v151"/>
    <w:qFormat/>
    <w:uiPriority w:val="0"/>
    <w:rPr>
      <w:sz w:val="18"/>
    </w:rPr>
  </w:style>
  <w:style w:type="character" w:customStyle="1" w:styleId="89">
    <w:name w:val=" Char Char2"/>
    <w:qFormat/>
    <w:uiPriority w:val="0"/>
    <w:rPr>
      <w:rFonts w:eastAsia="宋体"/>
      <w:kern w:val="2"/>
      <w:sz w:val="18"/>
      <w:lang w:val="en-US" w:eastAsia="zh-CN"/>
    </w:rPr>
  </w:style>
  <w:style w:type="character" w:customStyle="1" w:styleId="90">
    <w:name w:val="Table Text Char"/>
    <w:link w:val="91"/>
    <w:qFormat/>
    <w:uiPriority w:val="0"/>
    <w:rPr>
      <w:rFonts w:ascii="Arial" w:hAnsi="Arial"/>
      <w:kern w:val="2"/>
      <w:sz w:val="18"/>
      <w:lang w:val="en-US" w:eastAsia="zh-CN" w:bidi="ar-SA"/>
    </w:rPr>
  </w:style>
  <w:style w:type="paragraph" w:customStyle="1" w:styleId="91">
    <w:name w:val="Table Text"/>
    <w:link w:val="90"/>
    <w:qFormat/>
    <w:uiPriority w:val="0"/>
    <w:pPr>
      <w:snapToGrid w:val="0"/>
      <w:spacing w:before="80" w:after="80"/>
    </w:pPr>
    <w:rPr>
      <w:rFonts w:ascii="Arial" w:hAnsi="Arial" w:eastAsia="宋体" w:cs="Times New Roman"/>
      <w:kern w:val="2"/>
      <w:sz w:val="18"/>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 Char Char11"/>
    <w:qFormat/>
    <w:uiPriority w:val="0"/>
    <w:rPr>
      <w:rFonts w:ascii="宋体"/>
      <w:kern w:val="2"/>
      <w:sz w:val="28"/>
    </w:rPr>
  </w:style>
  <w:style w:type="character" w:customStyle="1" w:styleId="94">
    <w:name w:val="样式 宋体"/>
    <w:qFormat/>
    <w:uiPriority w:val="0"/>
    <w:rPr>
      <w:rFonts w:ascii="宋体" w:hAnsi="宋体" w:eastAsia="宋体"/>
      <w:sz w:val="28"/>
    </w:rPr>
  </w:style>
  <w:style w:type="character" w:customStyle="1" w:styleId="95">
    <w:name w:val="正文 + 三号 Char"/>
    <w:qFormat/>
    <w:uiPriority w:val="0"/>
    <w:rPr>
      <w:rFonts w:eastAsia="宋体"/>
      <w:kern w:val="2"/>
      <w:sz w:val="21"/>
      <w:lang w:val="en-US" w:eastAsia="zh-CN"/>
    </w:rPr>
  </w:style>
  <w:style w:type="character" w:customStyle="1" w:styleId="96">
    <w:name w:val="crowed11"/>
    <w:qFormat/>
    <w:uiPriority w:val="0"/>
    <w:rPr>
      <w:rFonts w:hint="default" w:ascii="_x000B__x000C_" w:hAnsi="_x000B__x000C_"/>
      <w:sz w:val="24"/>
    </w:rPr>
  </w:style>
  <w:style w:type="character" w:customStyle="1" w:styleId="97">
    <w:name w:val="font1"/>
    <w:qFormat/>
    <w:uiPriority w:val="0"/>
    <w:rPr>
      <w:color w:val="000000"/>
      <w:sz w:val="18"/>
    </w:rPr>
  </w:style>
  <w:style w:type="character" w:customStyle="1" w:styleId="98">
    <w:name w:val="H2 Char"/>
    <w:qFormat/>
    <w:uiPriority w:val="0"/>
    <w:rPr>
      <w:rFonts w:ascii="Arial" w:hAnsi="Arial" w:eastAsia="宋体"/>
      <w:kern w:val="2"/>
      <w:sz w:val="28"/>
      <w:lang w:val="en-US" w:eastAsia="zh-CN"/>
    </w:rPr>
  </w:style>
  <w:style w:type="character" w:customStyle="1" w:styleId="99">
    <w:name w:val=" Char Char4"/>
    <w:qFormat/>
    <w:uiPriority w:val="0"/>
    <w:rPr>
      <w:rFonts w:eastAsia="宋体"/>
      <w:b/>
      <w:kern w:val="2"/>
      <w:sz w:val="21"/>
      <w:lang w:val="en-US" w:eastAsia="zh-CN"/>
    </w:rPr>
  </w:style>
  <w:style w:type="character" w:customStyle="1" w:styleId="100">
    <w:name w:val="title_emph1"/>
    <w:qFormat/>
    <w:uiPriority w:val="0"/>
    <w:rPr>
      <w:rFonts w:hint="default" w:ascii="Arial" w:hAnsi="Arial"/>
      <w:b/>
      <w:sz w:val="20"/>
    </w:rPr>
  </w:style>
  <w:style w:type="character" w:customStyle="1" w:styleId="101">
    <w:name w:val=" Char Char6"/>
    <w:qFormat/>
    <w:uiPriority w:val="0"/>
    <w:rPr>
      <w:rFonts w:ascii="仿宋_GB2312" w:eastAsia="仿宋_GB2312"/>
      <w:kern w:val="2"/>
      <w:sz w:val="32"/>
    </w:rPr>
  </w:style>
  <w:style w:type="character" w:customStyle="1" w:styleId="102">
    <w:name w:val="top-det1"/>
    <w:qFormat/>
    <w:uiPriority w:val="0"/>
    <w:rPr>
      <w:b/>
      <w:color w:val="000000"/>
    </w:rPr>
  </w:style>
  <w:style w:type="character" w:customStyle="1" w:styleId="103">
    <w:name w:val=" Char Char5"/>
    <w:qFormat/>
    <w:uiPriority w:val="0"/>
    <w:rPr>
      <w:rFonts w:ascii="Arial" w:hAnsi="Arial" w:eastAsia="宋体"/>
      <w:b/>
      <w:smallCaps/>
      <w:kern w:val="28"/>
      <w:sz w:val="36"/>
      <w:lang w:val="en-US" w:eastAsia="en-US"/>
    </w:rPr>
  </w:style>
  <w:style w:type="character" w:customStyle="1" w:styleId="104">
    <w:name w:val="标书正文:  0.74 厘米 Char1"/>
    <w:qFormat/>
    <w:uiPriority w:val="0"/>
    <w:rPr>
      <w:rFonts w:eastAsia="宋体"/>
      <w:kern w:val="2"/>
      <w:sz w:val="24"/>
      <w:lang w:val="en-US" w:eastAsia="zh-CN"/>
    </w:rPr>
  </w:style>
  <w:style w:type="character" w:customStyle="1" w:styleId="105">
    <w:name w:val="Table Text Char1 Char"/>
    <w:qFormat/>
    <w:uiPriority w:val="0"/>
    <w:rPr>
      <w:rFonts w:ascii="Arial" w:hAnsi="Arial"/>
      <w:kern w:val="2"/>
      <w:sz w:val="18"/>
      <w:lang w:val="en-US" w:eastAsia="zh-CN" w:bidi="ar-SA"/>
    </w:rPr>
  </w:style>
  <w:style w:type="character" w:customStyle="1" w:styleId="106">
    <w:name w:val=" Char Char"/>
    <w:qFormat/>
    <w:uiPriority w:val="0"/>
    <w:rPr>
      <w:rFonts w:ascii="宋体" w:hAnsi="宋体" w:eastAsia="宋体"/>
      <w:kern w:val="2"/>
      <w:sz w:val="24"/>
      <w:lang w:val="en-US" w:eastAsia="zh-CN" w:bidi="ar-SA"/>
    </w:rPr>
  </w:style>
  <w:style w:type="paragraph" w:customStyle="1" w:styleId="107">
    <w:name w:val="IN Feature"/>
    <w:next w:val="10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08">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09">
    <w:name w:val="表文字"/>
    <w:qFormat/>
    <w:uiPriority w:val="0"/>
    <w:rPr>
      <w:rFonts w:ascii="宋体" w:hAnsi="Times New Roman" w:eastAsia="宋体" w:cs="Times New Roman"/>
      <w:kern w:val="2"/>
      <w:lang w:val="en-US" w:eastAsia="zh-CN" w:bidi="ar-SA"/>
    </w:rPr>
  </w:style>
  <w:style w:type="paragraph" w:customStyle="1" w:styleId="110">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Char1 Char Char Char"/>
    <w:basedOn w:val="1"/>
    <w:qFormat/>
    <w:uiPriority w:val="0"/>
    <w:rPr>
      <w:rFonts w:ascii="Tahoma" w:hAnsi="Tahoma"/>
      <w:sz w:val="30"/>
    </w:rPr>
  </w:style>
  <w:style w:type="paragraph" w:customStyle="1" w:styleId="113">
    <w:name w:val="二级列表"/>
    <w:basedOn w:val="114"/>
    <w:next w:val="114"/>
    <w:qFormat/>
    <w:uiPriority w:val="0"/>
    <w:pPr>
      <w:tabs>
        <w:tab w:val="left" w:pos="2120"/>
      </w:tabs>
      <w:ind w:firstLine="0" w:firstLineChars="0"/>
    </w:pPr>
    <w:rPr>
      <w:b/>
    </w:rPr>
  </w:style>
  <w:style w:type="paragraph" w:customStyle="1" w:styleId="114">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5">
    <w:name w:val="00"/>
    <w:basedOn w:val="1"/>
    <w:qFormat/>
    <w:uiPriority w:val="0"/>
    <w:pPr>
      <w:autoSpaceDE w:val="0"/>
      <w:autoSpaceDN w:val="0"/>
      <w:adjustRightInd w:val="0"/>
      <w:jc w:val="left"/>
    </w:pPr>
    <w:rPr>
      <w:rFonts w:ascii="黑体" w:eastAsia="黑体"/>
      <w:b/>
      <w:kern w:val="0"/>
      <w:sz w:val="20"/>
    </w:rPr>
  </w:style>
  <w:style w:type="paragraph" w:customStyle="1" w:styleId="116">
    <w:name w:val="1.正文"/>
    <w:basedOn w:val="1"/>
    <w:qFormat/>
    <w:uiPriority w:val="0"/>
    <w:pPr>
      <w:spacing w:line="360" w:lineRule="auto"/>
      <w:ind w:left="540" w:leftChars="225" w:firstLine="540" w:firstLineChars="225"/>
    </w:pPr>
    <w:rPr>
      <w:sz w:val="24"/>
    </w:rPr>
  </w:style>
  <w:style w:type="paragraph" w:customStyle="1" w:styleId="117">
    <w:name w:val="内容标题"/>
    <w:basedOn w:val="19"/>
    <w:qFormat/>
    <w:uiPriority w:val="0"/>
    <w:rPr>
      <w:rFonts w:ascii="Tahoma" w:hAnsi="Tahoma"/>
      <w:sz w:val="24"/>
    </w:rPr>
  </w:style>
  <w:style w:type="paragraph" w:customStyle="1" w:styleId="118">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19">
    <w:name w:val="表头"/>
    <w:basedOn w:val="120"/>
    <w:qFormat/>
    <w:uiPriority w:val="0"/>
    <w:pPr>
      <w:jc w:val="center"/>
    </w:pPr>
    <w:rPr>
      <w:b/>
      <w:bCs/>
    </w:rPr>
  </w:style>
  <w:style w:type="paragraph" w:customStyle="1" w:styleId="120">
    <w:name w:val="表格正文"/>
    <w:basedOn w:val="1"/>
    <w:qFormat/>
    <w:uiPriority w:val="0"/>
    <w:rPr>
      <w:rFonts w:ascii="Calibri" w:hAnsi="Calibri" w:eastAsia="仿宋" w:cs="宋体"/>
      <w:sz w:val="24"/>
    </w:rPr>
  </w:style>
  <w:style w:type="paragraph" w:customStyle="1" w:styleId="121">
    <w:name w:val="正文1"/>
    <w:basedOn w:val="1"/>
    <w:qFormat/>
    <w:uiPriority w:val="0"/>
    <w:pPr>
      <w:spacing w:line="300" w:lineRule="auto"/>
      <w:ind w:firstLine="200" w:firstLineChars="200"/>
    </w:pPr>
    <w:rPr>
      <w:sz w:val="24"/>
    </w:rPr>
  </w:style>
  <w:style w:type="paragraph" w:customStyle="1" w:styleId="122">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23">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24">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2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2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7">
    <w:name w:val="Title - Date"/>
    <w:basedOn w:val="55"/>
    <w:next w:val="1"/>
    <w:qFormat/>
    <w:uiPriority w:val="0"/>
    <w:pPr>
      <w:spacing w:before="240" w:beforeLines="0" w:beforeAutospacing="0" w:after="720" w:afterLines="0" w:afterAutospacing="0"/>
    </w:pPr>
    <w:rPr>
      <w:sz w:val="28"/>
    </w:rPr>
  </w:style>
  <w:style w:type="paragraph" w:customStyle="1" w:styleId="128">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2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30">
    <w:name w:val=" Char1 Char Char Char"/>
    <w:basedOn w:val="1"/>
    <w:qFormat/>
    <w:uiPriority w:val="0"/>
    <w:rPr>
      <w:rFonts w:ascii="Tahoma" w:hAnsi="Tahoma"/>
      <w:sz w:val="24"/>
    </w:rPr>
  </w:style>
  <w:style w:type="paragraph" w:customStyle="1" w:styleId="131">
    <w:name w:val=" Char1"/>
    <w:basedOn w:val="1"/>
    <w:qFormat/>
    <w:uiPriority w:val="0"/>
    <w:rPr>
      <w:sz w:val="21"/>
    </w:rPr>
  </w:style>
  <w:style w:type="paragraph" w:customStyle="1" w:styleId="132">
    <w:name w:val="表头样式"/>
    <w:basedOn w:val="1"/>
    <w:qFormat/>
    <w:uiPriority w:val="0"/>
    <w:pPr>
      <w:autoSpaceDE w:val="0"/>
      <w:autoSpaceDN w:val="0"/>
      <w:adjustRightInd w:val="0"/>
      <w:spacing w:line="360" w:lineRule="auto"/>
      <w:jc w:val="left"/>
    </w:pPr>
    <w:rPr>
      <w:b/>
      <w:kern w:val="0"/>
      <w:sz w:val="21"/>
    </w:rPr>
  </w:style>
  <w:style w:type="paragraph" w:customStyle="1" w:styleId="133">
    <w:name w:val="样式 正文缩进正文（首行缩进两字）表正文正文非缩进特点标题4段1 + 首行缩进:  2 字符"/>
    <w:basedOn w:val="17"/>
    <w:qFormat/>
    <w:uiPriority w:val="0"/>
    <w:pPr>
      <w:ind w:firstLine="480" w:firstLineChars="200"/>
    </w:pPr>
  </w:style>
  <w:style w:type="paragraph" w:customStyle="1" w:styleId="134">
    <w:name w:val="样式4"/>
    <w:basedOn w:val="7"/>
    <w:qFormat/>
    <w:uiPriority w:val="0"/>
    <w:pPr>
      <w:adjustRightInd w:val="0"/>
      <w:snapToGrid w:val="0"/>
    </w:pPr>
  </w:style>
  <w:style w:type="paragraph" w:customStyle="1" w:styleId="135">
    <w:name w:val="Body Text Indent 2"/>
    <w:basedOn w:val="1"/>
    <w:qFormat/>
    <w:uiPriority w:val="0"/>
    <w:pPr>
      <w:adjustRightInd w:val="0"/>
      <w:spacing w:before="120" w:beforeLines="0" w:beforeAutospacing="0"/>
      <w:ind w:firstLine="420"/>
      <w:textAlignment w:val="baseline"/>
    </w:pPr>
    <w:rPr>
      <w:sz w:val="24"/>
    </w:rPr>
  </w:style>
  <w:style w:type="paragraph" w:customStyle="1" w:styleId="136">
    <w:name w:val="首行缩进 1"/>
    <w:basedOn w:val="1"/>
    <w:qFormat/>
    <w:uiPriority w:val="0"/>
    <w:pPr>
      <w:spacing w:after="120" w:afterLines="0" w:afterAutospacing="0" w:line="360" w:lineRule="auto"/>
      <w:ind w:firstLine="200" w:firstLineChars="200"/>
    </w:pPr>
    <w:rPr>
      <w:sz w:val="24"/>
    </w:rPr>
  </w:style>
  <w:style w:type="paragraph" w:customStyle="1" w:styleId="137">
    <w:name w:val="样式 首行缩进:  0.74 厘米"/>
    <w:basedOn w:val="1"/>
    <w:qFormat/>
    <w:uiPriority w:val="0"/>
    <w:pPr>
      <w:spacing w:line="360" w:lineRule="auto"/>
      <w:ind w:firstLine="420"/>
    </w:pPr>
    <w:rPr>
      <w:sz w:val="24"/>
    </w:rPr>
  </w:style>
  <w:style w:type="paragraph" w:customStyle="1" w:styleId="138">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9">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40">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41">
    <w:name w:val="Title - Revision"/>
    <w:basedOn w:val="55"/>
    <w:qFormat/>
    <w:uiPriority w:val="0"/>
    <w:pPr>
      <w:spacing w:before="720" w:beforeLines="0" w:beforeAutospacing="0"/>
    </w:pPr>
  </w:style>
  <w:style w:type="paragraph" w:customStyle="1" w:styleId="14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4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44">
    <w:name w:val="1"/>
    <w:basedOn w:val="1"/>
    <w:next w:val="32"/>
    <w:qFormat/>
    <w:uiPriority w:val="0"/>
    <w:rPr>
      <w:rFonts w:ascii="宋体" w:hAnsi="Courier New"/>
      <w:sz w:val="21"/>
    </w:rPr>
  </w:style>
  <w:style w:type="paragraph" w:customStyle="1" w:styleId="145">
    <w:name w:val="Table Contents"/>
    <w:basedOn w:val="24"/>
    <w:qFormat/>
    <w:uiPriority w:val="0"/>
    <w:pPr>
      <w:suppressAutoHyphens/>
      <w:jc w:val="left"/>
    </w:pPr>
    <w:rPr>
      <w:rFonts w:ascii="Times New Roman" w:eastAsia="Times New Roman"/>
      <w:kern w:val="0"/>
      <w:sz w:val="24"/>
    </w:rPr>
  </w:style>
  <w:style w:type="paragraph" w:customStyle="1" w:styleId="146">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47">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8">
    <w:name w:val="Char Char Char Char Char Char Char"/>
    <w:basedOn w:val="19"/>
    <w:qFormat/>
    <w:uiPriority w:val="0"/>
    <w:rPr>
      <w:rFonts w:ascii="宋体" w:hAnsi="Tahoma"/>
    </w:rPr>
  </w:style>
  <w:style w:type="paragraph" w:customStyle="1" w:styleId="149">
    <w:name w:val="默认段落字体 Para Char Char Char Char Char Char Char Char Char1 Char Char Char Char"/>
    <w:basedOn w:val="1"/>
    <w:qFormat/>
    <w:uiPriority w:val="0"/>
    <w:rPr>
      <w:rFonts w:ascii="Tahoma" w:hAnsi="Tahoma"/>
      <w:sz w:val="24"/>
    </w:rPr>
  </w:style>
  <w:style w:type="paragraph" w:customStyle="1" w:styleId="150">
    <w:name w:val="标题无"/>
    <w:basedOn w:val="1"/>
    <w:qFormat/>
    <w:uiPriority w:val="0"/>
    <w:pPr>
      <w:spacing w:line="360" w:lineRule="auto"/>
    </w:pPr>
    <w:rPr>
      <w:sz w:val="24"/>
    </w:rPr>
  </w:style>
  <w:style w:type="paragraph" w:customStyle="1" w:styleId="151">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52">
    <w:name w:val="二级条标题"/>
    <w:basedOn w:val="153"/>
    <w:next w:val="155"/>
    <w:qFormat/>
    <w:uiPriority w:val="0"/>
    <w:pPr>
      <w:ind w:left="840"/>
      <w:outlineLvl w:val="3"/>
    </w:pPr>
  </w:style>
  <w:style w:type="paragraph" w:customStyle="1" w:styleId="153">
    <w:name w:val="一级条标题"/>
    <w:basedOn w:val="154"/>
    <w:next w:val="155"/>
    <w:qFormat/>
    <w:uiPriority w:val="0"/>
    <w:pPr>
      <w:numPr>
        <w:ilvl w:val="1"/>
        <w:numId w:val="0"/>
      </w:numPr>
      <w:spacing w:before="0" w:beforeLines="0" w:beforeAutospacing="0" w:after="0" w:afterLines="0" w:afterAutospacing="0"/>
      <w:ind w:left="525"/>
      <w:outlineLvl w:val="2"/>
    </w:pPr>
    <w:rPr>
      <w:sz w:val="21"/>
    </w:rPr>
  </w:style>
  <w:style w:type="paragraph" w:customStyle="1" w:styleId="154">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5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6">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7">
    <w:name w:val="关键词"/>
    <w:basedOn w:val="1"/>
    <w:next w:val="1"/>
    <w:qFormat/>
    <w:uiPriority w:val="0"/>
    <w:pPr>
      <w:spacing w:line="360" w:lineRule="auto"/>
    </w:pPr>
    <w:rPr>
      <w:rFonts w:eastAsia="黑体"/>
      <w:sz w:val="20"/>
    </w:rPr>
  </w:style>
  <w:style w:type="paragraph" w:customStyle="1" w:styleId="158">
    <w:name w:val="样式2"/>
    <w:basedOn w:val="7"/>
    <w:qFormat/>
    <w:uiPriority w:val="0"/>
    <w:pPr>
      <w:numPr>
        <w:ilvl w:val="0"/>
        <w:numId w:val="7"/>
      </w:numPr>
      <w:spacing w:before="560" w:beforeLines="0" w:line="400" w:lineRule="exact"/>
      <w:jc w:val="center"/>
      <w:outlineLvl w:val="0"/>
    </w:pPr>
    <w:rPr>
      <w:b w:val="0"/>
      <w:sz w:val="44"/>
    </w:rPr>
  </w:style>
  <w:style w:type="paragraph" w:customStyle="1" w:styleId="159">
    <w:name w:val="表头文本"/>
    <w:qFormat/>
    <w:uiPriority w:val="0"/>
    <w:pPr>
      <w:jc w:val="center"/>
    </w:pPr>
    <w:rPr>
      <w:rFonts w:ascii="Arial" w:hAnsi="Arial" w:eastAsia="宋体" w:cs="Times New Roman"/>
      <w:b/>
      <w:sz w:val="21"/>
      <w:lang w:val="en-US" w:eastAsia="zh-CN" w:bidi="ar-SA"/>
    </w:rPr>
  </w:style>
  <w:style w:type="paragraph" w:customStyle="1" w:styleId="160">
    <w:name w:val="_Style 156"/>
    <w:qFormat/>
    <w:uiPriority w:val="0"/>
    <w:rPr>
      <w:rFonts w:ascii="Times New Roman" w:hAnsi="Times New Roman" w:eastAsia="宋体" w:cs="Times New Roman"/>
      <w:kern w:val="2"/>
      <w:sz w:val="21"/>
      <w:lang w:val="en-US" w:eastAsia="zh-CN" w:bidi="ar-SA"/>
    </w:rPr>
  </w:style>
  <w:style w:type="paragraph" w:customStyle="1" w:styleId="16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62">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6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64">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6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6">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7">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8">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69">
    <w:name w:val="样式1xz"/>
    <w:basedOn w:val="1"/>
    <w:qFormat/>
    <w:uiPriority w:val="0"/>
    <w:pPr>
      <w:tabs>
        <w:tab w:val="left" w:pos="1050"/>
        <w:tab w:val="right" w:leader="dot" w:pos="8296"/>
      </w:tabs>
    </w:pPr>
    <w:rPr>
      <w:caps/>
      <w:spacing w:val="20"/>
      <w:sz w:val="24"/>
    </w:rPr>
  </w:style>
  <w:style w:type="paragraph" w:customStyle="1" w:styleId="170">
    <w:name w:val="样式 宋体 五号 行距: 单倍行距"/>
    <w:basedOn w:val="1"/>
    <w:qFormat/>
    <w:uiPriority w:val="0"/>
    <w:pPr>
      <w:adjustRightInd w:val="0"/>
      <w:jc w:val="left"/>
    </w:pPr>
    <w:rPr>
      <w:rFonts w:ascii="宋体" w:hAnsi="宋体"/>
      <w:kern w:val="0"/>
      <w:sz w:val="21"/>
    </w:rPr>
  </w:style>
  <w:style w:type="paragraph" w:customStyle="1" w:styleId="171">
    <w:name w:val="图片文字"/>
    <w:basedOn w:val="1"/>
    <w:qFormat/>
    <w:uiPriority w:val="0"/>
    <w:pPr>
      <w:spacing w:line="240" w:lineRule="atLeast"/>
      <w:jc w:val="center"/>
    </w:pPr>
    <w:rPr>
      <w:sz w:val="21"/>
    </w:rPr>
  </w:style>
  <w:style w:type="paragraph" w:customStyle="1" w:styleId="172">
    <w:name w:val="Char"/>
    <w:basedOn w:val="1"/>
    <w:qFormat/>
    <w:uiPriority w:val="0"/>
    <w:pPr>
      <w:spacing w:line="240" w:lineRule="atLeast"/>
      <w:ind w:left="420" w:firstLine="420"/>
    </w:pPr>
    <w:rPr>
      <w:kern w:val="0"/>
      <w:sz w:val="21"/>
    </w:rPr>
  </w:style>
  <w:style w:type="paragraph" w:customStyle="1" w:styleId="173">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4">
    <w:name w:val="Note"/>
    <w:basedOn w:val="1"/>
    <w:qFormat/>
    <w:uiPriority w:val="0"/>
    <w:pPr>
      <w:pBdr>
        <w:top w:val="single" w:color="auto" w:sz="12" w:space="3"/>
        <w:bottom w:val="single" w:color="auto" w:sz="12" w:space="3"/>
      </w:pBdr>
      <w:spacing w:line="360" w:lineRule="auto"/>
    </w:pPr>
    <w:rPr>
      <w:sz w:val="24"/>
    </w:rPr>
  </w:style>
  <w:style w:type="paragraph" w:customStyle="1" w:styleId="175">
    <w:name w:val=" Char"/>
    <w:basedOn w:val="1"/>
    <w:qFormat/>
    <w:uiPriority w:val="0"/>
    <w:pPr>
      <w:spacing w:line="240" w:lineRule="atLeast"/>
      <w:ind w:left="420" w:firstLine="420"/>
    </w:pPr>
    <w:rPr>
      <w:kern w:val="0"/>
      <w:sz w:val="21"/>
    </w:rPr>
  </w:style>
  <w:style w:type="paragraph" w:customStyle="1" w:styleId="176">
    <w:name w:val=" Char Char Char"/>
    <w:basedOn w:val="1"/>
    <w:qFormat/>
    <w:uiPriority w:val="0"/>
    <w:rPr>
      <w:rFonts w:ascii="Tahoma" w:hAnsi="Tahoma"/>
      <w:sz w:val="24"/>
    </w:rPr>
  </w:style>
  <w:style w:type="paragraph" w:customStyle="1" w:styleId="177">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8">
    <w:name w:val="标书正文:  0.74 厘米"/>
    <w:basedOn w:val="1"/>
    <w:qFormat/>
    <w:uiPriority w:val="0"/>
    <w:pPr>
      <w:snapToGrid w:val="0"/>
      <w:spacing w:line="360" w:lineRule="auto"/>
      <w:ind w:firstLine="420"/>
    </w:pPr>
    <w:rPr>
      <w:sz w:val="24"/>
    </w:rPr>
  </w:style>
  <w:style w:type="paragraph" w:customStyle="1" w:styleId="179">
    <w:name w:val=" Char Char 字元 字元 字元 Char Char Char Char"/>
    <w:basedOn w:val="1"/>
    <w:qFormat/>
    <w:uiPriority w:val="0"/>
    <w:pPr>
      <w:adjustRightInd w:val="0"/>
      <w:spacing w:line="360" w:lineRule="auto"/>
    </w:pPr>
    <w:rPr>
      <w:kern w:val="0"/>
      <w:sz w:val="24"/>
    </w:rPr>
  </w:style>
  <w:style w:type="paragraph" w:customStyle="1" w:styleId="180">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81">
    <w:name w:val="列表项目"/>
    <w:basedOn w:val="1"/>
    <w:qFormat/>
    <w:uiPriority w:val="0"/>
    <w:pPr>
      <w:numPr>
        <w:ilvl w:val="0"/>
        <w:numId w:val="4"/>
      </w:numPr>
      <w:tabs>
        <w:tab w:val="left" w:pos="420"/>
        <w:tab w:val="clear" w:pos="1200"/>
      </w:tabs>
      <w:spacing w:line="288" w:lineRule="auto"/>
      <w:ind w:left="840" w:leftChars="200" w:hanging="420" w:hangingChars="200"/>
    </w:pPr>
    <w:rPr>
      <w:sz w:val="21"/>
    </w:rPr>
  </w:style>
  <w:style w:type="paragraph" w:customStyle="1" w:styleId="18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83">
    <w:name w:val=" Char Char14 Char Char"/>
    <w:basedOn w:val="1"/>
    <w:qFormat/>
    <w:uiPriority w:val="0"/>
    <w:rPr>
      <w:sz w:val="21"/>
      <w:szCs w:val="24"/>
    </w:rPr>
  </w:style>
  <w:style w:type="paragraph" w:customStyle="1" w:styleId="184">
    <w:name w:val="表号"/>
    <w:basedOn w:val="1"/>
    <w:qFormat/>
    <w:uiPriority w:val="0"/>
    <w:pPr>
      <w:numPr>
        <w:ilvl w:val="0"/>
        <w:numId w:val="8"/>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85">
    <w:name w:val="可研正文"/>
    <w:basedOn w:val="24"/>
    <w:qFormat/>
    <w:uiPriority w:val="0"/>
    <w:pPr>
      <w:adjustRightInd w:val="0"/>
      <w:snapToGrid w:val="0"/>
      <w:spacing w:line="440" w:lineRule="exact"/>
      <w:ind w:firstLine="567"/>
    </w:pPr>
    <w:rPr>
      <w:sz w:val="28"/>
    </w:rPr>
  </w:style>
  <w:style w:type="paragraph" w:customStyle="1" w:styleId="186">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87">
    <w:name w:val="首行缩进"/>
    <w:basedOn w:val="1"/>
    <w:qFormat/>
    <w:uiPriority w:val="0"/>
    <w:pPr>
      <w:numPr>
        <w:ilvl w:val="0"/>
        <w:numId w:val="9"/>
      </w:numPr>
      <w:spacing w:line="360" w:lineRule="auto"/>
    </w:pPr>
    <w:rPr>
      <w:rFonts w:eastAsia="仿宋_GB2312"/>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正文 + 三号"/>
    <w:basedOn w:val="1"/>
    <w:qFormat/>
    <w:uiPriority w:val="0"/>
    <w:rPr>
      <w:sz w:val="21"/>
    </w:rPr>
  </w:style>
  <w:style w:type="paragraph" w:customStyle="1" w:styleId="190">
    <w:name w:val=" Char Char1 Char"/>
    <w:basedOn w:val="1"/>
    <w:qFormat/>
    <w:uiPriority w:val="0"/>
    <w:rPr>
      <w:rFonts w:ascii="Tahoma" w:hAnsi="Tahoma"/>
      <w:sz w:val="24"/>
      <w:szCs w:val="24"/>
    </w:rPr>
  </w:style>
  <w:style w:type="paragraph" w:customStyle="1" w:styleId="191">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9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3">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94">
    <w:name w:val="bt"/>
    <w:basedOn w:val="1"/>
    <w:next w:val="24"/>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95">
    <w:name w:val="样式 正文首行缩进 2 + 首行缩进:  2 字符"/>
    <w:basedOn w:val="1"/>
    <w:qFormat/>
    <w:uiPriority w:val="0"/>
    <w:pPr>
      <w:numPr>
        <w:ilvl w:val="0"/>
        <w:numId w:val="10"/>
      </w:numPr>
      <w:adjustRightInd w:val="0"/>
      <w:snapToGrid w:val="0"/>
      <w:spacing w:line="360" w:lineRule="auto"/>
    </w:pPr>
    <w:rPr>
      <w:rFonts w:ascii="Arial" w:hAnsi="Arial"/>
      <w:b/>
      <w:sz w:val="24"/>
    </w:rPr>
  </w:style>
  <w:style w:type="paragraph" w:customStyle="1" w:styleId="19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97">
    <w:name w:val="摘要"/>
    <w:basedOn w:val="1"/>
    <w:next w:val="5"/>
    <w:qFormat/>
    <w:uiPriority w:val="0"/>
    <w:pPr>
      <w:spacing w:line="360" w:lineRule="auto"/>
    </w:pPr>
    <w:rPr>
      <w:rFonts w:eastAsia="黑体"/>
      <w:sz w:val="20"/>
    </w:rPr>
  </w:style>
  <w:style w:type="paragraph" w:customStyle="1" w:styleId="198">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99">
    <w:name w:val="正文（首行不缩进）"/>
    <w:basedOn w:val="1"/>
    <w:qFormat/>
    <w:uiPriority w:val="0"/>
    <w:pPr>
      <w:autoSpaceDE w:val="0"/>
      <w:autoSpaceDN w:val="0"/>
      <w:adjustRightInd w:val="0"/>
      <w:spacing w:line="360" w:lineRule="auto"/>
      <w:jc w:val="left"/>
    </w:pPr>
    <w:rPr>
      <w:kern w:val="0"/>
      <w:sz w:val="21"/>
    </w:rPr>
  </w:style>
  <w:style w:type="paragraph" w:customStyle="1" w:styleId="20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1">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20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03">
    <w:name w:val="操作步骤"/>
    <w:basedOn w:val="1"/>
    <w:qFormat/>
    <w:uiPriority w:val="0"/>
    <w:pPr>
      <w:numPr>
        <w:ilvl w:val="0"/>
        <w:numId w:val="11"/>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04">
    <w:name w:val=" Char2 Char Char Char Char Char Char"/>
    <w:basedOn w:val="1"/>
    <w:qFormat/>
    <w:uiPriority w:val="0"/>
    <w:rPr>
      <w:rFonts w:ascii="仿宋_GB2312"/>
      <w:b/>
      <w:sz w:val="30"/>
    </w:rPr>
  </w:style>
  <w:style w:type="paragraph" w:customStyle="1" w:styleId="205">
    <w:name w:val="简单回函地址"/>
    <w:basedOn w:val="1"/>
    <w:qFormat/>
    <w:uiPriority w:val="0"/>
    <w:pPr>
      <w:adjustRightInd w:val="0"/>
      <w:snapToGrid w:val="0"/>
      <w:spacing w:line="360" w:lineRule="auto"/>
    </w:pPr>
    <w:rPr>
      <w:sz w:val="24"/>
    </w:rPr>
  </w:style>
  <w:style w:type="paragraph" w:customStyle="1" w:styleId="206">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207">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208">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209">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10">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1">
    <w:name w:val="Style Heading 3h3Heading 3 - oldLevel 3 HeadH3level_3PIM 3se..."/>
    <w:basedOn w:val="6"/>
    <w:qFormat/>
    <w:uiPriority w:val="0"/>
    <w:pPr>
      <w:numPr>
        <w:ilvl w:val="2"/>
        <w:numId w:val="3"/>
      </w:numPr>
      <w:tabs>
        <w:tab w:val="left" w:pos="709"/>
        <w:tab w:val="left" w:pos="1620"/>
      </w:tabs>
      <w:spacing w:line="413" w:lineRule="auto"/>
    </w:pPr>
  </w:style>
  <w:style w:type="paragraph" w:customStyle="1" w:styleId="212">
    <w:name w:val="文本1"/>
    <w:basedOn w:val="1"/>
    <w:qFormat/>
    <w:uiPriority w:val="0"/>
    <w:pPr>
      <w:adjustRightInd w:val="0"/>
      <w:spacing w:line="312" w:lineRule="atLeast"/>
      <w:jc w:val="center"/>
      <w:textAlignment w:val="baseline"/>
    </w:pPr>
    <w:rPr>
      <w:kern w:val="0"/>
      <w:sz w:val="18"/>
    </w:rPr>
  </w:style>
  <w:style w:type="paragraph" w:customStyle="1" w:styleId="213">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4">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标题3——2"/>
    <w:basedOn w:val="6"/>
    <w:next w:val="57"/>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217">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218">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19">
    <w:name w:val="Item List"/>
    <w:qFormat/>
    <w:uiPriority w:val="0"/>
    <w:pPr>
      <w:numPr>
        <w:ilvl w:val="0"/>
        <w:numId w:val="13"/>
      </w:numPr>
      <w:spacing w:line="300" w:lineRule="auto"/>
      <w:jc w:val="both"/>
    </w:pPr>
    <w:rPr>
      <w:rFonts w:ascii="Arial" w:hAnsi="Arial" w:eastAsia="宋体" w:cs="Times New Roman"/>
      <w:sz w:val="21"/>
      <w:lang w:val="en-US" w:eastAsia="zh-CN" w:bidi="ar-SA"/>
    </w:rPr>
  </w:style>
  <w:style w:type="paragraph" w:customStyle="1" w:styleId="220">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221">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222">
    <w:name w:val="af"/>
    <w:basedOn w:val="1"/>
    <w:qFormat/>
    <w:uiPriority w:val="0"/>
    <w:pPr>
      <w:widowControl/>
      <w:spacing w:line="300" w:lineRule="atLeast"/>
      <w:jc w:val="left"/>
    </w:pPr>
    <w:rPr>
      <w:rFonts w:ascii="宋体" w:hAnsi="宋体"/>
      <w:kern w:val="0"/>
      <w:sz w:val="18"/>
    </w:rPr>
  </w:style>
  <w:style w:type="paragraph" w:customStyle="1" w:styleId="223">
    <w:name w:val="文章正文"/>
    <w:basedOn w:val="1"/>
    <w:qFormat/>
    <w:uiPriority w:val="0"/>
    <w:pPr>
      <w:ind w:firstLine="560" w:firstLineChars="200"/>
    </w:pPr>
    <w:rPr>
      <w:rFonts w:ascii="仿宋_GB2312" w:hAnsi="宋体" w:eastAsia="仿宋_GB2312"/>
      <w:color w:val="000000"/>
    </w:rPr>
  </w:style>
  <w:style w:type="paragraph" w:customStyle="1" w:styleId="224">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25">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26">
    <w:name w:val=" Char Char Char Char Char"/>
    <w:basedOn w:val="1"/>
    <w:qFormat/>
    <w:uiPriority w:val="0"/>
    <w:pPr>
      <w:numPr>
        <w:ilvl w:val="0"/>
        <w:numId w:val="3"/>
      </w:numPr>
      <w:tabs>
        <w:tab w:val="left" w:pos="425"/>
        <w:tab w:val="clear" w:pos="1620"/>
      </w:tabs>
    </w:pPr>
    <w:rPr>
      <w:rFonts w:ascii="Tahoma" w:hAnsi="Tahoma"/>
      <w:sz w:val="24"/>
    </w:rPr>
  </w:style>
  <w:style w:type="paragraph" w:customStyle="1" w:styleId="227">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22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2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230">
    <w:name w:val="默认段落字体 Para Char Char Char Char Char Char Char"/>
    <w:basedOn w:val="1"/>
    <w:qFormat/>
    <w:uiPriority w:val="0"/>
    <w:rPr>
      <w:rFonts w:ascii="Tahoma" w:hAnsi="Tahoma"/>
      <w:sz w:val="24"/>
    </w:rPr>
  </w:style>
  <w:style w:type="paragraph" w:customStyle="1" w:styleId="231">
    <w:name w:val="编号正文"/>
    <w:basedOn w:val="200"/>
    <w:qFormat/>
    <w:uiPriority w:val="0"/>
    <w:pPr>
      <w:snapToGrid/>
      <w:spacing w:line="360" w:lineRule="auto"/>
      <w:ind w:left="1407" w:hanging="1047"/>
      <w:jc w:val="left"/>
    </w:pPr>
    <w:rPr>
      <w:rFonts w:eastAsia="仿宋_GB2312"/>
    </w:rPr>
  </w:style>
  <w:style w:type="paragraph" w:customStyle="1" w:styleId="232">
    <w:name w:val="表格内文字"/>
    <w:basedOn w:val="32"/>
    <w:qFormat/>
    <w:uiPriority w:val="0"/>
    <w:pPr>
      <w:adjustRightInd w:val="0"/>
    </w:pPr>
    <w:rPr>
      <w:color w:val="000000"/>
      <w:lang w:val="en-GB"/>
    </w:rPr>
  </w:style>
  <w:style w:type="paragraph" w:customStyle="1" w:styleId="233">
    <w:name w:val="样式 行距: 1.5 倍行距1"/>
    <w:basedOn w:val="1"/>
    <w:qFormat/>
    <w:uiPriority w:val="0"/>
    <w:pPr>
      <w:snapToGrid w:val="0"/>
    </w:pPr>
    <w:rPr>
      <w:sz w:val="21"/>
    </w:rPr>
  </w:style>
  <w:style w:type="paragraph" w:customStyle="1" w:styleId="234">
    <w:name w:val=" Char Char Char Char Char Char Char"/>
    <w:basedOn w:val="1"/>
    <w:qFormat/>
    <w:uiPriority w:val="0"/>
    <w:rPr>
      <w:rFonts w:ascii="Tahoma" w:hAnsi="Tahoma"/>
      <w:sz w:val="24"/>
    </w:rPr>
  </w:style>
  <w:style w:type="paragraph" w:customStyle="1" w:styleId="235">
    <w:name w:val="表格文本"/>
    <w:qFormat/>
    <w:uiPriority w:val="0"/>
    <w:pPr>
      <w:tabs>
        <w:tab w:val="decimal" w:pos="0"/>
      </w:tabs>
    </w:pPr>
    <w:rPr>
      <w:rFonts w:ascii="Arial" w:hAnsi="Arial" w:eastAsia="宋体" w:cs="Times New Roman"/>
      <w:sz w:val="21"/>
      <w:lang w:val="en-US" w:eastAsia="zh-CN" w:bidi="ar-SA"/>
    </w:rPr>
  </w:style>
  <w:style w:type="paragraph" w:customStyle="1" w:styleId="236">
    <w:name w:val="正文表格"/>
    <w:basedOn w:val="1"/>
    <w:qFormat/>
    <w:uiPriority w:val="0"/>
    <w:pPr>
      <w:adjustRightInd w:val="0"/>
      <w:spacing w:before="40" w:beforeLines="0" w:beforeAutospacing="0" w:after="40" w:afterLines="0" w:afterAutospacing="0"/>
    </w:pPr>
    <w:rPr>
      <w:sz w:val="24"/>
    </w:rPr>
  </w:style>
  <w:style w:type="paragraph" w:customStyle="1" w:styleId="237">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238">
    <w:name w:val=" Char Char Char Char Char Char Char Char Char Char Char Char Char Char Char Char"/>
    <w:basedOn w:val="1"/>
    <w:qFormat/>
    <w:uiPriority w:val="0"/>
    <w:pPr>
      <w:tabs>
        <w:tab w:val="left" w:pos="360"/>
      </w:tabs>
    </w:pPr>
    <w:rPr>
      <w:sz w:val="24"/>
    </w:rPr>
  </w:style>
  <w:style w:type="paragraph" w:customStyle="1" w:styleId="239">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40">
    <w:name w:val="标准正文"/>
    <w:basedOn w:val="25"/>
    <w:qFormat/>
    <w:uiPriority w:val="0"/>
    <w:pPr>
      <w:spacing w:before="60" w:beforeLines="0" w:after="60" w:afterLines="0" w:line="360" w:lineRule="auto"/>
      <w:ind w:left="0" w:firstLine="482"/>
    </w:pPr>
    <w:rPr>
      <w:rFonts w:ascii="Arial" w:hAnsi="Arial"/>
      <w:sz w:val="24"/>
    </w:rPr>
  </w:style>
  <w:style w:type="paragraph" w:styleId="24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29</Pages>
  <Words>10332</Words>
  <Characters>11004</Characters>
  <Lines>166</Lines>
  <Paragraphs>46</Paragraphs>
  <TotalTime>1</TotalTime>
  <ScaleCrop>false</ScaleCrop>
  <LinksUpToDate>false</LinksUpToDate>
  <CharactersWithSpaces>12313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2022-06-13T08:38:00Z</dcterms:created>
  <dc:creator>罗成</dc:creator>
  <cp:lastModifiedBy>周欣</cp:lastModifiedBy>
  <cp:lastPrinted>2022-05-18T09:11:00Z</cp:lastPrinted>
  <dcterms:modified xsi:type="dcterms:W3CDTF">2023-05-20T10:16:53Z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A2F1A15EF037402887C7EC738A533758</vt:lpwstr>
  </property>
</Properties>
</file>