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7"/>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8"/>
        <w:rPr>
          <w:rFonts w:hint="eastAsia" w:ascii="方正黑体_GBK" w:hAnsi="宋体" w:eastAsia="方正黑体_GBK" w:cs="Times New Roman"/>
          <w:b w:val="0"/>
          <w:kern w:val="2"/>
          <w:sz w:val="44"/>
          <w:szCs w:val="44"/>
          <w:lang w:val="en-US" w:eastAsia="zh-CN" w:bidi="ar-SA"/>
        </w:rPr>
      </w:pPr>
    </w:p>
    <w:p>
      <w:pPr>
        <w:pStyle w:val="68"/>
        <w:rPr>
          <w:rFonts w:hint="eastAsia" w:ascii="方正黑体_GBK" w:hAnsi="宋体" w:eastAsia="方正黑体_GBK" w:cs="Times New Roman"/>
          <w:b w:val="0"/>
          <w:kern w:val="2"/>
          <w:sz w:val="44"/>
          <w:szCs w:val="44"/>
          <w:lang w:val="en-US" w:eastAsia="zh-CN" w:bidi="ar-SA"/>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YHQ230367</w:t>
      </w:r>
    </w:p>
    <w:p>
      <w:pPr>
        <w:spacing w:line="360" w:lineRule="auto"/>
        <w:ind w:firstLine="1800" w:firstLineChars="5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化粪池清理及危废转运</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9</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_Toc30178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_Toc30178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_Toc4292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_Toc4292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_Toc12986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_Toc12986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_Toc27190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_Toc19481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_Toc19481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_Toc11290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_Toc11290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_Toc24334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_Toc24334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_Toc24954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服务</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_Toc24954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_Toc3016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_Toc3016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_Toc11738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项目内容</w:t>
      </w:r>
      <w:r>
        <w:rPr>
          <w:rFonts w:hint="eastAsia" w:ascii="方正仿宋_GBK" w:hAnsi="宋体" w:eastAsia="方正仿宋_GBK"/>
          <w:sz w:val="24"/>
          <w:szCs w:val="24"/>
        </w:rPr>
        <w:t>及</w:t>
      </w:r>
      <w:r>
        <w:rPr>
          <w:rFonts w:hint="eastAsia" w:ascii="方正仿宋_GBK" w:hAnsi="宋体" w:eastAsia="方正仿宋_GBK"/>
          <w:sz w:val="24"/>
          <w:szCs w:val="24"/>
          <w:lang w:val="en-US" w:eastAsia="zh-CN"/>
        </w:rPr>
        <w:t>收费</w:t>
      </w:r>
      <w:r>
        <w:rPr>
          <w:rFonts w:hint="eastAsia" w:ascii="方正仿宋_GBK" w:hAnsi="宋体" w:eastAsia="方正仿宋_GBK"/>
          <w:sz w:val="24"/>
          <w:szCs w:val="24"/>
        </w:rPr>
        <w:t>标准</w:t>
      </w:r>
      <w:r>
        <w:rPr>
          <w:sz w:val="24"/>
          <w:szCs w:val="24"/>
        </w:rPr>
        <w:tab/>
      </w:r>
      <w:r>
        <w:rPr>
          <w:sz w:val="24"/>
          <w:szCs w:val="24"/>
        </w:rPr>
        <w:fldChar w:fldCharType="begin"/>
      </w:r>
      <w:r>
        <w:rPr>
          <w:sz w:val="24"/>
          <w:szCs w:val="24"/>
        </w:rPr>
        <w:instrText xml:space="preserve"> PAGEREF _Toc11738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_Toc931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项目要求</w:t>
      </w:r>
      <w:r>
        <w:rPr>
          <w:sz w:val="24"/>
          <w:szCs w:val="24"/>
        </w:rPr>
        <w:tab/>
      </w:r>
      <w:r>
        <w:rPr>
          <w:sz w:val="24"/>
          <w:szCs w:val="24"/>
        </w:rPr>
        <w:fldChar w:fldCharType="begin"/>
      </w:r>
      <w:r>
        <w:rPr>
          <w:sz w:val="24"/>
          <w:szCs w:val="24"/>
        </w:rPr>
        <w:instrText xml:space="preserve"> PAGEREF _Toc931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_Toc12667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_Toc12667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_Toc12491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公开比选采购</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_Toc12491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_Toc5379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_Toc5379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_Toc3023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_Toc8004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三、报价方式</w:t>
      </w:r>
      <w:r>
        <w:rPr>
          <w:sz w:val="24"/>
          <w:szCs w:val="24"/>
        </w:rPr>
        <w:tab/>
      </w:r>
      <w:r>
        <w:rPr>
          <w:sz w:val="24"/>
          <w:szCs w:val="24"/>
        </w:rPr>
        <w:fldChar w:fldCharType="begin"/>
      </w:r>
      <w:r>
        <w:rPr>
          <w:sz w:val="24"/>
          <w:szCs w:val="24"/>
        </w:rPr>
        <w:instrText xml:space="preserve"> PAGEREF _Toc8004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_Toc3621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四、评审标准</w:t>
      </w:r>
      <w:r>
        <w:rPr>
          <w:sz w:val="24"/>
          <w:szCs w:val="24"/>
        </w:rPr>
        <w:tab/>
      </w:r>
      <w:r>
        <w:rPr>
          <w:sz w:val="24"/>
          <w:szCs w:val="24"/>
        </w:rPr>
        <w:fldChar w:fldCharType="begin"/>
      </w:r>
      <w:r>
        <w:rPr>
          <w:sz w:val="24"/>
          <w:szCs w:val="24"/>
        </w:rPr>
        <w:instrText xml:space="preserve"> PAGEREF _Toc3621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_Toc29489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_Toc29489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_Toc29702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废标条款</w:t>
      </w:r>
      <w:r>
        <w:rPr>
          <w:sz w:val="24"/>
          <w:szCs w:val="24"/>
        </w:rPr>
        <w:tab/>
      </w:r>
      <w:r>
        <w:rPr>
          <w:sz w:val="24"/>
          <w:szCs w:val="24"/>
        </w:rPr>
        <w:fldChar w:fldCharType="begin"/>
      </w:r>
      <w:r>
        <w:rPr>
          <w:sz w:val="24"/>
          <w:szCs w:val="24"/>
        </w:rPr>
        <w:instrText xml:space="preserve"> PAGEREF _Toc29702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_Toc28172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_Toc28172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_Toc9494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_Toc9494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_Toc150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_Toc23659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_Toc23659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_Toc27996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_Toc27996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_Toc16103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_Toc16103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_Toc10269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_Toc10269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_Toc21032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_Toc21032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_Toc25967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_Toc25967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_Toc28694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_Toc28694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_Toc22682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_Toc22682 \h </w:instrText>
      </w:r>
      <w:r>
        <w:rPr>
          <w:sz w:val="24"/>
          <w:szCs w:val="24"/>
        </w:rPr>
        <w:fldChar w:fldCharType="separate"/>
      </w:r>
      <w:r>
        <w:rPr>
          <w:sz w:val="24"/>
          <w:szCs w:val="24"/>
        </w:rPr>
        <w:t>- 18 -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_Toc17362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_Toc17362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_Toc6483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_Toc6483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_Toc773 \h </w:instrText>
      </w:r>
      <w:r>
        <w:rPr>
          <w:sz w:val="24"/>
          <w:szCs w:val="24"/>
        </w:rPr>
        <w:fldChar w:fldCharType="separate"/>
      </w:r>
      <w:r>
        <w:rPr>
          <w:sz w:val="24"/>
          <w:szCs w:val="24"/>
        </w:rPr>
        <w:t>- 28 -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 w:val="24"/>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06030870"/>
      <w:bookmarkStart w:id="1" w:name="_Toc11641050"/>
      <w:bookmarkStart w:id="2" w:name="_Toc30178"/>
      <w:bookmarkStart w:id="3" w:name="_Toc76462316"/>
      <w:bookmarkStart w:id="4" w:name="_Toc12789052"/>
      <w:bookmarkStart w:id="5" w:name="_Toc24037"/>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化粪池清理及危废转运</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4292"/>
      <w:bookmarkStart w:id="7" w:name="_Toc317775175"/>
      <w:bookmarkStart w:id="8" w:name="_Toc106030871"/>
      <w:bookmarkStart w:id="9" w:name="_Toc3856"/>
      <w:bookmarkStart w:id="10" w:name="_Toc76462317"/>
      <w:bookmarkStart w:id="11" w:name="_Toc313893526"/>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340"/>
        <w:gridCol w:w="1650"/>
        <w:gridCol w:w="1125"/>
        <w:gridCol w:w="1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41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99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val="en-US" w:eastAsia="zh-CN"/>
              </w:rPr>
              <w:t>最高</w:t>
            </w:r>
            <w:r>
              <w:rPr>
                <w:rFonts w:hint="eastAsia" w:ascii="方正仿宋_GBK" w:hAnsi="宋体" w:eastAsia="方正仿宋_GBK" w:cs="宋体"/>
                <w:b/>
                <w:bCs/>
                <w:kern w:val="0"/>
                <w:sz w:val="21"/>
                <w:szCs w:val="24"/>
              </w:rPr>
              <w:t>限价</w:t>
            </w:r>
          </w:p>
          <w:p>
            <w:pPr>
              <w:keepNext w:val="0"/>
              <w:keepLines w:val="0"/>
              <w:widowControl/>
              <w:suppressLineNumbers w:val="0"/>
              <w:spacing w:before="0" w:beforeAutospacing="0" w:after="0" w:afterAutospacing="0"/>
              <w:ind w:left="0" w:right="0"/>
              <w:jc w:val="center"/>
              <w:rPr>
                <w:rFonts w:hint="eastAsia" w:eastAsia="方正仿宋_GBK"/>
                <w:szCs w:val="20"/>
                <w:lang w:eastAsia="zh-CN"/>
              </w:rPr>
            </w:pPr>
            <w:r>
              <w:rPr>
                <w:rFonts w:hint="eastAsia" w:ascii="方正仿宋_GBK" w:hAnsi="宋体" w:eastAsia="方正仿宋_GBK" w:cs="宋体"/>
                <w:b/>
                <w:bCs/>
                <w:kern w:val="0"/>
                <w:sz w:val="21"/>
                <w:szCs w:val="24"/>
                <w:lang w:eastAsia="zh-CN"/>
              </w:rPr>
              <w:t>（</w:t>
            </w:r>
            <w:r>
              <w:rPr>
                <w:rFonts w:hint="eastAsia" w:ascii="方正仿宋_GBK" w:hAnsi="宋体" w:eastAsia="方正仿宋_GBK" w:cs="宋体"/>
                <w:b/>
                <w:bCs/>
                <w:kern w:val="0"/>
                <w:sz w:val="21"/>
                <w:szCs w:val="24"/>
                <w:lang w:val="en-US" w:eastAsia="zh-CN"/>
              </w:rPr>
              <w:t>万元</w:t>
            </w:r>
            <w:r>
              <w:rPr>
                <w:rFonts w:hint="eastAsia" w:ascii="方正仿宋_GBK" w:hAnsi="宋体" w:eastAsia="方正仿宋_GBK" w:cs="宋体"/>
                <w:b/>
                <w:bCs/>
                <w:kern w:val="0"/>
                <w:sz w:val="21"/>
                <w:szCs w:val="24"/>
                <w:lang w:eastAsia="zh-CN"/>
              </w:rPr>
              <w:t>）</w:t>
            </w:r>
          </w:p>
        </w:tc>
        <w:tc>
          <w:tcPr>
            <w:tcW w:w="680"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4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YHQ230367</w:t>
            </w:r>
          </w:p>
        </w:tc>
        <w:tc>
          <w:tcPr>
            <w:tcW w:w="14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微软雅黑" w:hAnsi="微软雅黑" w:eastAsia="微软雅黑" w:cs="微软雅黑"/>
                <w:b w:val="0"/>
                <w:bCs/>
                <w:sz w:val="21"/>
                <w:szCs w:val="21"/>
              </w:rPr>
              <w:t>化粪池清理及危废转运</w:t>
            </w:r>
          </w:p>
        </w:tc>
        <w:tc>
          <w:tcPr>
            <w:tcW w:w="99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45</w:t>
            </w:r>
          </w:p>
        </w:tc>
        <w:tc>
          <w:tcPr>
            <w:tcW w:w="68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2986"/>
      <w:r>
        <w:rPr>
          <w:rFonts w:hint="eastAsia" w:ascii="方正仿宋_GBK" w:hAnsi="宋体" w:eastAsia="方正仿宋_GBK"/>
          <w:sz w:val="24"/>
        </w:rPr>
        <w:t>二、</w:t>
      </w:r>
      <w:bookmarkEnd w:id="12"/>
      <w:bookmarkEnd w:id="13"/>
      <w:bookmarkEnd w:id="16"/>
      <w:bookmarkStart w:id="18" w:name="_Toc4480"/>
      <w:bookmarkStart w:id="19" w:name="_Toc106030873"/>
      <w:bookmarkStart w:id="20" w:name="_Toc76462319"/>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sz w:val="24"/>
          <w:szCs w:val="24"/>
        </w:rPr>
        <w:t>（二）本项目的特定资格要</w:t>
      </w:r>
      <w:r>
        <w:rPr>
          <w:rFonts w:hint="eastAsia" w:ascii="方正仿宋_GBK" w:hAnsi="宋体" w:eastAsia="方正仿宋_GBK" w:cs="Times New Roman"/>
          <w:sz w:val="24"/>
          <w:szCs w:val="24"/>
        </w:rPr>
        <w:t>求：</w:t>
      </w:r>
    </w:p>
    <w:p>
      <w:pPr>
        <w:spacing w:line="400" w:lineRule="exact"/>
        <w:ind w:firstLine="480" w:firstLineChars="200"/>
        <w:rPr>
          <w:rFonts w:hint="eastAsia" w:ascii="微软雅黑" w:hAnsi="微软雅黑" w:eastAsia="微软雅黑" w:cs="微软雅黑"/>
          <w:bCs/>
          <w:color w:val="auto"/>
          <w:sz w:val="24"/>
          <w:szCs w:val="24"/>
          <w:lang w:val="en-US"/>
        </w:rPr>
      </w:pPr>
      <w:r>
        <w:rPr>
          <w:rFonts w:hint="eastAsia" w:ascii="方正仿宋_GBK" w:hAnsi="宋体" w:eastAsia="方正仿宋_GBK" w:cs="Times New Roman"/>
          <w:sz w:val="24"/>
          <w:szCs w:val="24"/>
          <w:lang w:val="en-US" w:eastAsia="zh-CN"/>
        </w:rPr>
        <w:t>1.投标人</w:t>
      </w:r>
      <w:r>
        <w:rPr>
          <w:rFonts w:hint="eastAsia" w:ascii="微软雅黑" w:hAnsi="微软雅黑" w:eastAsia="微软雅黑" w:cs="微软雅黑"/>
          <w:bCs/>
          <w:color w:val="auto"/>
          <w:sz w:val="24"/>
          <w:szCs w:val="24"/>
          <w:lang w:val="en-US"/>
        </w:rPr>
        <w:t>具有</w:t>
      </w:r>
      <w:r>
        <w:rPr>
          <w:rFonts w:hint="eastAsia" w:ascii="微软雅黑" w:hAnsi="微软雅黑" w:eastAsia="微软雅黑" w:cs="微软雅黑"/>
          <w:bCs/>
          <w:color w:val="auto"/>
          <w:sz w:val="24"/>
          <w:szCs w:val="24"/>
          <w:lang w:val="en-US" w:eastAsia="zh-CN"/>
        </w:rPr>
        <w:t>《城市粪便污水处理经营服务机构专项职业能力安全生产培训登记证书》或《城市粪便污水处理经营服务资质认定证书》</w:t>
      </w:r>
      <w:r>
        <w:rPr>
          <w:rFonts w:hint="eastAsia" w:ascii="微软雅黑" w:hAnsi="微软雅黑" w:eastAsia="微软雅黑" w:cs="微软雅黑"/>
          <w:bCs/>
          <w:color w:val="auto"/>
          <w:sz w:val="24"/>
          <w:szCs w:val="24"/>
          <w:lang w:val="en-US"/>
        </w:rPr>
        <w:t>。</w:t>
      </w:r>
    </w:p>
    <w:p>
      <w:pPr>
        <w:pStyle w:val="2"/>
        <w:ind w:firstLine="480" w:firstLineChars="200"/>
        <w:rPr>
          <w:rFonts w:hint="eastAsia" w:eastAsia="微软雅黑"/>
          <w:lang w:val="en-US" w:eastAsia="zh-CN"/>
        </w:rPr>
      </w:pPr>
      <w:r>
        <w:rPr>
          <w:rFonts w:hint="eastAsia" w:ascii="方正仿宋_GBK" w:hAnsi="宋体" w:eastAsia="方正仿宋_GBK" w:cs="Times New Roman"/>
          <w:sz w:val="24"/>
          <w:szCs w:val="24"/>
          <w:lang w:val="en-US" w:eastAsia="zh-CN"/>
        </w:rPr>
        <w:t>2.投标人</w:t>
      </w:r>
      <w:r>
        <w:rPr>
          <w:rFonts w:hint="eastAsia" w:ascii="微软雅黑" w:hAnsi="微软雅黑" w:eastAsia="微软雅黑" w:cs="微软雅黑"/>
          <w:bCs/>
          <w:color w:val="auto"/>
          <w:sz w:val="24"/>
          <w:szCs w:val="24"/>
          <w:lang w:val="en-US"/>
        </w:rPr>
        <w:t>具有重庆市环保局颁发的危废处理资质</w:t>
      </w:r>
      <w:r>
        <w:rPr>
          <w:rFonts w:hint="eastAsia" w:ascii="微软雅黑" w:hAnsi="微软雅黑" w:eastAsia="微软雅黑" w:cs="微软雅黑"/>
          <w:bCs/>
          <w:color w:val="auto"/>
          <w:sz w:val="24"/>
          <w:szCs w:val="24"/>
          <w:lang w:val="en-US" w:eastAsia="zh-CN"/>
        </w:rPr>
        <w:t>。</w:t>
      </w:r>
    </w:p>
    <w:p>
      <w:pPr>
        <w:pStyle w:val="2"/>
        <w:ind w:firstLine="480" w:firstLineChars="200"/>
        <w:rPr>
          <w:rFonts w:hint="default" w:ascii="微软雅黑" w:hAnsi="微软雅黑" w:eastAsia="微软雅黑" w:cs="微软雅黑"/>
          <w:bCs/>
          <w:color w:val="auto"/>
          <w:sz w:val="24"/>
          <w:szCs w:val="24"/>
          <w:lang w:val="en-US" w:eastAsia="zh-CN"/>
        </w:rPr>
      </w:pPr>
      <w:bookmarkStart w:id="21" w:name="_Toc106030874"/>
      <w:bookmarkStart w:id="22" w:name="_Toc27954"/>
      <w:bookmarkStart w:id="23" w:name="_Toc27190"/>
      <w:bookmarkStart w:id="24" w:name="_Toc76462320"/>
      <w:r>
        <w:rPr>
          <w:rFonts w:hint="eastAsia" w:ascii="微软雅黑" w:hAnsi="微软雅黑" w:eastAsia="微软雅黑" w:cs="微软雅黑"/>
          <w:bCs/>
          <w:color w:val="auto"/>
          <w:sz w:val="24"/>
          <w:szCs w:val="24"/>
          <w:lang w:val="en-US" w:eastAsia="zh-CN"/>
        </w:rPr>
        <w:t>3.该项目允许联合体投标。</w:t>
      </w: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6178"/>
      <w:bookmarkStart w:id="26" w:name="_Toc65660334"/>
      <w:bookmarkStart w:id="27" w:name="_Toc11956"/>
      <w:bookmarkStart w:id="28" w:name="_Toc12841"/>
      <w:bookmarkStart w:id="29" w:name="_Toc521053053"/>
      <w:bookmarkStart w:id="30" w:name="_Toc525047161"/>
      <w:bookmarkStart w:id="31" w:name="_Toc19481"/>
      <w:bookmarkStart w:id="32" w:name="_Toc106034625"/>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发放后45个日历日内退还至项目报名时所填</w:t>
      </w:r>
      <w:r>
        <w:rPr>
          <w:rFonts w:hint="eastAsia" w:ascii="方正仿宋_GBK" w:hAnsi="宋体" w:eastAsia="方正仿宋_GBK"/>
          <w:color w:val="auto"/>
          <w:sz w:val="24"/>
          <w:szCs w:val="24"/>
        </w:rPr>
        <w:t>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106034626"/>
      <w:bookmarkStart w:id="34" w:name="_Toc4355"/>
      <w:bookmarkStart w:id="35" w:name="_Toc65660335"/>
      <w:bookmarkStart w:id="36" w:name="_Toc521053054"/>
      <w:bookmarkStart w:id="37" w:name="_Toc2945"/>
      <w:bookmarkStart w:id="38" w:name="_Toc525047162"/>
      <w:bookmarkStart w:id="39" w:name="_Toc11290"/>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5047163"/>
      <w:bookmarkStart w:id="42" w:name="_Toc521053055"/>
      <w:bookmarkStart w:id="43" w:name="_Toc16269"/>
      <w:bookmarkStart w:id="44" w:name="_Toc6563"/>
      <w:bookmarkStart w:id="45" w:name="_Toc106034627"/>
      <w:bookmarkStart w:id="46" w:name="_Toc65660336"/>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10415"/>
      <w:bookmarkStart w:id="48" w:name="_Toc24901"/>
      <w:bookmarkStart w:id="49" w:name="_Toc106034628"/>
      <w:bookmarkStart w:id="50" w:name="_Toc65660337"/>
      <w:bookmarkStart w:id="51" w:name="_Toc1733"/>
      <w:bookmarkStart w:id="52" w:name="_Toc521053056"/>
      <w:bookmarkStart w:id="53" w:name="_Toc24334"/>
      <w:bookmarkStart w:id="54" w:name="_Toc525047164"/>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725"/>
      <w:bookmarkStart w:id="57" w:name="_Toc12959"/>
      <w:bookmarkStart w:id="58" w:name="_Toc11017"/>
      <w:bookmarkStart w:id="59" w:name="_Toc26176"/>
      <w:bookmarkStart w:id="60" w:name="_Toc2070"/>
      <w:bookmarkStart w:id="61" w:name="_Toc1625"/>
      <w:bookmarkStart w:id="62" w:name="_Toc32686"/>
      <w:bookmarkStart w:id="63" w:name="_Toc1492"/>
      <w:bookmarkStart w:id="64" w:name="_Toc5461"/>
      <w:bookmarkStart w:id="65" w:name="_Toc23143"/>
      <w:bookmarkStart w:id="66" w:name="_Toc8649"/>
      <w:bookmarkStart w:id="67" w:name="_Toc19886"/>
      <w:bookmarkStart w:id="68" w:name="_Toc75793504"/>
      <w:bookmarkStart w:id="69" w:name="_Toc2422"/>
      <w:bookmarkStart w:id="70" w:name="_Toc25639"/>
      <w:bookmarkStart w:id="71" w:name="_Toc24954"/>
      <w:bookmarkStart w:id="72" w:name="_Toc106030380"/>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w:t>
      </w:r>
      <w:r>
        <w:rPr>
          <w:rFonts w:hint="eastAsia" w:ascii="方正仿宋_GBK" w:eastAsia="方正仿宋_GBK" w:cs="Times New Roman"/>
          <w:b/>
          <w:kern w:val="2"/>
          <w:sz w:val="44"/>
          <w:szCs w:val="20"/>
          <w:lang w:val="en-US" w:eastAsia="zh-CN" w:bidi="ar-SA"/>
        </w:rPr>
        <w:t>服务</w:t>
      </w:r>
      <w:r>
        <w:rPr>
          <w:rFonts w:hint="eastAsia" w:ascii="方正仿宋_GBK" w:hAnsi="Times New Roman" w:eastAsia="方正仿宋_GBK" w:cs="Times New Roman"/>
          <w:b/>
          <w:kern w:val="2"/>
          <w:sz w:val="44"/>
          <w:szCs w:val="20"/>
          <w:lang w:val="en-US" w:eastAsia="zh-CN" w:bidi="ar-SA"/>
        </w:rPr>
        <w:t>需求</w:t>
      </w:r>
      <w:bookmarkEnd w:id="71"/>
      <w:bookmarkEnd w:id="7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3" w:name="_Toc3016"/>
      <w:bookmarkStart w:id="74" w:name="_Toc18470"/>
      <w:bookmarkStart w:id="75" w:name="_Toc76462325"/>
      <w:bookmarkStart w:id="76" w:name="_Toc106030879"/>
      <w:bookmarkStart w:id="77" w:name="_Toc106030882"/>
      <w:bookmarkStart w:id="78" w:name="_Toc76462327"/>
      <w:bookmarkStart w:id="79" w:name="_Toc7791"/>
      <w:r>
        <w:rPr>
          <w:rFonts w:hint="eastAsia" w:ascii="方正仿宋_GBK" w:hAnsi="宋体" w:eastAsia="方正仿宋_GBK"/>
          <w:sz w:val="24"/>
        </w:rPr>
        <w:t>一、项目基本概况介绍</w:t>
      </w:r>
      <w:bookmarkEnd w:id="73"/>
      <w:bookmarkEnd w:id="74"/>
      <w:bookmarkEnd w:id="75"/>
      <w:bookmarkEnd w:id="76"/>
    </w:p>
    <w:tbl>
      <w:tblPr>
        <w:tblStyle w:val="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79"/>
        <w:gridCol w:w="2595"/>
        <w:gridCol w:w="3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34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服务年限</w:t>
            </w:r>
          </w:p>
        </w:tc>
        <w:tc>
          <w:tcPr>
            <w:tcW w:w="163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4"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微软雅黑" w:hAnsi="微软雅黑" w:eastAsia="微软雅黑" w:cs="微软雅黑"/>
                <w:b w:val="0"/>
                <w:bCs/>
                <w:sz w:val="24"/>
                <w:szCs w:val="24"/>
              </w:rPr>
              <w:t>化粪池清理及危废转运</w:t>
            </w:r>
          </w:p>
        </w:tc>
        <w:tc>
          <w:tcPr>
            <w:tcW w:w="134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1年</w:t>
            </w:r>
          </w:p>
        </w:tc>
        <w:tc>
          <w:tcPr>
            <w:tcW w:w="1637"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0" w:name="_Toc11738"/>
      <w:bookmarkStart w:id="81" w:name="_Toc12384"/>
      <w:bookmarkStart w:id="82" w:name="_Toc106030880"/>
      <w:r>
        <w:rPr>
          <w:rFonts w:hint="eastAsia" w:ascii="方正仿宋_GBK" w:hAnsi="宋体" w:eastAsia="方正仿宋_GBK"/>
          <w:sz w:val="24"/>
        </w:rPr>
        <w:t>二、</w:t>
      </w:r>
      <w:r>
        <w:rPr>
          <w:rFonts w:hint="eastAsia" w:ascii="方正仿宋_GBK" w:hAnsi="宋体" w:eastAsia="方正仿宋_GBK"/>
          <w:sz w:val="24"/>
          <w:lang w:val="en-US" w:eastAsia="zh-CN"/>
        </w:rPr>
        <w:t>项目内容</w:t>
      </w:r>
      <w:bookmarkEnd w:id="80"/>
      <w:bookmarkEnd w:id="81"/>
      <w:bookmarkEnd w:id="82"/>
    </w:p>
    <w:p>
      <w:pPr>
        <w:snapToGrid w:val="0"/>
        <w:spacing w:line="400" w:lineRule="exact"/>
        <w:ind w:firstLine="480" w:firstLineChars="200"/>
        <w:rPr>
          <w:rFonts w:hint="default" w:ascii="方正仿宋_GBK" w:hAnsi="宋体" w:eastAsia="方正仿宋_GBK"/>
          <w:sz w:val="24"/>
          <w:szCs w:val="24"/>
          <w:lang w:val="en-US" w:eastAsia="zh-CN"/>
        </w:rPr>
      </w:pPr>
      <w:bookmarkStart w:id="83" w:name="_Toc344475116"/>
      <w:bookmarkStart w:id="84" w:name="_Toc313536013"/>
      <w:bookmarkStart w:id="85" w:name="_Toc106030881"/>
      <w:bookmarkStart w:id="86" w:name="_Toc76462326"/>
      <w:bookmarkStart w:id="87" w:name="_Toc27812"/>
      <w:r>
        <w:rPr>
          <w:rFonts w:hint="eastAsia" w:ascii="微软雅黑" w:hAnsi="微软雅黑" w:eastAsia="微软雅黑" w:cs="微软雅黑"/>
          <w:bCs/>
          <w:color w:val="auto"/>
          <w:sz w:val="24"/>
          <w:szCs w:val="24"/>
        </w:rPr>
        <w:t>重庆医科大学附属儿童医院</w:t>
      </w:r>
      <w:r>
        <w:rPr>
          <w:rFonts w:hint="eastAsia" w:ascii="微软雅黑" w:hAnsi="微软雅黑" w:eastAsia="微软雅黑" w:cs="微软雅黑"/>
          <w:bCs/>
          <w:color w:val="auto"/>
          <w:sz w:val="24"/>
          <w:szCs w:val="24"/>
          <w:lang w:val="en-US" w:eastAsia="zh-CN"/>
        </w:rPr>
        <w:t>渝中院区及两江院区</w:t>
      </w:r>
      <w:r>
        <w:rPr>
          <w:rFonts w:hint="eastAsia" w:ascii="微软雅黑" w:hAnsi="微软雅黑" w:eastAsia="微软雅黑" w:cs="微软雅黑"/>
          <w:bCs/>
          <w:color w:val="auto"/>
          <w:sz w:val="24"/>
          <w:szCs w:val="24"/>
        </w:rPr>
        <w:t>化粪池共</w:t>
      </w:r>
      <w:r>
        <w:rPr>
          <w:rFonts w:hint="eastAsia" w:ascii="微软雅黑" w:hAnsi="微软雅黑" w:eastAsia="微软雅黑" w:cs="微软雅黑"/>
          <w:bCs/>
          <w:color w:val="auto"/>
          <w:sz w:val="24"/>
          <w:szCs w:val="24"/>
          <w:lang w:val="en-US" w:eastAsia="zh-CN"/>
        </w:rPr>
        <w:t>计23</w:t>
      </w:r>
      <w:r>
        <w:rPr>
          <w:rFonts w:hint="eastAsia" w:ascii="微软雅黑" w:hAnsi="微软雅黑" w:eastAsia="微软雅黑" w:cs="微软雅黑"/>
          <w:bCs/>
          <w:color w:val="auto"/>
          <w:sz w:val="24"/>
          <w:szCs w:val="24"/>
        </w:rPr>
        <w:t>个，容积</w:t>
      </w:r>
      <w:r>
        <w:rPr>
          <w:rFonts w:hint="eastAsia" w:ascii="微软雅黑" w:hAnsi="微软雅黑" w:eastAsia="微软雅黑" w:cs="微软雅黑"/>
          <w:bCs/>
          <w:color w:val="auto"/>
          <w:sz w:val="24"/>
          <w:szCs w:val="24"/>
          <w:lang w:val="en-US" w:eastAsia="zh-CN"/>
        </w:rPr>
        <w:t>约7703</w:t>
      </w:r>
      <w:r>
        <w:rPr>
          <w:rFonts w:hint="eastAsia" w:ascii="微软雅黑" w:hAnsi="微软雅黑" w:eastAsia="微软雅黑" w:cs="微软雅黑"/>
          <w:color w:val="auto"/>
          <w:sz w:val="24"/>
          <w:szCs w:val="24"/>
        </w:rPr>
        <w:t>m</w:t>
      </w:r>
      <w:r>
        <w:rPr>
          <w:rFonts w:hint="eastAsia" w:ascii="微软雅黑" w:hAnsi="微软雅黑" w:eastAsia="微软雅黑" w:cs="微软雅黑"/>
          <w:color w:val="auto"/>
          <w:sz w:val="24"/>
          <w:szCs w:val="24"/>
          <w:vertAlign w:val="superscript"/>
        </w:rPr>
        <w:t>3</w:t>
      </w:r>
      <w:r>
        <w:rPr>
          <w:rFonts w:hint="eastAsia" w:ascii="微软雅黑" w:hAnsi="微软雅黑" w:eastAsia="微软雅黑" w:cs="微软雅黑"/>
          <w:bCs/>
          <w:color w:val="auto"/>
          <w:sz w:val="24"/>
          <w:szCs w:val="24"/>
        </w:rPr>
        <w:t>，污水管网</w:t>
      </w:r>
      <w:r>
        <w:rPr>
          <w:rFonts w:hint="eastAsia" w:ascii="微软雅黑" w:hAnsi="微软雅黑" w:eastAsia="微软雅黑" w:cs="微软雅黑"/>
          <w:bCs/>
          <w:color w:val="auto"/>
          <w:sz w:val="24"/>
          <w:szCs w:val="24"/>
          <w:lang w:val="en-US" w:eastAsia="zh-CN"/>
        </w:rPr>
        <w:t>约53</w:t>
      </w:r>
      <w:r>
        <w:rPr>
          <w:rFonts w:hint="eastAsia" w:ascii="微软雅黑" w:hAnsi="微软雅黑" w:eastAsia="微软雅黑" w:cs="微软雅黑"/>
          <w:bCs/>
          <w:color w:val="auto"/>
          <w:sz w:val="24"/>
          <w:szCs w:val="24"/>
        </w:rPr>
        <w:t>00米。</w:t>
      </w:r>
      <w:r>
        <w:rPr>
          <w:rFonts w:hint="eastAsia" w:ascii="微软雅黑" w:hAnsi="微软雅黑" w:eastAsia="微软雅黑" w:cs="微软雅黑"/>
          <w:bCs/>
          <w:color w:val="auto"/>
          <w:sz w:val="24"/>
          <w:szCs w:val="24"/>
          <w:lang w:val="en-US" w:eastAsia="zh-CN"/>
        </w:rPr>
        <w:t>投标人须</w:t>
      </w:r>
      <w:r>
        <w:rPr>
          <w:rFonts w:hint="eastAsia" w:ascii="微软雅黑" w:hAnsi="微软雅黑" w:eastAsia="微软雅黑" w:cs="微软雅黑"/>
          <w:bCs/>
          <w:color w:val="auto"/>
          <w:sz w:val="24"/>
          <w:szCs w:val="24"/>
        </w:rPr>
        <w:t>对所属化粪池及管网</w:t>
      </w:r>
      <w:r>
        <w:rPr>
          <w:rFonts w:hint="eastAsia" w:ascii="微软雅黑" w:hAnsi="微软雅黑" w:eastAsia="微软雅黑" w:cs="微软雅黑"/>
          <w:bCs/>
          <w:color w:val="auto"/>
          <w:sz w:val="24"/>
          <w:szCs w:val="24"/>
          <w:lang w:val="en-US" w:eastAsia="zh-CN"/>
        </w:rPr>
        <w:t>进行清理并对危废进行转运</w:t>
      </w:r>
      <w:r>
        <w:rPr>
          <w:rFonts w:hint="eastAsia" w:ascii="微软雅黑" w:hAnsi="微软雅黑" w:eastAsia="微软雅黑" w:cs="微软雅黑"/>
          <w:bCs/>
          <w:color w:val="auto"/>
          <w:sz w:val="24"/>
          <w:szCs w:val="24"/>
        </w:rPr>
        <w:t>。</w:t>
      </w:r>
    </w:p>
    <w:p>
      <w:pPr>
        <w:pStyle w:val="4"/>
        <w:adjustRightInd w:val="0"/>
        <w:snapToGrid w:val="0"/>
        <w:spacing w:before="0" w:after="0" w:line="400" w:lineRule="exact"/>
        <w:ind w:firstLine="480" w:firstLineChars="200"/>
        <w:rPr>
          <w:rFonts w:hint="default" w:ascii="方正仿宋_GBK" w:hAnsi="宋体" w:eastAsia="方正仿宋_GBK"/>
          <w:sz w:val="24"/>
          <w:lang w:val="en-US"/>
        </w:rPr>
      </w:pPr>
      <w:bookmarkStart w:id="88" w:name="_Toc931"/>
      <w:r>
        <w:rPr>
          <w:rFonts w:hint="eastAsia" w:ascii="方正仿宋_GBK" w:hAnsi="宋体" w:eastAsia="方正仿宋_GBK"/>
          <w:sz w:val="24"/>
        </w:rPr>
        <w:t>三、</w:t>
      </w:r>
      <w:bookmarkEnd w:id="83"/>
      <w:bookmarkEnd w:id="84"/>
      <w:bookmarkEnd w:id="85"/>
      <w:bookmarkEnd w:id="86"/>
      <w:bookmarkEnd w:id="87"/>
      <w:r>
        <w:rPr>
          <w:rFonts w:hint="eastAsia" w:ascii="方正仿宋_GBK" w:hAnsi="宋体" w:eastAsia="方正仿宋_GBK"/>
          <w:sz w:val="24"/>
          <w:lang w:val="en-US" w:eastAsia="zh-CN"/>
        </w:rPr>
        <w:t>项目要求</w:t>
      </w:r>
      <w:bookmarkEnd w:id="88"/>
    </w:p>
    <w:p>
      <w:pPr>
        <w:snapToGrid w:val="0"/>
        <w:spacing w:line="400" w:lineRule="exact"/>
        <w:ind w:firstLine="480" w:firstLineChars="200"/>
        <w:rPr>
          <w:rFonts w:hint="eastAsia" w:ascii="微软雅黑" w:hAnsi="微软雅黑" w:eastAsia="微软雅黑" w:cs="微软雅黑"/>
          <w:bCs/>
          <w:color w:val="auto"/>
          <w:sz w:val="24"/>
          <w:szCs w:val="24"/>
          <w:lang w:val="en-US"/>
        </w:rPr>
      </w:pPr>
      <w:r>
        <w:rPr>
          <w:rFonts w:hint="eastAsia" w:ascii="微软雅黑" w:hAnsi="微软雅黑" w:eastAsia="微软雅黑" w:cs="微软雅黑"/>
          <w:bCs/>
          <w:color w:val="auto"/>
          <w:sz w:val="24"/>
          <w:szCs w:val="24"/>
          <w:lang w:val="en-US" w:eastAsia="zh-CN"/>
        </w:rPr>
        <w:t>1.</w:t>
      </w:r>
      <w:r>
        <w:rPr>
          <w:rFonts w:hint="eastAsia" w:ascii="微软雅黑" w:hAnsi="微软雅黑" w:eastAsia="微软雅黑" w:cs="微软雅黑"/>
          <w:bCs/>
          <w:color w:val="auto"/>
          <w:sz w:val="24"/>
          <w:szCs w:val="24"/>
          <w:lang w:val="en-US"/>
        </w:rPr>
        <w:t>所有化粪池彻底清掏</w:t>
      </w:r>
      <w:r>
        <w:rPr>
          <w:rFonts w:hint="eastAsia" w:ascii="微软雅黑" w:hAnsi="微软雅黑" w:eastAsia="微软雅黑" w:cs="微软雅黑"/>
          <w:bCs/>
          <w:color w:val="auto"/>
          <w:sz w:val="24"/>
          <w:szCs w:val="24"/>
          <w:lang w:val="en-US" w:eastAsia="zh-CN"/>
        </w:rPr>
        <w:t>至少4</w:t>
      </w:r>
      <w:r>
        <w:rPr>
          <w:rFonts w:hint="eastAsia" w:ascii="微软雅黑" w:hAnsi="微软雅黑" w:eastAsia="微软雅黑" w:cs="微软雅黑"/>
          <w:bCs/>
          <w:color w:val="auto"/>
          <w:sz w:val="24"/>
          <w:szCs w:val="24"/>
          <w:lang w:val="en-US"/>
        </w:rPr>
        <w:t>次</w:t>
      </w:r>
      <w:r>
        <w:rPr>
          <w:rFonts w:hint="eastAsia" w:ascii="微软雅黑" w:hAnsi="微软雅黑" w:eastAsia="微软雅黑" w:cs="微软雅黑"/>
          <w:bCs/>
          <w:color w:val="auto"/>
          <w:sz w:val="24"/>
          <w:szCs w:val="24"/>
          <w:lang w:val="en-US" w:eastAsia="zh-CN"/>
        </w:rPr>
        <w:t>/年；</w:t>
      </w:r>
      <w:r>
        <w:rPr>
          <w:rFonts w:hint="eastAsia" w:ascii="微软雅黑" w:hAnsi="微软雅黑" w:eastAsia="微软雅黑" w:cs="微软雅黑"/>
          <w:bCs/>
          <w:color w:val="auto"/>
          <w:sz w:val="24"/>
          <w:szCs w:val="24"/>
          <w:lang w:val="en-US"/>
        </w:rPr>
        <w:t>餐厅油污清掏</w:t>
      </w:r>
      <w:r>
        <w:rPr>
          <w:rFonts w:hint="eastAsia" w:ascii="微软雅黑" w:hAnsi="微软雅黑" w:eastAsia="微软雅黑" w:cs="微软雅黑"/>
          <w:bCs/>
          <w:color w:val="auto"/>
          <w:sz w:val="24"/>
          <w:szCs w:val="24"/>
          <w:lang w:val="en-US" w:eastAsia="zh-CN"/>
        </w:rPr>
        <w:t>至少6</w:t>
      </w:r>
      <w:r>
        <w:rPr>
          <w:rFonts w:hint="eastAsia" w:ascii="微软雅黑" w:hAnsi="微软雅黑" w:eastAsia="微软雅黑" w:cs="微软雅黑"/>
          <w:bCs/>
          <w:color w:val="auto"/>
          <w:sz w:val="24"/>
          <w:szCs w:val="24"/>
          <w:lang w:val="en-US"/>
        </w:rPr>
        <w:t>次</w:t>
      </w:r>
      <w:r>
        <w:rPr>
          <w:rFonts w:hint="eastAsia" w:ascii="微软雅黑" w:hAnsi="微软雅黑" w:eastAsia="微软雅黑" w:cs="微软雅黑"/>
          <w:bCs/>
          <w:color w:val="auto"/>
          <w:sz w:val="24"/>
          <w:szCs w:val="24"/>
          <w:lang w:val="en-US" w:eastAsia="zh-CN"/>
        </w:rPr>
        <w:t>/年；</w:t>
      </w:r>
      <w:r>
        <w:rPr>
          <w:rFonts w:hint="eastAsia" w:ascii="微软雅黑" w:hAnsi="微软雅黑" w:eastAsia="微软雅黑" w:cs="微软雅黑"/>
          <w:bCs/>
          <w:color w:val="auto"/>
          <w:sz w:val="24"/>
          <w:szCs w:val="24"/>
          <w:lang w:val="en-US"/>
        </w:rPr>
        <w:t>污水站每周转运一次污物</w:t>
      </w:r>
      <w:r>
        <w:rPr>
          <w:rFonts w:hint="eastAsia" w:ascii="微软雅黑" w:hAnsi="微软雅黑" w:eastAsia="微软雅黑" w:cs="微软雅黑"/>
          <w:bCs/>
          <w:color w:val="auto"/>
          <w:sz w:val="24"/>
          <w:szCs w:val="24"/>
          <w:lang w:val="en-US" w:eastAsia="zh-CN"/>
        </w:rPr>
        <w:t>；</w:t>
      </w:r>
      <w:r>
        <w:rPr>
          <w:rFonts w:hint="eastAsia" w:ascii="微软雅黑" w:hAnsi="微软雅黑" w:eastAsia="微软雅黑" w:cs="微软雅黑"/>
          <w:bCs/>
          <w:color w:val="auto"/>
          <w:sz w:val="24"/>
          <w:szCs w:val="24"/>
          <w:lang w:val="en-US"/>
        </w:rPr>
        <w:t>每月对全部化粪池</w:t>
      </w:r>
      <w:r>
        <w:rPr>
          <w:rFonts w:hint="eastAsia" w:ascii="微软雅黑" w:hAnsi="微软雅黑" w:eastAsia="微软雅黑" w:cs="微软雅黑"/>
          <w:bCs/>
          <w:color w:val="auto"/>
          <w:sz w:val="24"/>
          <w:szCs w:val="24"/>
          <w:lang w:val="en-US" w:eastAsia="zh-CN"/>
        </w:rPr>
        <w:t>至少</w:t>
      </w:r>
      <w:r>
        <w:rPr>
          <w:rFonts w:hint="eastAsia" w:ascii="微软雅黑" w:hAnsi="微软雅黑" w:eastAsia="微软雅黑" w:cs="微软雅黑"/>
          <w:bCs/>
          <w:color w:val="auto"/>
          <w:sz w:val="24"/>
          <w:szCs w:val="24"/>
          <w:lang w:val="en-US"/>
        </w:rPr>
        <w:t>检查一次</w:t>
      </w:r>
      <w:r>
        <w:rPr>
          <w:rFonts w:hint="eastAsia" w:ascii="微软雅黑" w:hAnsi="微软雅黑" w:eastAsia="微软雅黑" w:cs="微软雅黑"/>
          <w:bCs/>
          <w:color w:val="auto"/>
          <w:sz w:val="24"/>
          <w:szCs w:val="24"/>
          <w:lang w:val="en-US" w:eastAsia="zh-CN"/>
        </w:rPr>
        <w:t>。</w:t>
      </w:r>
      <w:r>
        <w:rPr>
          <w:rFonts w:hint="eastAsia" w:ascii="微软雅黑" w:hAnsi="微软雅黑" w:eastAsia="微软雅黑" w:cs="微软雅黑"/>
          <w:bCs/>
          <w:color w:val="auto"/>
          <w:sz w:val="24"/>
          <w:szCs w:val="24"/>
          <w:lang w:val="en-US"/>
        </w:rPr>
        <w:t>若在合同期内出现化粪池外溢或堵塞，由其进行清掏，不再支付费用，且</w:t>
      </w:r>
      <w:r>
        <w:rPr>
          <w:rFonts w:hint="eastAsia" w:ascii="微软雅黑" w:hAnsi="微软雅黑" w:eastAsia="微软雅黑" w:cs="微软雅黑"/>
          <w:bCs/>
          <w:color w:val="auto"/>
          <w:sz w:val="24"/>
          <w:szCs w:val="24"/>
          <w:lang w:val="en-US" w:eastAsia="zh-CN"/>
        </w:rPr>
        <w:t>投标人按照</w:t>
      </w:r>
      <w:r>
        <w:rPr>
          <w:rFonts w:hint="eastAsia" w:ascii="微软雅黑" w:hAnsi="微软雅黑" w:eastAsia="微软雅黑" w:cs="微软雅黑"/>
          <w:bCs/>
          <w:color w:val="auto"/>
          <w:sz w:val="24"/>
          <w:szCs w:val="24"/>
          <w:lang w:val="en-US"/>
        </w:rPr>
        <w:t>2000元/次</w:t>
      </w:r>
      <w:r>
        <w:rPr>
          <w:rFonts w:hint="eastAsia" w:ascii="微软雅黑" w:hAnsi="微软雅黑" w:eastAsia="微软雅黑" w:cs="微软雅黑"/>
          <w:bCs/>
          <w:color w:val="auto"/>
          <w:sz w:val="24"/>
          <w:szCs w:val="24"/>
          <w:lang w:val="en-US" w:eastAsia="zh-CN"/>
        </w:rPr>
        <w:t>向采购人支付违约金。</w:t>
      </w:r>
      <w:r>
        <w:rPr>
          <w:rFonts w:hint="eastAsia" w:ascii="微软雅黑" w:hAnsi="微软雅黑" w:eastAsia="微软雅黑" w:cs="微软雅黑"/>
          <w:bCs/>
          <w:color w:val="auto"/>
          <w:sz w:val="24"/>
          <w:szCs w:val="24"/>
          <w:lang w:val="en-US"/>
        </w:rPr>
        <w:t>到场清掏时间必须在2小时内。</w:t>
      </w:r>
    </w:p>
    <w:p>
      <w:pPr>
        <w:snapToGrid w:val="0"/>
        <w:spacing w:line="400" w:lineRule="exact"/>
        <w:ind w:firstLine="480" w:firstLineChars="200"/>
        <w:rPr>
          <w:rFonts w:hint="eastAsia" w:ascii="微软雅黑" w:hAnsi="微软雅黑" w:eastAsia="微软雅黑" w:cs="微软雅黑"/>
          <w:bCs/>
          <w:color w:val="auto"/>
          <w:sz w:val="24"/>
          <w:szCs w:val="24"/>
          <w:lang w:val="en-US"/>
        </w:rPr>
      </w:pPr>
      <w:r>
        <w:rPr>
          <w:rFonts w:hint="eastAsia" w:ascii="微软雅黑" w:hAnsi="微软雅黑" w:eastAsia="微软雅黑" w:cs="微软雅黑"/>
          <w:bCs/>
          <w:color w:val="auto"/>
          <w:sz w:val="24"/>
          <w:szCs w:val="24"/>
          <w:lang w:val="en-US"/>
        </w:rPr>
        <w:t>2</w:t>
      </w:r>
      <w:r>
        <w:rPr>
          <w:rFonts w:hint="eastAsia" w:ascii="微软雅黑" w:hAnsi="微软雅黑" w:eastAsia="微软雅黑" w:cs="微软雅黑"/>
          <w:bCs/>
          <w:color w:val="auto"/>
          <w:sz w:val="24"/>
          <w:szCs w:val="24"/>
          <w:lang w:val="en-US" w:eastAsia="zh-CN"/>
        </w:rPr>
        <w:t>.</w:t>
      </w:r>
      <w:r>
        <w:rPr>
          <w:rFonts w:hint="eastAsia" w:ascii="微软雅黑" w:hAnsi="微软雅黑" w:eastAsia="微软雅黑" w:cs="微软雅黑"/>
          <w:bCs/>
          <w:color w:val="auto"/>
          <w:sz w:val="24"/>
          <w:szCs w:val="24"/>
          <w:lang w:val="en-US"/>
        </w:rPr>
        <w:t>保障</w:t>
      </w:r>
      <w:r>
        <w:rPr>
          <w:rFonts w:hint="eastAsia" w:ascii="微软雅黑" w:hAnsi="微软雅黑" w:eastAsia="微软雅黑" w:cs="微软雅黑"/>
          <w:bCs/>
          <w:color w:val="auto"/>
          <w:sz w:val="24"/>
          <w:szCs w:val="24"/>
          <w:lang w:val="en-US" w:eastAsia="zh-CN"/>
        </w:rPr>
        <w:t>两个院区所有的</w:t>
      </w:r>
      <w:r>
        <w:rPr>
          <w:rFonts w:hint="eastAsia" w:ascii="微软雅黑" w:hAnsi="微软雅黑" w:eastAsia="微软雅黑" w:cs="微软雅黑"/>
          <w:bCs/>
          <w:color w:val="auto"/>
          <w:sz w:val="24"/>
          <w:szCs w:val="24"/>
          <w:lang w:val="en-US"/>
        </w:rPr>
        <w:t>污水管网维护清理，</w:t>
      </w:r>
      <w:r>
        <w:rPr>
          <w:rFonts w:hint="eastAsia" w:ascii="微软雅黑" w:hAnsi="微软雅黑" w:eastAsia="微软雅黑" w:cs="微软雅黑"/>
          <w:bCs/>
          <w:color w:val="auto"/>
          <w:sz w:val="24"/>
          <w:szCs w:val="24"/>
          <w:lang w:val="en-US" w:eastAsia="zh-CN"/>
        </w:rPr>
        <w:t>保证</w:t>
      </w:r>
      <w:r>
        <w:rPr>
          <w:rFonts w:hint="eastAsia" w:ascii="微软雅黑" w:hAnsi="微软雅黑" w:eastAsia="微软雅黑" w:cs="微软雅黑"/>
          <w:bCs/>
          <w:color w:val="auto"/>
          <w:sz w:val="24"/>
          <w:szCs w:val="24"/>
          <w:lang w:val="en-US"/>
        </w:rPr>
        <w:t>合同期内管网畅通无堵塞。</w:t>
      </w:r>
    </w:p>
    <w:p>
      <w:pPr>
        <w:snapToGrid w:val="0"/>
        <w:spacing w:line="400" w:lineRule="exact"/>
        <w:ind w:firstLine="480" w:firstLineChars="200"/>
        <w:rPr>
          <w:rFonts w:hint="eastAsia" w:ascii="微软雅黑" w:hAnsi="微软雅黑" w:eastAsia="微软雅黑" w:cs="微软雅黑"/>
          <w:bCs/>
          <w:color w:val="auto"/>
          <w:sz w:val="24"/>
          <w:szCs w:val="24"/>
          <w:lang w:val="en-US"/>
        </w:rPr>
      </w:pPr>
      <w:r>
        <w:rPr>
          <w:rFonts w:hint="eastAsia" w:ascii="微软雅黑" w:hAnsi="微软雅黑" w:eastAsia="微软雅黑" w:cs="微软雅黑"/>
          <w:bCs/>
          <w:color w:val="auto"/>
          <w:sz w:val="24"/>
          <w:szCs w:val="24"/>
          <w:lang w:val="en-US"/>
        </w:rPr>
        <w:t>3</w:t>
      </w:r>
      <w:r>
        <w:rPr>
          <w:rFonts w:hint="eastAsia" w:ascii="微软雅黑" w:hAnsi="微软雅黑" w:eastAsia="微软雅黑" w:cs="微软雅黑"/>
          <w:bCs/>
          <w:color w:val="auto"/>
          <w:sz w:val="24"/>
          <w:szCs w:val="24"/>
          <w:lang w:val="en-US" w:eastAsia="zh-CN"/>
        </w:rPr>
        <w:t>.</w:t>
      </w:r>
      <w:r>
        <w:rPr>
          <w:rFonts w:hint="eastAsia" w:ascii="微软雅黑" w:hAnsi="微软雅黑" w:eastAsia="微软雅黑" w:cs="微软雅黑"/>
          <w:bCs/>
          <w:color w:val="auto"/>
          <w:sz w:val="24"/>
          <w:szCs w:val="24"/>
          <w:lang w:val="en-US"/>
        </w:rPr>
        <w:t>实施清掏作业</w:t>
      </w:r>
      <w:r>
        <w:rPr>
          <w:rFonts w:hint="eastAsia" w:ascii="微软雅黑" w:hAnsi="微软雅黑" w:eastAsia="微软雅黑" w:cs="微软雅黑"/>
          <w:bCs/>
          <w:color w:val="auto"/>
          <w:sz w:val="24"/>
          <w:szCs w:val="24"/>
          <w:lang w:val="en-US" w:eastAsia="zh-CN"/>
        </w:rPr>
        <w:t>必须采用</w:t>
      </w:r>
      <w:r>
        <w:rPr>
          <w:rFonts w:hint="eastAsia" w:ascii="微软雅黑" w:hAnsi="微软雅黑" w:eastAsia="微软雅黑" w:cs="微软雅黑"/>
          <w:bCs/>
          <w:color w:val="auto"/>
          <w:sz w:val="24"/>
          <w:szCs w:val="24"/>
          <w:lang w:val="en-US"/>
        </w:rPr>
        <w:t>机械设备清掏，不</w:t>
      </w:r>
      <w:r>
        <w:rPr>
          <w:rFonts w:hint="eastAsia" w:ascii="微软雅黑" w:hAnsi="微软雅黑" w:eastAsia="微软雅黑" w:cs="微软雅黑"/>
          <w:bCs/>
          <w:color w:val="auto"/>
          <w:sz w:val="24"/>
          <w:szCs w:val="24"/>
          <w:lang w:val="en-US" w:eastAsia="zh-CN"/>
        </w:rPr>
        <w:t>允许</w:t>
      </w:r>
      <w:r>
        <w:rPr>
          <w:rFonts w:hint="eastAsia" w:ascii="微软雅黑" w:hAnsi="微软雅黑" w:eastAsia="微软雅黑" w:cs="微软雅黑"/>
          <w:bCs/>
          <w:color w:val="auto"/>
          <w:sz w:val="24"/>
          <w:szCs w:val="24"/>
          <w:lang w:val="en-US"/>
        </w:rPr>
        <w:t>人工清掏。</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rPr>
        <w:t>4</w:t>
      </w:r>
      <w:r>
        <w:rPr>
          <w:rFonts w:hint="eastAsia" w:ascii="微软雅黑" w:hAnsi="微软雅黑" w:eastAsia="微软雅黑" w:cs="微软雅黑"/>
          <w:bCs/>
          <w:color w:val="auto"/>
          <w:sz w:val="24"/>
          <w:szCs w:val="24"/>
          <w:lang w:val="en-US" w:eastAsia="zh-CN"/>
        </w:rPr>
        <w:t>.</w:t>
      </w:r>
      <w:r>
        <w:rPr>
          <w:rFonts w:hint="eastAsia" w:ascii="微软雅黑" w:hAnsi="微软雅黑" w:eastAsia="微软雅黑" w:cs="微软雅黑"/>
          <w:bCs/>
          <w:color w:val="auto"/>
          <w:sz w:val="24"/>
          <w:szCs w:val="24"/>
          <w:lang w:val="en-US"/>
        </w:rPr>
        <w:t>工期要求：每次清掏时间不超过</w:t>
      </w:r>
      <w:r>
        <w:rPr>
          <w:rFonts w:hint="eastAsia" w:ascii="微软雅黑" w:hAnsi="微软雅黑" w:eastAsia="微软雅黑" w:cs="微软雅黑"/>
          <w:bCs/>
          <w:color w:val="auto"/>
          <w:sz w:val="24"/>
          <w:szCs w:val="24"/>
          <w:lang w:val="en-US" w:eastAsia="zh-CN"/>
        </w:rPr>
        <w:t>2个工作日。</w:t>
      </w:r>
    </w:p>
    <w:p>
      <w:pPr>
        <w:snapToGrid w:val="0"/>
        <w:spacing w:line="400" w:lineRule="exact"/>
        <w:ind w:firstLine="480" w:firstLineChars="200"/>
        <w:rPr>
          <w:rFonts w:hint="eastAsia" w:ascii="微软雅黑" w:hAnsi="微软雅黑" w:eastAsia="微软雅黑" w:cs="微软雅黑"/>
          <w:bCs/>
          <w:color w:val="auto"/>
          <w:sz w:val="24"/>
          <w:szCs w:val="24"/>
          <w:lang w:val="en-US"/>
        </w:rPr>
      </w:pPr>
      <w:r>
        <w:rPr>
          <w:rFonts w:hint="eastAsia" w:ascii="微软雅黑" w:hAnsi="微软雅黑" w:eastAsia="微软雅黑" w:cs="微软雅黑"/>
          <w:bCs/>
          <w:color w:val="auto"/>
          <w:sz w:val="24"/>
          <w:szCs w:val="24"/>
          <w:lang w:val="en-US"/>
        </w:rPr>
        <w:t>5</w:t>
      </w:r>
      <w:r>
        <w:rPr>
          <w:rFonts w:hint="eastAsia" w:ascii="微软雅黑" w:hAnsi="微软雅黑" w:eastAsia="微软雅黑" w:cs="微软雅黑"/>
          <w:bCs/>
          <w:color w:val="auto"/>
          <w:sz w:val="24"/>
          <w:szCs w:val="24"/>
          <w:lang w:val="en-US" w:eastAsia="zh-CN"/>
        </w:rPr>
        <w:t>.</w:t>
      </w:r>
      <w:r>
        <w:rPr>
          <w:rFonts w:hint="eastAsia" w:ascii="微软雅黑" w:hAnsi="微软雅黑" w:eastAsia="微软雅黑" w:cs="微软雅黑"/>
          <w:bCs/>
          <w:color w:val="auto"/>
          <w:sz w:val="24"/>
          <w:szCs w:val="24"/>
          <w:lang w:val="en-US"/>
        </w:rPr>
        <w:t>要求</w:t>
      </w:r>
      <w:r>
        <w:rPr>
          <w:rFonts w:hint="eastAsia" w:ascii="微软雅黑" w:hAnsi="微软雅黑" w:eastAsia="微软雅黑" w:cs="微软雅黑"/>
          <w:bCs/>
          <w:color w:val="auto"/>
          <w:sz w:val="24"/>
          <w:szCs w:val="24"/>
          <w:lang w:val="en-US" w:eastAsia="zh-CN"/>
        </w:rPr>
        <w:t>投标人</w:t>
      </w:r>
      <w:r>
        <w:rPr>
          <w:rFonts w:hint="eastAsia" w:ascii="微软雅黑" w:hAnsi="微软雅黑" w:eastAsia="微软雅黑" w:cs="微软雅黑"/>
          <w:bCs/>
          <w:color w:val="auto"/>
          <w:sz w:val="24"/>
          <w:szCs w:val="24"/>
          <w:lang w:val="en-US"/>
        </w:rPr>
        <w:t>将清掏出</w:t>
      </w:r>
      <w:r>
        <w:rPr>
          <w:rFonts w:hint="eastAsia" w:ascii="微软雅黑" w:hAnsi="微软雅黑" w:eastAsia="微软雅黑" w:cs="微软雅黑"/>
          <w:bCs/>
          <w:color w:val="auto"/>
          <w:sz w:val="24"/>
          <w:szCs w:val="24"/>
          <w:lang w:val="en-US" w:eastAsia="zh-CN"/>
        </w:rPr>
        <w:t>的</w:t>
      </w:r>
      <w:r>
        <w:rPr>
          <w:rFonts w:hint="eastAsia" w:ascii="微软雅黑" w:hAnsi="微软雅黑" w:eastAsia="微软雅黑" w:cs="微软雅黑"/>
          <w:bCs/>
          <w:color w:val="auto"/>
          <w:sz w:val="24"/>
          <w:szCs w:val="24"/>
          <w:lang w:val="en-US"/>
        </w:rPr>
        <w:t>污物必须按照环保要求进行处理，并在投标方案中书面</w:t>
      </w:r>
      <w:r>
        <w:rPr>
          <w:rFonts w:hint="eastAsia" w:ascii="微软雅黑" w:hAnsi="微软雅黑" w:eastAsia="微软雅黑" w:cs="微软雅黑"/>
          <w:bCs/>
          <w:color w:val="auto"/>
          <w:sz w:val="24"/>
          <w:szCs w:val="24"/>
          <w:lang w:val="en-US" w:eastAsia="zh-CN"/>
        </w:rPr>
        <w:t>明确</w:t>
      </w:r>
      <w:r>
        <w:rPr>
          <w:rFonts w:hint="eastAsia" w:ascii="微软雅黑" w:hAnsi="微软雅黑" w:eastAsia="微软雅黑" w:cs="微软雅黑"/>
          <w:bCs/>
          <w:color w:val="auto"/>
          <w:sz w:val="24"/>
          <w:szCs w:val="24"/>
          <w:lang w:val="en-US"/>
        </w:rPr>
        <w:t>说明清掏出</w:t>
      </w:r>
      <w:r>
        <w:rPr>
          <w:rFonts w:hint="eastAsia" w:ascii="微软雅黑" w:hAnsi="微软雅黑" w:eastAsia="微软雅黑" w:cs="微软雅黑"/>
          <w:bCs/>
          <w:color w:val="auto"/>
          <w:sz w:val="24"/>
          <w:szCs w:val="24"/>
          <w:lang w:val="en-US" w:eastAsia="zh-CN"/>
        </w:rPr>
        <w:t>的</w:t>
      </w:r>
      <w:r>
        <w:rPr>
          <w:rFonts w:hint="eastAsia" w:ascii="微软雅黑" w:hAnsi="微软雅黑" w:eastAsia="微软雅黑" w:cs="微软雅黑"/>
          <w:bCs/>
          <w:color w:val="auto"/>
          <w:sz w:val="24"/>
          <w:szCs w:val="24"/>
          <w:lang w:val="en-US"/>
        </w:rPr>
        <w:t>污物处理流程</w:t>
      </w:r>
      <w:r>
        <w:rPr>
          <w:rFonts w:hint="eastAsia" w:ascii="微软雅黑" w:hAnsi="微软雅黑" w:eastAsia="微软雅黑" w:cs="微软雅黑"/>
          <w:bCs/>
          <w:color w:val="auto"/>
          <w:sz w:val="24"/>
          <w:szCs w:val="24"/>
          <w:lang w:val="en-US" w:eastAsia="zh-CN"/>
        </w:rPr>
        <w:t>。污水站活性炭、及机房废油、废油桶作为危废处理，每季度危废转运后</w:t>
      </w:r>
      <w:r>
        <w:rPr>
          <w:rFonts w:hint="eastAsia" w:ascii="微软雅黑" w:hAnsi="微软雅黑" w:eastAsia="微软雅黑" w:cs="微软雅黑"/>
          <w:bCs/>
          <w:color w:val="auto"/>
          <w:sz w:val="24"/>
          <w:szCs w:val="24"/>
          <w:lang w:val="en-US"/>
        </w:rPr>
        <w:t>向</w:t>
      </w:r>
      <w:r>
        <w:rPr>
          <w:rFonts w:hint="eastAsia" w:ascii="微软雅黑" w:hAnsi="微软雅黑" w:eastAsia="微软雅黑" w:cs="微软雅黑"/>
          <w:bCs/>
          <w:color w:val="auto"/>
          <w:sz w:val="24"/>
          <w:szCs w:val="24"/>
          <w:lang w:val="en-US" w:eastAsia="zh-CN"/>
        </w:rPr>
        <w:t>我院</w:t>
      </w:r>
      <w:r>
        <w:rPr>
          <w:rFonts w:hint="eastAsia" w:ascii="微软雅黑" w:hAnsi="微软雅黑" w:eastAsia="微软雅黑" w:cs="微软雅黑"/>
          <w:bCs/>
          <w:color w:val="auto"/>
          <w:sz w:val="24"/>
          <w:szCs w:val="24"/>
          <w:lang w:val="en-US"/>
        </w:rPr>
        <w:t>提供重庆市危险废物转移联单</w:t>
      </w:r>
      <w:r>
        <w:rPr>
          <w:rFonts w:hint="eastAsia" w:ascii="微软雅黑" w:hAnsi="微软雅黑" w:eastAsia="微软雅黑" w:cs="微软雅黑"/>
          <w:bCs/>
          <w:color w:val="auto"/>
          <w:sz w:val="24"/>
          <w:szCs w:val="24"/>
          <w:lang w:val="en-US" w:eastAsia="zh-CN"/>
        </w:rPr>
        <w:t>（</w:t>
      </w:r>
      <w:r>
        <w:rPr>
          <w:rFonts w:hint="eastAsia" w:ascii="微软雅黑" w:hAnsi="微软雅黑" w:eastAsia="微软雅黑" w:cs="微软雅黑"/>
          <w:bCs/>
          <w:color w:val="auto"/>
          <w:sz w:val="24"/>
          <w:szCs w:val="24"/>
          <w:lang w:val="en-US"/>
        </w:rPr>
        <w:t>转移联单</w:t>
      </w:r>
      <w:r>
        <w:rPr>
          <w:rFonts w:hint="eastAsia" w:ascii="微软雅黑" w:hAnsi="微软雅黑" w:eastAsia="微软雅黑" w:cs="微软雅黑"/>
          <w:bCs/>
          <w:color w:val="auto"/>
          <w:sz w:val="24"/>
          <w:szCs w:val="24"/>
          <w:lang w:val="en-US" w:eastAsia="zh-CN"/>
        </w:rPr>
        <w:t>两个院区分）</w:t>
      </w:r>
      <w:r>
        <w:rPr>
          <w:rFonts w:hint="eastAsia" w:ascii="微软雅黑" w:hAnsi="微软雅黑" w:eastAsia="微软雅黑" w:cs="微软雅黑"/>
          <w:bCs/>
          <w:color w:val="auto"/>
          <w:sz w:val="24"/>
          <w:szCs w:val="24"/>
          <w:lang w:val="en-US"/>
        </w:rPr>
        <w:t>，清掏出的污物必须当日清运，不得</w:t>
      </w:r>
      <w:r>
        <w:rPr>
          <w:rFonts w:hint="eastAsia" w:ascii="微软雅黑" w:hAnsi="微软雅黑" w:eastAsia="微软雅黑" w:cs="微软雅黑"/>
          <w:bCs/>
          <w:color w:val="auto"/>
          <w:sz w:val="24"/>
          <w:szCs w:val="24"/>
          <w:lang w:val="en-US" w:eastAsia="zh-CN"/>
        </w:rPr>
        <w:t>滞留</w:t>
      </w:r>
      <w:r>
        <w:rPr>
          <w:rFonts w:hint="eastAsia" w:ascii="微软雅黑" w:hAnsi="微软雅黑" w:eastAsia="微软雅黑" w:cs="微软雅黑"/>
          <w:bCs/>
          <w:color w:val="auto"/>
          <w:sz w:val="24"/>
          <w:szCs w:val="24"/>
          <w:lang w:val="en-US"/>
        </w:rPr>
        <w:t>，否则</w:t>
      </w:r>
      <w:r>
        <w:rPr>
          <w:rFonts w:hint="eastAsia" w:ascii="微软雅黑" w:hAnsi="微软雅黑" w:eastAsia="微软雅黑" w:cs="微软雅黑"/>
          <w:bCs/>
          <w:color w:val="auto"/>
          <w:sz w:val="24"/>
          <w:szCs w:val="24"/>
          <w:lang w:val="en-US" w:eastAsia="zh-CN"/>
        </w:rPr>
        <w:t>投标人按照</w:t>
      </w:r>
      <w:r>
        <w:rPr>
          <w:rFonts w:hint="eastAsia" w:ascii="微软雅黑" w:hAnsi="微软雅黑" w:eastAsia="微软雅黑" w:cs="微软雅黑"/>
          <w:bCs/>
          <w:color w:val="auto"/>
          <w:sz w:val="24"/>
          <w:szCs w:val="24"/>
          <w:lang w:val="en-US"/>
        </w:rPr>
        <w:t>2000元/次</w:t>
      </w:r>
      <w:r>
        <w:rPr>
          <w:rFonts w:hint="eastAsia" w:ascii="微软雅黑" w:hAnsi="微软雅黑" w:eastAsia="微软雅黑" w:cs="微软雅黑"/>
          <w:bCs/>
          <w:color w:val="auto"/>
          <w:sz w:val="24"/>
          <w:szCs w:val="24"/>
          <w:lang w:val="en-US" w:eastAsia="zh-CN"/>
        </w:rPr>
        <w:t>向采购人支付违约金</w:t>
      </w:r>
      <w:r>
        <w:rPr>
          <w:rFonts w:hint="eastAsia" w:ascii="微软雅黑" w:hAnsi="微软雅黑" w:eastAsia="微软雅黑" w:cs="微软雅黑"/>
          <w:bCs/>
          <w:color w:val="auto"/>
          <w:sz w:val="24"/>
          <w:szCs w:val="24"/>
          <w:lang w:val="en-US"/>
        </w:rPr>
        <w:t>。</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5.投标人须按照</w:t>
      </w:r>
      <w:r>
        <w:rPr>
          <w:rFonts w:hint="eastAsia" w:ascii="微软雅黑" w:hAnsi="微软雅黑" w:eastAsia="微软雅黑" w:cs="微软雅黑"/>
          <w:bCs/>
          <w:color w:val="auto"/>
          <w:sz w:val="24"/>
          <w:szCs w:val="24"/>
          <w:lang w:eastAsia="zh-CN"/>
        </w:rPr>
        <w:t>《中华人民共和国固体废物污染环境防治法》、《固废法》、《危险废物转移管理办法》</w:t>
      </w:r>
      <w:r>
        <w:rPr>
          <w:rFonts w:hint="eastAsia" w:ascii="微软雅黑" w:hAnsi="微软雅黑" w:eastAsia="微软雅黑" w:cs="微软雅黑"/>
          <w:bCs/>
          <w:color w:val="auto"/>
          <w:sz w:val="24"/>
          <w:szCs w:val="24"/>
          <w:lang w:val="en-US" w:eastAsia="zh-CN"/>
        </w:rPr>
        <w:t>等相关法律及规范要求完成采购人渝中院区与两江院区所产生危险废物合法合规的转移与处置，具体要求如下：</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5.1投标人在投标方案中书面明确说明清掏出的污物与其他危废处理流程，必须当日清运，不得滞留。</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5.2投标人负责渝中院区与两江院区内化粪池、污水管网等清掏出的淤泥、垃圾，各净化除臭设备产生的废活性炭，各机房设备产生的废机油、废油桶（含油漆桶），废紫外线灯等危险废物转移与处置。</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5.3采购人产生的危险废物原则上每季度转运与处置一次，特殊情况下若采购人提出需求后投标人应立即响应处置，完成后投标人提供重庆市危险废物转移联单（转移联单须按两个院区分开提供，采购人提供渝中与两江院区分别的固废处置系统账号密码，由中标人负责在系统上如实填报，但不得随意变更账号密码与虚假填报）。</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5.4投标人需确保危废许可范围满足采购人产生危废种类、许可期限大于合同服务期限，废物危废交接（含记录）、包装方式、转运方式符合相应的法律法规；</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5.5投标人需如实填写危险废物转移联单，严禁先转移危险废物后运行联单、严禁将不同类别危险废物混合转移，执行同一代码。</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5.6投标人按照各类危险废物的类别代码合规合法处置，并提供有效的危险废物转运联单，同时危险废物经营许可证具有该代码，具体代码如下：</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废水污泥（HW49 772-006-49）与（841-001-01）需同时具备，根据各院区排污许可证上对应代码执行处置；</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废活性炭（HW49 900-041-49）与（HW49 900-039-49）需同时具备，根据排污许可证上对应代码执行处置；</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废油漆桶(900-041-49)；</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废机油（900-249-08）；</w:t>
      </w:r>
    </w:p>
    <w:p>
      <w:pPr>
        <w:snapToGrid w:val="0"/>
        <w:spacing w:line="400" w:lineRule="exact"/>
        <w:ind w:firstLine="480" w:firstLineChars="200"/>
        <w:rPr>
          <w:rFonts w:hint="default"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废紫外线灯光（900-023-29）；</w:t>
      </w:r>
    </w:p>
    <w:p>
      <w:pPr>
        <w:snapToGrid w:val="0"/>
        <w:spacing w:line="400" w:lineRule="exact"/>
        <w:ind w:firstLine="480" w:firstLineChars="200"/>
        <w:rPr>
          <w:rFonts w:hint="eastAsia" w:ascii="微软雅黑" w:hAnsi="微软雅黑" w:eastAsia="微软雅黑" w:cs="微软雅黑"/>
          <w:bCs/>
          <w:color w:val="auto"/>
          <w:sz w:val="24"/>
          <w:szCs w:val="24"/>
          <w:lang w:val="en-US" w:eastAsia="zh-CN"/>
        </w:rPr>
      </w:pPr>
      <w:r>
        <w:rPr>
          <w:rFonts w:hint="eastAsia" w:ascii="微软雅黑" w:hAnsi="微软雅黑" w:eastAsia="微软雅黑" w:cs="微软雅黑"/>
          <w:bCs/>
          <w:color w:val="auto"/>
          <w:sz w:val="24"/>
          <w:szCs w:val="24"/>
          <w:lang w:val="en-US" w:eastAsia="zh-CN"/>
        </w:rPr>
        <w:t>5.7投标人需在重庆市生态环境局合法备案。</w:t>
      </w:r>
      <w:bookmarkStart w:id="209" w:name="_GoBack"/>
      <w:bookmarkEnd w:id="209"/>
    </w:p>
    <w:p>
      <w:pPr>
        <w:tabs>
          <w:tab w:val="left" w:pos="1440"/>
          <w:tab w:val="left" w:pos="3240"/>
        </w:tabs>
        <w:ind w:right="512" w:rightChars="183" w:firstLine="840" w:firstLineChars="350"/>
        <w:rPr>
          <w:rFonts w:hint="eastAsia" w:ascii="微软雅黑" w:hAnsi="微软雅黑" w:eastAsia="微软雅黑" w:cs="微软雅黑"/>
          <w:color w:val="auto"/>
          <w:sz w:val="24"/>
          <w:szCs w:val="24"/>
        </w:rPr>
      </w:pPr>
      <w:bookmarkStart w:id="89" w:name="_Toc12667"/>
    </w:p>
    <w:p>
      <w:pPr>
        <w:tabs>
          <w:tab w:val="left" w:pos="1440"/>
          <w:tab w:val="left" w:pos="3240"/>
        </w:tabs>
        <w:ind w:right="512" w:rightChars="183"/>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附表-项目内容清单</w:t>
      </w:r>
    </w:p>
    <w:tbl>
      <w:tblPr>
        <w:tblStyle w:val="57"/>
        <w:tblW w:w="8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9"/>
        <w:gridCol w:w="1701"/>
        <w:gridCol w:w="2945"/>
        <w:gridCol w:w="2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地点</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容积</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维护清理项目</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次数/年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一层车库</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vertAlign w:val="superscript"/>
              </w:rPr>
            </w:pPr>
            <w:r>
              <w:rPr>
                <w:rFonts w:hint="eastAsia" w:ascii="微软雅黑" w:hAnsi="微软雅黑" w:eastAsia="微软雅黑" w:cs="微软雅黑"/>
                <w:color w:val="auto"/>
                <w:sz w:val="24"/>
                <w:szCs w:val="24"/>
              </w:rPr>
              <w:t>228m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174" w:rightChars="-62"/>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4单元后</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99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174" w:rightChars="-62"/>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3单元</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48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28单元</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53m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18单元</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65.6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19单元</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65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综合楼餐厅</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前一楼</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55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沉油池及管网疏通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污水站</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2200m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化粪池、污泥池、曝气池维护清理</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rPr>
              <w:t>每周外运一次污物</w:t>
            </w:r>
            <w:r>
              <w:rPr>
                <w:rFonts w:hint="eastAsia" w:ascii="微软雅黑" w:hAnsi="微软雅黑" w:eastAsia="微软雅黑" w:cs="微软雅黑"/>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14单元</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46.59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天使餐厅</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139.84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沉油池及管网疏通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学生公寓</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173.53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教授楼</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50.4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120车库</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153.6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保健科楼下</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91.14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特需病房</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125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5单元</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355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综合楼</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420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22单元</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361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光彩</w:t>
            </w:r>
            <w:r>
              <w:rPr>
                <w:rFonts w:hint="eastAsia" w:ascii="微软雅黑" w:hAnsi="微软雅黑" w:eastAsia="微软雅黑" w:cs="微软雅黑"/>
                <w:color w:val="auto"/>
                <w:sz w:val="24"/>
                <w:szCs w:val="24"/>
                <w:lang w:val="en-US" w:eastAsia="zh-CN"/>
              </w:rPr>
              <w:t>大厦</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12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污水箱清理</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两江院区</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2962</w:t>
            </w:r>
            <w:r>
              <w:rPr>
                <w:rFonts w:hint="eastAsia" w:ascii="微软雅黑" w:hAnsi="微软雅黑" w:eastAsia="微软雅黑" w:cs="微软雅黑"/>
                <w:color w:val="auto"/>
                <w:sz w:val="24"/>
                <w:szCs w:val="24"/>
              </w:rPr>
              <w:t xml:space="preserve"> m</w:t>
            </w:r>
            <w:r>
              <w:rPr>
                <w:rFonts w:hint="eastAsia" w:ascii="微软雅黑" w:hAnsi="微软雅黑" w:eastAsia="微软雅黑" w:cs="微软雅黑"/>
                <w:color w:val="auto"/>
                <w:sz w:val="24"/>
                <w:szCs w:val="24"/>
                <w:vertAlign w:val="superscript"/>
              </w:rPr>
              <w:t>3</w:t>
            </w:r>
          </w:p>
        </w:tc>
        <w:tc>
          <w:tcPr>
            <w:tcW w:w="294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化粪池及管网疏通</w:t>
            </w:r>
          </w:p>
        </w:tc>
        <w:tc>
          <w:tcPr>
            <w:tcW w:w="25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p>
        </w:tc>
      </w:tr>
    </w:tbl>
    <w:p>
      <w:pPr>
        <w:rPr>
          <w:rFonts w:hint="eastAsia" w:ascii="方正仿宋_GBK" w:hAnsi="Times New Roman" w:eastAsia="方正仿宋_GBK" w:cs="Times New Roman"/>
          <w:b/>
          <w:sz w:val="44"/>
          <w:szCs w:val="20"/>
        </w:rPr>
      </w:pPr>
    </w:p>
    <w:p>
      <w:pP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br w:type="page"/>
      </w:r>
    </w:p>
    <w:p>
      <w:pPr>
        <w:pStyle w:val="4"/>
        <w:spacing w:before="200" w:after="200" w:line="240" w:lineRule="auto"/>
        <w:jc w:val="cente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77"/>
      <w:bookmarkEnd w:id="78"/>
      <w:bookmarkEnd w:id="79"/>
      <w:bookmarkEnd w:id="89"/>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服务期限、服务地点及验收方式</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服务期限：自合同签订之日起1年</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服务地点：重庆医科大学附属儿童医院两江院区、渝中院区</w:t>
            </w:r>
          </w:p>
          <w:p>
            <w:pPr>
              <w:pStyle w:val="14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s="Times New Roman"/>
                <w:b w:val="0"/>
                <w:bCs w:val="0"/>
                <w:color w:val="auto"/>
                <w:kern w:val="2"/>
                <w:sz w:val="24"/>
                <w:szCs w:val="24"/>
                <w:lang w:val="en-US" w:eastAsia="zh-CN" w:bidi="ar-SA"/>
              </w:rPr>
              <w:t>验收方式：职能部门根据合同约定内容进行验收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2"/>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w:t>
            </w:r>
            <w:r>
              <w:rPr>
                <w:rFonts w:hint="eastAsia" w:ascii="方正仿宋_GBK" w:hAnsi="宋体" w:eastAsia="方正仿宋_GBK"/>
                <w:sz w:val="24"/>
                <w:szCs w:val="24"/>
                <w:lang w:eastAsia="zh-CN"/>
              </w:rPr>
              <w:t>价，</w:t>
            </w:r>
            <w:r>
              <w:rPr>
                <w:rFonts w:hint="eastAsia" w:ascii="方正仿宋_GBK" w:hAnsi="宋体" w:eastAsia="方正仿宋_GBK"/>
                <w:sz w:val="24"/>
                <w:szCs w:val="24"/>
                <w:lang w:val="en-US" w:eastAsia="zh-CN"/>
              </w:rPr>
              <w:t>包含并不限于</w:t>
            </w:r>
            <w:r>
              <w:rPr>
                <w:rFonts w:hint="eastAsia" w:ascii="微软雅黑" w:hAnsi="微软雅黑" w:eastAsia="微软雅黑" w:cs="微软雅黑"/>
                <w:bCs/>
                <w:color w:val="auto"/>
                <w:sz w:val="24"/>
                <w:szCs w:val="24"/>
                <w:lang w:val="en-US" w:eastAsia="zh-CN"/>
              </w:rPr>
              <w:t>化粪池清掏、检查以及应急处理产生的人工费、消毒费、工具费、粪便外运处置费、税费</w:t>
            </w:r>
            <w:r>
              <w:rPr>
                <w:rFonts w:hint="eastAsia" w:ascii="方正仿宋_GBK" w:hAnsi="宋体" w:eastAsia="方正仿宋_GBK"/>
                <w:sz w:val="24"/>
                <w:szCs w:val="24"/>
                <w:lang w:val="en-US" w:eastAsia="zh-CN"/>
              </w:rPr>
              <w:t>等所有保障该项目完成的所有费用</w:t>
            </w:r>
            <w:r>
              <w:rPr>
                <w:rFonts w:hint="eastAsia" w:ascii="方正仿宋_GBK" w:hAnsi="宋体" w:eastAsia="方正仿宋_GBK"/>
                <w:sz w:val="24"/>
                <w:szCs w:val="24"/>
                <w:lang w:eastAsia="zh-CN"/>
              </w:rPr>
              <w:t>。因成交供应商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每季度结算一次，每季度服务期结束后，成交供应商向采购人开具合同金额25%的发票，采购人收到发票后1个月内支付。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2"/>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7" w:hRule="atLeast"/>
        </w:trPr>
        <w:tc>
          <w:tcPr>
            <w:tcW w:w="722" w:type="pct"/>
            <w:vAlign w:val="center"/>
          </w:tcPr>
          <w:p>
            <w:pPr>
              <w:pStyle w:val="142"/>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2"/>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7"/>
        <w:rPr>
          <w:rFonts w:hint="eastAsia"/>
        </w:rPr>
      </w:pPr>
    </w:p>
    <w:p>
      <w:pPr>
        <w:rPr>
          <w:rFonts w:hint="eastAsia" w:ascii="方正仿宋_GBK" w:hAnsi="Times New Roman" w:eastAsia="方正仿宋_GBK" w:cs="Times New Roman"/>
          <w:b/>
          <w:sz w:val="44"/>
          <w:szCs w:val="20"/>
        </w:rPr>
      </w:pPr>
      <w:bookmarkStart w:id="90" w:name="_Toc76462332"/>
      <w:bookmarkStart w:id="91" w:name="_Toc6692"/>
      <w:bookmarkStart w:id="92" w:name="_Toc106030887"/>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93" w:name="_Toc1249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90"/>
      <w:bookmarkEnd w:id="91"/>
      <w:bookmarkEnd w:id="92"/>
      <w:bookmarkEnd w:id="9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4" w:name="_Toc106030888"/>
      <w:bookmarkStart w:id="95" w:name="_Toc5379"/>
      <w:bookmarkStart w:id="96" w:name="_Toc14958"/>
      <w:bookmarkStart w:id="97" w:name="_Toc76462333"/>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94"/>
      <w:bookmarkEnd w:id="95"/>
      <w:bookmarkEnd w:id="96"/>
      <w:bookmarkEnd w:id="9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8" w:name="_Toc3023"/>
      <w:r>
        <w:rPr>
          <w:rFonts w:hint="eastAsia" w:ascii="方正仿宋_GBK" w:hAnsi="宋体" w:eastAsia="方正仿宋_GBK"/>
          <w:sz w:val="24"/>
          <w:lang w:val="en-US" w:eastAsia="zh-CN"/>
        </w:rPr>
        <w:t>二、评标方法</w:t>
      </w:r>
      <w:bookmarkEnd w:id="9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99" w:name="_Toc8004"/>
      <w:bookmarkStart w:id="100" w:name="_Toc30944"/>
      <w:bookmarkStart w:id="101" w:name="_Toc76462334"/>
      <w:bookmarkStart w:id="102" w:name="_Toc106030889"/>
      <w:bookmarkStart w:id="103" w:name="_Toc342913394"/>
      <w:bookmarkStart w:id="104" w:name="_Toc102227320"/>
      <w:r>
        <w:rPr>
          <w:rFonts w:hint="eastAsia" w:ascii="方正仿宋_GBK" w:hAnsi="宋体" w:eastAsia="方正仿宋_GBK"/>
          <w:sz w:val="24"/>
          <w:lang w:val="en-US" w:eastAsia="zh-CN"/>
        </w:rPr>
        <w:t>三、报价方式</w:t>
      </w:r>
      <w:bookmarkEnd w:id="99"/>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5"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5"/>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6" w:name="_Toc3621"/>
      <w:r>
        <w:rPr>
          <w:rFonts w:hint="eastAsia" w:ascii="方正仿宋_GBK" w:hAnsi="宋体" w:eastAsia="方正仿宋_GBK"/>
          <w:sz w:val="24"/>
          <w:lang w:val="en-US" w:eastAsia="zh-CN"/>
        </w:rPr>
        <w:t>四、评审标准</w:t>
      </w:r>
      <w:bookmarkEnd w:id="100"/>
      <w:bookmarkEnd w:id="101"/>
      <w:bookmarkEnd w:id="102"/>
      <w:bookmarkEnd w:id="106"/>
    </w:p>
    <w:p>
      <w:pPr>
        <w:snapToGrid w:val="0"/>
        <w:spacing w:line="400" w:lineRule="exact"/>
        <w:ind w:firstLine="480" w:firstLineChars="200"/>
        <w:rPr>
          <w:rFonts w:hint="eastAsia" w:ascii="方正仿宋_GBK" w:hAnsi="宋体" w:eastAsia="方正仿宋_GBK"/>
          <w:sz w:val="24"/>
          <w:szCs w:val="24"/>
        </w:rPr>
      </w:pPr>
      <w:bookmarkStart w:id="107" w:name="_Toc31497"/>
      <w:bookmarkStart w:id="108" w:name="_Toc106030890"/>
      <w:bookmarkStart w:id="109" w:name="_Toc76462335"/>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0" w:name="_Toc29489"/>
      <w:r>
        <w:rPr>
          <w:rFonts w:hint="eastAsia" w:ascii="方正仿宋_GBK" w:hAnsi="宋体" w:eastAsia="方正仿宋_GBK"/>
          <w:sz w:val="24"/>
          <w:lang w:val="en-US" w:eastAsia="zh-CN"/>
        </w:rPr>
        <w:t>五</w:t>
      </w:r>
      <w:r>
        <w:rPr>
          <w:rFonts w:hint="eastAsia" w:ascii="方正仿宋_GBK" w:hAnsi="宋体" w:eastAsia="方正仿宋_GBK"/>
          <w:sz w:val="24"/>
        </w:rPr>
        <w:t>、无效响应</w:t>
      </w:r>
      <w:bookmarkEnd w:id="107"/>
      <w:bookmarkEnd w:id="108"/>
      <w:bookmarkEnd w:id="109"/>
      <w:bookmarkEnd w:id="110"/>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1" w:name="_Toc76462336"/>
      <w:bookmarkStart w:id="112" w:name="_Toc106030891"/>
      <w:bookmarkStart w:id="113" w:name="_Toc10687"/>
      <w:bookmarkStart w:id="114" w:name="_Toc29702"/>
      <w:r>
        <w:rPr>
          <w:rFonts w:hint="eastAsia" w:ascii="方正仿宋_GBK" w:hAnsi="宋体" w:eastAsia="方正仿宋_GBK"/>
          <w:sz w:val="24"/>
          <w:lang w:val="en-US" w:eastAsia="zh-CN"/>
        </w:rPr>
        <w:t>六</w:t>
      </w:r>
      <w:r>
        <w:rPr>
          <w:rFonts w:hint="eastAsia" w:ascii="方正仿宋_GBK" w:hAnsi="宋体" w:eastAsia="方正仿宋_GBK"/>
          <w:sz w:val="24"/>
        </w:rPr>
        <w:t>、</w:t>
      </w:r>
      <w:bookmarkEnd w:id="103"/>
      <w:bookmarkEnd w:id="104"/>
      <w:bookmarkEnd w:id="111"/>
      <w:bookmarkEnd w:id="112"/>
      <w:bookmarkEnd w:id="113"/>
      <w:r>
        <w:rPr>
          <w:rFonts w:hint="eastAsia" w:ascii="方正仿宋_GBK" w:hAnsi="宋体" w:eastAsia="方正仿宋_GBK"/>
          <w:sz w:val="24"/>
          <w:lang w:val="en-US" w:eastAsia="zh-CN"/>
        </w:rPr>
        <w:t>废标条款</w:t>
      </w:r>
      <w:bookmarkEnd w:id="114"/>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15" w:name="_Toc106030892"/>
      <w:bookmarkStart w:id="116" w:name="_Toc28172"/>
      <w:bookmarkStart w:id="117" w:name="_Toc76462337"/>
      <w:bookmarkStart w:id="118" w:name="_Toc102227313"/>
      <w:bookmarkStart w:id="119" w:name="_Toc29948"/>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15"/>
      <w:bookmarkEnd w:id="116"/>
      <w:bookmarkEnd w:id="117"/>
      <w:bookmarkEnd w:id="118"/>
      <w:bookmarkEnd w:id="119"/>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0" w:name="_Toc342913389"/>
      <w:bookmarkStart w:id="121" w:name="_Toc106030893"/>
      <w:bookmarkStart w:id="122" w:name="_Toc76462338"/>
      <w:bookmarkStart w:id="123" w:name="_Toc9494"/>
      <w:bookmarkStart w:id="124" w:name="_Toc26717"/>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20"/>
      <w:bookmarkEnd w:id="121"/>
      <w:bookmarkEnd w:id="122"/>
      <w:bookmarkEnd w:id="123"/>
      <w:bookmarkEnd w:id="124"/>
    </w:p>
    <w:p>
      <w:pPr>
        <w:pStyle w:val="142"/>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5" w:name="_Toc342913391"/>
      <w:bookmarkStart w:id="126" w:name="_Toc106030894"/>
      <w:bookmarkStart w:id="127" w:name="_Toc150"/>
      <w:bookmarkStart w:id="128" w:name="_Toc15712"/>
      <w:bookmarkStart w:id="129" w:name="_Toc76462339"/>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25"/>
      <w:bookmarkEnd w:id="126"/>
      <w:bookmarkEnd w:id="127"/>
      <w:bookmarkEnd w:id="128"/>
      <w:bookmarkEnd w:id="129"/>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0" w:name="_Toc318159780"/>
      <w:bookmarkStart w:id="131" w:name="_Toc318166429"/>
      <w:bookmarkStart w:id="132" w:name="_Toc318159349"/>
      <w:bookmarkStart w:id="133" w:name="_Toc318159160"/>
    </w:p>
    <w:bookmarkEnd w:id="130"/>
    <w:bookmarkEnd w:id="131"/>
    <w:bookmarkEnd w:id="132"/>
    <w:bookmarkEnd w:id="133"/>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4" w:name="_Toc342913392"/>
      <w:bookmarkStart w:id="135" w:name="_Toc102227318"/>
      <w:bookmarkStart w:id="136" w:name="_Toc76462340"/>
      <w:bookmarkStart w:id="137" w:name="_Toc106030895"/>
      <w:bookmarkStart w:id="138" w:name="_Toc26007"/>
      <w:bookmarkStart w:id="139" w:name="_Toc23659"/>
      <w:bookmarkStart w:id="140" w:name="_Toc179714297"/>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34"/>
      <w:bookmarkEnd w:id="135"/>
      <w:bookmarkEnd w:id="136"/>
      <w:bookmarkEnd w:id="137"/>
      <w:bookmarkEnd w:id="138"/>
      <w:bookmarkEnd w:id="139"/>
      <w:bookmarkEnd w:id="14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1" w:name="_Toc27996"/>
      <w:bookmarkStart w:id="142" w:name="_Toc6435"/>
      <w:bookmarkStart w:id="143" w:name="_Toc106030896"/>
      <w:bookmarkStart w:id="144" w:name="_Toc76462341"/>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1"/>
      <w:bookmarkEnd w:id="142"/>
      <w:bookmarkEnd w:id="143"/>
      <w:bookmarkEnd w:id="144"/>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5" w:name="_Toc21532"/>
      <w:bookmarkStart w:id="146" w:name="_Toc106030897"/>
      <w:bookmarkStart w:id="147" w:name="_Toc16103"/>
      <w:bookmarkStart w:id="148" w:name="_Toc76462342"/>
      <w:bookmarkStart w:id="149" w:name="_Toc102227321"/>
      <w:bookmarkStart w:id="150" w:name="_Toc342913395"/>
      <w:r>
        <w:rPr>
          <w:rFonts w:hint="eastAsia" w:ascii="方正仿宋_GBK" w:hAnsi="宋体" w:eastAsia="方正仿宋_GBK"/>
          <w:sz w:val="24"/>
        </w:rPr>
        <w:t>五、成交通知</w:t>
      </w:r>
      <w:bookmarkEnd w:id="145"/>
      <w:bookmarkEnd w:id="146"/>
      <w:bookmarkEnd w:id="147"/>
      <w:bookmarkEnd w:id="148"/>
      <w:bookmarkEnd w:id="149"/>
      <w:bookmarkEnd w:id="15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1" w:name="_Toc10269"/>
      <w:bookmarkStart w:id="152" w:name="_Toc106030898"/>
      <w:bookmarkStart w:id="153" w:name="_Toc21448"/>
      <w:bookmarkStart w:id="154" w:name="_Toc76462343"/>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1"/>
      <w:bookmarkEnd w:id="152"/>
      <w:bookmarkEnd w:id="153"/>
      <w:bookmarkEnd w:id="15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55" w:name="_Toc28334"/>
      <w:bookmarkStart w:id="156" w:name="_Toc106030899"/>
      <w:bookmarkStart w:id="157" w:name="_Toc7646234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8" w:name="_Toc21032"/>
      <w:r>
        <w:rPr>
          <w:rFonts w:hint="eastAsia" w:ascii="方正仿宋_GBK" w:hAnsi="宋体" w:eastAsia="方正仿宋_GBK"/>
          <w:sz w:val="24"/>
        </w:rPr>
        <w:t>七</w:t>
      </w:r>
      <w:r>
        <w:rPr>
          <w:rFonts w:hint="eastAsia" w:ascii="方正仿宋_GBK" w:hAnsi="宋体" w:eastAsia="方正仿宋_GBK"/>
          <w:color w:val="auto"/>
          <w:sz w:val="24"/>
        </w:rPr>
        <w:t>、</w:t>
      </w:r>
      <w:bookmarkEnd w:id="155"/>
      <w:bookmarkEnd w:id="156"/>
      <w:bookmarkEnd w:id="157"/>
      <w:bookmarkStart w:id="159" w:name="_Toc102227322"/>
      <w:bookmarkStart w:id="160" w:name="_Toc76462346"/>
      <w:bookmarkStart w:id="161" w:name="_Toc3372"/>
      <w:bookmarkStart w:id="162" w:name="_Toc342913396"/>
      <w:bookmarkStart w:id="163" w:name="_Toc106030901"/>
      <w:bookmarkStart w:id="164" w:name="_Toc12789059"/>
      <w:bookmarkStart w:id="165" w:name="_Toc11641055"/>
      <w:r>
        <w:rPr>
          <w:rFonts w:hint="eastAsia" w:ascii="方正仿宋_GBK" w:hAnsi="宋体" w:eastAsia="方正仿宋_GBK"/>
          <w:color w:val="auto"/>
          <w:sz w:val="24"/>
        </w:rPr>
        <w:t>签订</w:t>
      </w:r>
      <w:bookmarkEnd w:id="159"/>
      <w:r>
        <w:rPr>
          <w:rFonts w:hint="eastAsia" w:ascii="方正仿宋_GBK" w:hAnsi="宋体" w:eastAsia="方正仿宋_GBK"/>
          <w:color w:val="auto"/>
          <w:sz w:val="24"/>
        </w:rPr>
        <w:t>合同</w:t>
      </w:r>
      <w:bookmarkEnd w:id="158"/>
      <w:bookmarkEnd w:id="160"/>
      <w:bookmarkEnd w:id="161"/>
      <w:bookmarkEnd w:id="162"/>
      <w:bookmarkEnd w:id="163"/>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64"/>
      <w:bookmarkEnd w:id="165"/>
    </w:p>
    <w:p>
      <w:pPr>
        <w:pStyle w:val="4"/>
        <w:spacing w:before="200" w:after="200" w:line="240" w:lineRule="auto"/>
        <w:jc w:val="center"/>
        <w:rPr>
          <w:rFonts w:hint="eastAsia" w:ascii="方正仿宋_GBK" w:hAnsi="Times New Roman" w:eastAsia="方正仿宋_GBK" w:cs="Times New Roman"/>
          <w:b/>
          <w:sz w:val="44"/>
          <w:szCs w:val="20"/>
        </w:rPr>
      </w:pPr>
      <w:bookmarkStart w:id="166" w:name="_Hlt41879464"/>
      <w:bookmarkEnd w:id="166"/>
      <w:bookmarkStart w:id="167" w:name="_Toc106030905"/>
      <w:bookmarkStart w:id="168" w:name="_Toc76462349"/>
      <w:bookmarkStart w:id="169" w:name="_Toc25967"/>
      <w:bookmarkStart w:id="170" w:name="_Toc27984"/>
      <w:r>
        <w:rPr>
          <w:rFonts w:hint="eastAsia" w:ascii="方正仿宋_GBK" w:hAnsi="Times New Roman" w:eastAsia="方正仿宋_GBK" w:cs="Times New Roman"/>
          <w:b/>
          <w:sz w:val="44"/>
          <w:szCs w:val="20"/>
        </w:rPr>
        <w:t>第六篇  响应文件编制要求</w:t>
      </w:r>
      <w:bookmarkEnd w:id="167"/>
      <w:bookmarkEnd w:id="168"/>
      <w:bookmarkEnd w:id="169"/>
      <w:bookmarkEnd w:id="17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1" w:name="_Toc106030906"/>
      <w:bookmarkStart w:id="172" w:name="_Toc342913419"/>
      <w:bookmarkStart w:id="173" w:name="_Toc76462350"/>
      <w:bookmarkStart w:id="174" w:name="_Toc15994"/>
      <w:bookmarkStart w:id="175" w:name="_Toc313888360"/>
      <w:bookmarkStart w:id="176" w:name="_Toc313008356"/>
      <w:bookmarkStart w:id="177" w:name="_Toc12789073"/>
      <w:bookmarkStart w:id="178"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9" w:name="_Toc28694"/>
      <w:r>
        <w:rPr>
          <w:rFonts w:hint="eastAsia" w:ascii="方正仿宋_GBK" w:hAnsi="宋体" w:eastAsia="方正仿宋_GBK"/>
          <w:sz w:val="24"/>
        </w:rPr>
        <w:t>一、经济部分</w:t>
      </w:r>
      <w:bookmarkEnd w:id="171"/>
      <w:bookmarkEnd w:id="172"/>
      <w:bookmarkEnd w:id="173"/>
      <w:bookmarkEnd w:id="174"/>
      <w:bookmarkEnd w:id="175"/>
      <w:bookmarkEnd w:id="176"/>
      <w:bookmarkEnd w:id="179"/>
    </w:p>
    <w:bookmarkEnd w:id="177"/>
    <w:bookmarkEnd w:id="178"/>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w:t>
            </w:r>
            <w:r>
              <w:rPr>
                <w:rFonts w:hint="eastAsia" w:ascii="方正仿宋_GBK" w:hAnsi="宋体" w:eastAsia="方正仿宋_GBK" w:cs="Times New Roman"/>
                <w:color w:val="auto"/>
                <w:sz w:val="24"/>
                <w:szCs w:val="24"/>
                <w:lang w:val="en-US" w:eastAsia="zh-CN"/>
              </w:rPr>
              <w:t>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自合同签订之日起1年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0" w:name="OLE_LINK2"/>
      <w:bookmarkStart w:id="181" w:name="OLE_LINK1"/>
      <w:r>
        <w:rPr>
          <w:rFonts w:hint="eastAsia" w:ascii="方正仿宋_GBK" w:hAnsi="宋体" w:eastAsia="方正仿宋_GBK"/>
          <w:sz w:val="24"/>
          <w:szCs w:val="28"/>
        </w:rPr>
        <w:t>。</w:t>
      </w:r>
      <w:bookmarkEnd w:id="180"/>
      <w:bookmarkEnd w:id="181"/>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82" w:name="_Toc106030907"/>
      <w:bookmarkStart w:id="183" w:name="_Toc342913420"/>
      <w:bookmarkStart w:id="184" w:name="_Toc313008357"/>
      <w:bookmarkStart w:id="185" w:name="_Toc18669"/>
      <w:bookmarkStart w:id="186" w:name="_Toc76462351"/>
      <w:bookmarkStart w:id="187" w:name="_Toc313888361"/>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价格（小写）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价格（大写）</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服务</w:t>
            </w:r>
            <w:r>
              <w:rPr>
                <w:rFonts w:hint="eastAsia" w:ascii="方正仿宋_GBK" w:hAnsi="宋体" w:eastAsia="方正仿宋_GBK" w:cs="Times New Roman"/>
                <w:color w:val="auto"/>
                <w:sz w:val="24"/>
                <w:szCs w:val="24"/>
                <w:lang w:val="en-US" w:eastAsia="zh-CN"/>
              </w:rPr>
              <w:t>期限</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自合同签订之日起1年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both"/>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是否接受</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30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8" w:name="_Toc22682"/>
      <w:r>
        <w:rPr>
          <w:rFonts w:hint="eastAsia" w:ascii="方正仿宋_GBK" w:hAnsi="宋体" w:eastAsia="方正仿宋_GBK"/>
          <w:sz w:val="24"/>
        </w:rPr>
        <w:t>二、</w:t>
      </w:r>
      <w:r>
        <w:rPr>
          <w:rFonts w:hint="eastAsia" w:ascii="方正仿宋_GBK" w:hAnsi="宋体" w:eastAsia="方正仿宋_GBK"/>
          <w:sz w:val="24"/>
          <w:lang w:val="en-US" w:eastAsia="zh-CN"/>
        </w:rPr>
        <w:t>服务</w:t>
      </w:r>
      <w:r>
        <w:rPr>
          <w:rFonts w:hint="eastAsia" w:ascii="方正仿宋_GBK" w:hAnsi="宋体" w:eastAsia="方正仿宋_GBK"/>
          <w:sz w:val="24"/>
        </w:rPr>
        <w:t>部分</w:t>
      </w:r>
      <w:bookmarkEnd w:id="182"/>
      <w:bookmarkEnd w:id="183"/>
      <w:bookmarkEnd w:id="184"/>
      <w:bookmarkEnd w:id="185"/>
      <w:bookmarkEnd w:id="186"/>
      <w:bookmarkEnd w:id="187"/>
      <w:bookmarkEnd w:id="188"/>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lang w:val="en-US" w:eastAsia="zh-CN"/>
              </w:rPr>
              <w:t>服务要求</w:t>
            </w:r>
            <w:r>
              <w:rPr>
                <w:rFonts w:hint="default" w:ascii="方正仿宋_GBK" w:hAnsi="仿宋" w:eastAsia="方正仿宋_GBK"/>
                <w:sz w:val="21"/>
                <w:szCs w:val="21"/>
              </w:rPr>
              <w:t>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服务</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89" w:name="_Toc342913421"/>
      <w:bookmarkStart w:id="190" w:name="_Toc76462352"/>
      <w:bookmarkStart w:id="191" w:name="_Toc30639"/>
      <w:bookmarkStart w:id="192" w:name="_Toc17362"/>
      <w:bookmarkStart w:id="193" w:name="_Toc313888362"/>
      <w:bookmarkStart w:id="194" w:name="_Toc313008358"/>
      <w:bookmarkStart w:id="195" w:name="_Toc106030908"/>
      <w:r>
        <w:rPr>
          <w:rFonts w:hint="eastAsia" w:ascii="方正仿宋_GBK" w:hAnsi="宋体" w:eastAsia="方正仿宋_GBK"/>
          <w:sz w:val="24"/>
        </w:rPr>
        <w:t>三、商务部分</w:t>
      </w:r>
      <w:bookmarkEnd w:id="189"/>
      <w:bookmarkEnd w:id="190"/>
      <w:bookmarkEnd w:id="191"/>
      <w:bookmarkEnd w:id="192"/>
      <w:bookmarkEnd w:id="193"/>
      <w:bookmarkEnd w:id="194"/>
      <w:bookmarkEnd w:id="19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96"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6"/>
      <w:bookmarkStart w:id="197" w:name="_Toc6483"/>
      <w:bookmarkStart w:id="198" w:name="_Toc106030909"/>
      <w:bookmarkStart w:id="199" w:name="_Toc313888363"/>
      <w:bookmarkStart w:id="200" w:name="_Toc26948"/>
      <w:bookmarkStart w:id="201" w:name="_Toc342913422"/>
      <w:bookmarkStart w:id="202" w:name="_Toc313008359"/>
      <w:bookmarkStart w:id="203" w:name="_Toc76462353"/>
      <w:r>
        <w:rPr>
          <w:rFonts w:hint="eastAsia" w:ascii="方正仿宋_GBK" w:hAnsi="宋体" w:eastAsia="方正仿宋_GBK"/>
          <w:sz w:val="24"/>
        </w:rPr>
        <w:t>四、资格条件</w:t>
      </w:r>
      <w:bookmarkEnd w:id="197"/>
      <w:bookmarkEnd w:id="198"/>
      <w:bookmarkEnd w:id="199"/>
      <w:bookmarkEnd w:id="200"/>
      <w:bookmarkEnd w:id="201"/>
      <w:bookmarkEnd w:id="202"/>
      <w:bookmarkEnd w:id="203"/>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7"/>
      </w:pPr>
    </w:p>
    <w:p>
      <w:pPr>
        <w:pStyle w:val="68"/>
        <w:rPr>
          <w:rFonts w:ascii="宋体" w:hAnsi="宋体"/>
        </w:rPr>
      </w:pPr>
    </w:p>
    <w:p>
      <w:pPr>
        <w:pStyle w:val="68"/>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04" w:name="_Toc14422"/>
      <w:r>
        <w:rPr>
          <w:rFonts w:ascii="方正仿宋_GBK" w:hAnsi="宋体" w:eastAsia="方正仿宋_GBK"/>
          <w:b w:val="0"/>
          <w:sz w:val="28"/>
        </w:rPr>
        <w:br w:type="page"/>
      </w:r>
      <w:bookmarkStart w:id="205" w:name="_Toc76462354"/>
      <w:bookmarkStart w:id="206" w:name="_Toc8805"/>
      <w:bookmarkStart w:id="207" w:name="_Toc106030910"/>
      <w:bookmarkStart w:id="208" w:name="_Toc773"/>
      <w:r>
        <w:rPr>
          <w:rFonts w:hint="eastAsia" w:ascii="方正仿宋_GBK" w:hAnsi="宋体" w:eastAsia="方正仿宋_GBK"/>
          <w:sz w:val="24"/>
        </w:rPr>
        <w:t>五、其他资料</w:t>
      </w:r>
      <w:bookmarkEnd w:id="204"/>
      <w:bookmarkEnd w:id="205"/>
      <w:bookmarkEnd w:id="206"/>
      <w:bookmarkEnd w:id="207"/>
      <w:bookmarkEnd w:id="20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0" w:usb3="00000000" w:csb0="0010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2"/>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8"/>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3"/>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39"/>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6D62B7"/>
    <w:rsid w:val="147A5E14"/>
    <w:rsid w:val="15935DB5"/>
    <w:rsid w:val="15BB3449"/>
    <w:rsid w:val="178B1D79"/>
    <w:rsid w:val="17A1211B"/>
    <w:rsid w:val="18ED7A84"/>
    <w:rsid w:val="19255AF5"/>
    <w:rsid w:val="1A7E6296"/>
    <w:rsid w:val="1F0D01CA"/>
    <w:rsid w:val="21864056"/>
    <w:rsid w:val="24484219"/>
    <w:rsid w:val="2486441F"/>
    <w:rsid w:val="2AA01F44"/>
    <w:rsid w:val="2EAB4719"/>
    <w:rsid w:val="300C58E0"/>
    <w:rsid w:val="332D1E43"/>
    <w:rsid w:val="3ACE5D4F"/>
    <w:rsid w:val="3C55524B"/>
    <w:rsid w:val="3DF6488D"/>
    <w:rsid w:val="3EEC6CD3"/>
    <w:rsid w:val="3F1C71CA"/>
    <w:rsid w:val="406334F2"/>
    <w:rsid w:val="409F14A1"/>
    <w:rsid w:val="415F6EA3"/>
    <w:rsid w:val="41B20BF4"/>
    <w:rsid w:val="452C7897"/>
    <w:rsid w:val="494C6B8D"/>
    <w:rsid w:val="497B7CB3"/>
    <w:rsid w:val="4AE72560"/>
    <w:rsid w:val="4B2D12E0"/>
    <w:rsid w:val="4BEB6B31"/>
    <w:rsid w:val="4DD36371"/>
    <w:rsid w:val="4F070047"/>
    <w:rsid w:val="4F3C244F"/>
    <w:rsid w:val="50252D16"/>
    <w:rsid w:val="5115115D"/>
    <w:rsid w:val="521E4A24"/>
    <w:rsid w:val="52D92ACB"/>
    <w:rsid w:val="53B4776F"/>
    <w:rsid w:val="53DF1E3A"/>
    <w:rsid w:val="558E730F"/>
    <w:rsid w:val="57857077"/>
    <w:rsid w:val="5CA67F0E"/>
    <w:rsid w:val="61625D90"/>
    <w:rsid w:val="68BD663A"/>
    <w:rsid w:val="692F74C0"/>
    <w:rsid w:val="696405DD"/>
    <w:rsid w:val="6F4859CD"/>
    <w:rsid w:val="6FE969BF"/>
    <w:rsid w:val="701245F9"/>
    <w:rsid w:val="71175C34"/>
    <w:rsid w:val="73F37C75"/>
    <w:rsid w:val="74D70DF7"/>
    <w:rsid w:val="750950F5"/>
    <w:rsid w:val="750D16CF"/>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69"/>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0"/>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1"/>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2"/>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3"/>
    <w:qFormat/>
    <w:uiPriority w:val="0"/>
  </w:style>
  <w:style w:type="paragraph" w:styleId="33">
    <w:name w:val="Body Text Indent 2"/>
    <w:basedOn w:val="1"/>
    <w:link w:val="74"/>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5"/>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6"/>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7"/>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69">
    <w:name w:val="标题 2 Char"/>
    <w:link w:val="4"/>
    <w:qFormat/>
    <w:uiPriority w:val="0"/>
    <w:rPr>
      <w:rFonts w:ascii="Arial" w:hAnsi="Arial" w:eastAsia="黑体"/>
      <w:b/>
      <w:kern w:val="2"/>
      <w:sz w:val="32"/>
    </w:rPr>
  </w:style>
  <w:style w:type="character" w:customStyle="1" w:styleId="70">
    <w:name w:val="标题 3 Char"/>
    <w:link w:val="5"/>
    <w:qFormat/>
    <w:uiPriority w:val="0"/>
    <w:rPr>
      <w:rFonts w:eastAsia="宋体"/>
      <w:b/>
      <w:kern w:val="2"/>
      <w:sz w:val="32"/>
      <w:lang w:val="en-US" w:eastAsia="zh-CN"/>
    </w:rPr>
  </w:style>
  <w:style w:type="character" w:customStyle="1" w:styleId="71">
    <w:name w:val="批注文字 Char"/>
    <w:link w:val="20"/>
    <w:qFormat/>
    <w:uiPriority w:val="0"/>
    <w:rPr>
      <w:sz w:val="24"/>
    </w:rPr>
  </w:style>
  <w:style w:type="character" w:customStyle="1" w:styleId="72">
    <w:name w:val="正文文本缩进 Char"/>
    <w:link w:val="23"/>
    <w:qFormat/>
    <w:uiPriority w:val="0"/>
    <w:rPr>
      <w:kern w:val="2"/>
      <w:sz w:val="44"/>
    </w:rPr>
  </w:style>
  <w:style w:type="character" w:customStyle="1" w:styleId="73">
    <w:name w:val="日期 Char"/>
    <w:link w:val="32"/>
    <w:qFormat/>
    <w:uiPriority w:val="0"/>
    <w:rPr>
      <w:kern w:val="2"/>
      <w:sz w:val="28"/>
    </w:rPr>
  </w:style>
  <w:style w:type="character" w:customStyle="1" w:styleId="74">
    <w:name w:val="正文文本缩进 2 Char"/>
    <w:link w:val="33"/>
    <w:qFormat/>
    <w:uiPriority w:val="0"/>
    <w:rPr>
      <w:kern w:val="2"/>
      <w:sz w:val="28"/>
    </w:rPr>
  </w:style>
  <w:style w:type="character" w:customStyle="1" w:styleId="75">
    <w:name w:val="脚注文本 Char"/>
    <w:link w:val="40"/>
    <w:qFormat/>
    <w:uiPriority w:val="0"/>
    <w:rPr>
      <w:kern w:val="2"/>
      <w:sz w:val="18"/>
    </w:rPr>
  </w:style>
  <w:style w:type="character" w:customStyle="1" w:styleId="76">
    <w:name w:val="批注主题 Char"/>
    <w:link w:val="54"/>
    <w:qFormat/>
    <w:uiPriority w:val="0"/>
  </w:style>
  <w:style w:type="character" w:customStyle="1" w:styleId="77">
    <w:name w:val="正文首行缩进 2 Char"/>
    <w:link w:val="56"/>
    <w:qFormat/>
    <w:uiPriority w:val="0"/>
  </w:style>
  <w:style w:type="character" w:customStyle="1" w:styleId="78">
    <w:name w:val="v151"/>
    <w:qFormat/>
    <w:uiPriority w:val="0"/>
    <w:rPr>
      <w:sz w:val="18"/>
    </w:rPr>
  </w:style>
  <w:style w:type="character" w:customStyle="1" w:styleId="79">
    <w:name w:val=" Char Char7"/>
    <w:qFormat/>
    <w:uiPriority w:val="0"/>
    <w:rPr>
      <w:rFonts w:ascii="宋体" w:hAnsi="宋体" w:eastAsia="宋体"/>
      <w:kern w:val="2"/>
      <w:sz w:val="28"/>
    </w:rPr>
  </w:style>
  <w:style w:type="character" w:customStyle="1" w:styleId="80">
    <w:name w:val="小 Char"/>
    <w:qFormat/>
    <w:uiPriority w:val="0"/>
    <w:rPr>
      <w:rFonts w:ascii="宋体" w:hAnsi="Courier New" w:eastAsia="宋体"/>
      <w:kern w:val="2"/>
      <w:sz w:val="21"/>
      <w:lang w:val="en-US" w:eastAsia="zh-CN" w:bidi="ar-SA"/>
    </w:rPr>
  </w:style>
  <w:style w:type="character" w:customStyle="1" w:styleId="81">
    <w:name w:val="文字 Char"/>
    <w:link w:val="82"/>
    <w:qFormat/>
    <w:uiPriority w:val="0"/>
    <w:rPr>
      <w:rFonts w:ascii="宋体"/>
      <w:kern w:val="2"/>
      <w:sz w:val="28"/>
    </w:rPr>
  </w:style>
  <w:style w:type="paragraph" w:customStyle="1" w:styleId="82">
    <w:name w:val="文字"/>
    <w:basedOn w:val="1"/>
    <w:link w:val="81"/>
    <w:qFormat/>
    <w:uiPriority w:val="0"/>
    <w:pPr>
      <w:tabs>
        <w:tab w:val="left" w:pos="8520"/>
      </w:tabs>
      <w:spacing w:line="312" w:lineRule="auto"/>
      <w:ind w:right="-210" w:firstLine="556"/>
    </w:pPr>
    <w:rPr>
      <w:rFonts w:ascii="宋体"/>
    </w:rPr>
  </w:style>
  <w:style w:type="character" w:customStyle="1" w:styleId="83">
    <w:name w:val="content-white1"/>
    <w:qFormat/>
    <w:uiPriority w:val="0"/>
    <w:rPr>
      <w:rFonts w:ascii="_x000B__x000C_" w:hAnsi="_x000B__x000C_"/>
      <w:color w:val="auto"/>
      <w:sz w:val="18"/>
      <w:u w:val="none"/>
    </w:rPr>
  </w:style>
  <w:style w:type="character" w:customStyle="1" w:styleId="84">
    <w:name w:val="正文 + 三号 Char"/>
    <w:qFormat/>
    <w:uiPriority w:val="0"/>
    <w:rPr>
      <w:rFonts w:eastAsia="宋体"/>
      <w:kern w:val="2"/>
      <w:sz w:val="21"/>
      <w:lang w:val="en-US" w:eastAsia="zh-CN"/>
    </w:rPr>
  </w:style>
  <w:style w:type="character" w:customStyle="1" w:styleId="85">
    <w:name w:val="H2 Char"/>
    <w:qFormat/>
    <w:uiPriority w:val="0"/>
    <w:rPr>
      <w:rFonts w:ascii="Arial" w:hAnsi="Arial" w:eastAsia="宋体"/>
      <w:kern w:val="2"/>
      <w:sz w:val="28"/>
      <w:lang w:val="en-US" w:eastAsia="zh-CN"/>
    </w:rPr>
  </w:style>
  <w:style w:type="character" w:customStyle="1" w:styleId="86">
    <w:name w:val=" Char Char3"/>
    <w:qFormat/>
    <w:uiPriority w:val="0"/>
    <w:rPr>
      <w:rFonts w:eastAsia="宋体"/>
      <w:kern w:val="2"/>
      <w:sz w:val="18"/>
      <w:lang w:val="en-US" w:eastAsia="zh-CN"/>
    </w:rPr>
  </w:style>
  <w:style w:type="character" w:customStyle="1" w:styleId="87">
    <w:name w:val=" Char Char4"/>
    <w:qFormat/>
    <w:uiPriority w:val="0"/>
    <w:rPr>
      <w:rFonts w:eastAsia="宋体"/>
      <w:b/>
      <w:kern w:val="2"/>
      <w:sz w:val="21"/>
      <w:lang w:val="en-US" w:eastAsia="zh-CN"/>
    </w:rPr>
  </w:style>
  <w:style w:type="character" w:customStyle="1" w:styleId="88">
    <w:name w:val="Table Text Char1 Char"/>
    <w:qFormat/>
    <w:uiPriority w:val="0"/>
    <w:rPr>
      <w:rFonts w:ascii="Arial" w:hAnsi="Arial"/>
      <w:kern w:val="2"/>
      <w:sz w:val="18"/>
      <w:lang w:val="en-US" w:eastAsia="zh-CN" w:bidi="ar-SA"/>
    </w:rPr>
  </w:style>
  <w:style w:type="character" w:customStyle="1" w:styleId="89">
    <w:name w:val=" Char Char5"/>
    <w:qFormat/>
    <w:uiPriority w:val="0"/>
    <w:rPr>
      <w:rFonts w:ascii="Arial" w:hAnsi="Arial" w:eastAsia="宋体"/>
      <w:b/>
      <w:smallCaps/>
      <w:kern w:val="28"/>
      <w:sz w:val="36"/>
      <w:lang w:val="en-US" w:eastAsia="en-US"/>
    </w:rPr>
  </w:style>
  <w:style w:type="character" w:customStyle="1" w:styleId="90">
    <w:name w:val=" Char Char"/>
    <w:qFormat/>
    <w:uiPriority w:val="0"/>
    <w:rPr>
      <w:rFonts w:ascii="宋体" w:hAnsi="宋体" w:eastAsia="宋体"/>
      <w:kern w:val="2"/>
      <w:sz w:val="24"/>
      <w:lang w:val="en-US" w:eastAsia="zh-CN" w:bidi="ar-SA"/>
    </w:rPr>
  </w:style>
  <w:style w:type="character" w:customStyle="1" w:styleId="91">
    <w:name w:val="Table Heading Char Char"/>
    <w:qFormat/>
    <w:uiPriority w:val="0"/>
    <w:rPr>
      <w:rFonts w:ascii="Arial" w:hAnsi="Arial" w:eastAsia="黑体"/>
      <w:kern w:val="2"/>
      <w:sz w:val="18"/>
      <w:lang w:val="en-US" w:eastAsia="zh-CN"/>
    </w:rPr>
  </w:style>
  <w:style w:type="character" w:customStyle="1" w:styleId="92">
    <w:name w:val="Table Text Char Char Char Char"/>
    <w:link w:val="93"/>
    <w:qFormat/>
    <w:uiPriority w:val="0"/>
    <w:rPr>
      <w:rFonts w:ascii="Arial" w:hAnsi="Arial"/>
      <w:kern w:val="2"/>
      <w:sz w:val="18"/>
      <w:lang w:val="en-US" w:eastAsia="zh-CN" w:bidi="ar-SA"/>
    </w:rPr>
  </w:style>
  <w:style w:type="paragraph" w:customStyle="1" w:styleId="93">
    <w:name w:val="Table Text Char Char Char"/>
    <w:link w:val="92"/>
    <w:qFormat/>
    <w:uiPriority w:val="0"/>
    <w:pPr>
      <w:snapToGrid w:val="0"/>
      <w:spacing w:before="80" w:after="80"/>
    </w:pPr>
    <w:rPr>
      <w:rFonts w:ascii="Arial" w:hAnsi="Arial" w:eastAsia="宋体" w:cs="Times New Roman"/>
      <w:kern w:val="2"/>
      <w:sz w:val="18"/>
      <w:lang w:val="en-US" w:eastAsia="zh-CN" w:bidi="ar-SA"/>
    </w:rPr>
  </w:style>
  <w:style w:type="character" w:customStyle="1" w:styleId="94">
    <w:name w:val="Table Text Char"/>
    <w:link w:val="95"/>
    <w:qFormat/>
    <w:uiPriority w:val="0"/>
    <w:rPr>
      <w:rFonts w:ascii="Arial" w:hAnsi="Arial"/>
      <w:kern w:val="2"/>
      <w:sz w:val="18"/>
      <w:lang w:val="en-US" w:eastAsia="zh-CN" w:bidi="ar-SA"/>
    </w:rPr>
  </w:style>
  <w:style w:type="paragraph" w:customStyle="1" w:styleId="95">
    <w:name w:val="Table Text"/>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 Char Char2"/>
    <w:qFormat/>
    <w:uiPriority w:val="0"/>
    <w:rPr>
      <w:rFonts w:eastAsia="宋体"/>
      <w:kern w:val="2"/>
      <w:sz w:val="18"/>
      <w:lang w:val="en-US" w:eastAsia="zh-CN"/>
    </w:rPr>
  </w:style>
  <w:style w:type="character" w:customStyle="1" w:styleId="97">
    <w:name w:val="标书正文:  0.74 厘米 Char1"/>
    <w:qFormat/>
    <w:uiPriority w:val="0"/>
    <w:rPr>
      <w:rFonts w:eastAsia="宋体"/>
      <w:kern w:val="2"/>
      <w:sz w:val="24"/>
      <w:lang w:val="en-US" w:eastAsia="zh-CN"/>
    </w:rPr>
  </w:style>
  <w:style w:type="character" w:customStyle="1" w:styleId="98">
    <w:name w:val="样式 宋体"/>
    <w:qFormat/>
    <w:uiPriority w:val="0"/>
    <w:rPr>
      <w:rFonts w:ascii="宋体" w:hAnsi="宋体" w:eastAsia="宋体"/>
      <w:sz w:val="28"/>
    </w:rPr>
  </w:style>
  <w:style w:type="character" w:customStyle="1" w:styleId="99">
    <w:name w:val="未命名11"/>
    <w:qFormat/>
    <w:uiPriority w:val="0"/>
    <w:rPr>
      <w:color w:val="77FFFF"/>
      <w:sz w:val="24"/>
    </w:rPr>
  </w:style>
  <w:style w:type="character" w:customStyle="1" w:styleId="100">
    <w:name w:val="crowed11"/>
    <w:qFormat/>
    <w:uiPriority w:val="0"/>
    <w:rPr>
      <w:rFonts w:hint="default" w:ascii="_x000B__x000C_" w:hAnsi="_x000B__x000C_"/>
      <w:sz w:val="24"/>
    </w:rPr>
  </w:style>
  <w:style w:type="character" w:customStyle="1" w:styleId="101">
    <w:name w:val=" Char Char6"/>
    <w:qFormat/>
    <w:uiPriority w:val="0"/>
    <w:rPr>
      <w:rFonts w:ascii="仿宋_GB2312" w:eastAsia="仿宋_GB2312"/>
      <w:kern w:val="2"/>
      <w:sz w:val="32"/>
    </w:rPr>
  </w:style>
  <w:style w:type="character" w:customStyle="1" w:styleId="102">
    <w:name w:val="title_emph1"/>
    <w:qFormat/>
    <w:uiPriority w:val="0"/>
    <w:rPr>
      <w:rFonts w:hint="default" w:ascii="Arial" w:hAnsi="Arial"/>
      <w:b/>
      <w:sz w:val="20"/>
    </w:rPr>
  </w:style>
  <w:style w:type="character" w:customStyle="1" w:styleId="103">
    <w:name w:val="font1"/>
    <w:qFormat/>
    <w:uiPriority w:val="0"/>
    <w:rPr>
      <w:color w:val="000000"/>
      <w:sz w:val="18"/>
    </w:rPr>
  </w:style>
  <w:style w:type="character" w:customStyle="1" w:styleId="104">
    <w:name w:val=" Char Char11"/>
    <w:qFormat/>
    <w:uiPriority w:val="0"/>
    <w:rPr>
      <w:rFonts w:ascii="宋体"/>
      <w:kern w:val="2"/>
      <w:sz w:val="28"/>
    </w:rPr>
  </w:style>
  <w:style w:type="character" w:customStyle="1" w:styleId="105">
    <w:name w:val="top-det1"/>
    <w:qFormat/>
    <w:uiPriority w:val="0"/>
    <w:rPr>
      <w:b/>
      <w:color w:val="000000"/>
    </w:rPr>
  </w:style>
  <w:style w:type="paragraph" w:customStyle="1" w:styleId="106">
    <w:name w:val="二级列表"/>
    <w:basedOn w:val="107"/>
    <w:next w:val="107"/>
    <w:qFormat/>
    <w:uiPriority w:val="0"/>
    <w:pPr>
      <w:tabs>
        <w:tab w:val="left" w:pos="2120"/>
      </w:tabs>
      <w:ind w:firstLine="0" w:firstLineChars="0"/>
    </w:pPr>
    <w:rPr>
      <w:b/>
    </w:rPr>
  </w:style>
  <w:style w:type="paragraph" w:customStyle="1" w:styleId="107">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8">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09">
    <w:name w:val="文本1"/>
    <w:basedOn w:val="1"/>
    <w:qFormat/>
    <w:uiPriority w:val="0"/>
    <w:pPr>
      <w:adjustRightInd w:val="0"/>
      <w:spacing w:line="312" w:lineRule="atLeast"/>
      <w:jc w:val="center"/>
      <w:textAlignment w:val="baseline"/>
    </w:pPr>
    <w:rPr>
      <w:kern w:val="0"/>
      <w:sz w:val="18"/>
    </w:rPr>
  </w:style>
  <w:style w:type="paragraph" w:customStyle="1" w:styleId="110">
    <w:name w:val="Title - Revision"/>
    <w:basedOn w:val="53"/>
    <w:qFormat/>
    <w:uiPriority w:val="0"/>
    <w:pPr>
      <w:spacing w:before="720" w:beforeLines="0" w:beforeAutospacing="0"/>
    </w:pPr>
  </w:style>
  <w:style w:type="paragraph" w:customStyle="1" w:styleId="111">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2">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3">
    <w:name w:val="二级条标题"/>
    <w:basedOn w:val="114"/>
    <w:next w:val="116"/>
    <w:qFormat/>
    <w:uiPriority w:val="0"/>
    <w:pPr>
      <w:ind w:left="840"/>
      <w:outlineLvl w:val="3"/>
    </w:pPr>
  </w:style>
  <w:style w:type="paragraph" w:customStyle="1" w:styleId="114">
    <w:name w:val="一级条标题"/>
    <w:basedOn w:val="115"/>
    <w:next w:val="116"/>
    <w:qFormat/>
    <w:uiPriority w:val="0"/>
    <w:pPr>
      <w:numPr>
        <w:ilvl w:val="1"/>
        <w:numId w:val="0"/>
      </w:numPr>
      <w:spacing w:before="0" w:beforeLines="0" w:beforeAutospacing="0" w:after="0" w:afterLines="0" w:afterAutospacing="0"/>
      <w:ind w:left="525"/>
      <w:outlineLvl w:val="2"/>
    </w:pPr>
    <w:rPr>
      <w:sz w:val="21"/>
    </w:rPr>
  </w:style>
  <w:style w:type="paragraph" w:customStyle="1" w:styleId="115">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7">
    <w:name w:val="1.正文"/>
    <w:basedOn w:val="1"/>
    <w:qFormat/>
    <w:uiPriority w:val="0"/>
    <w:pPr>
      <w:spacing w:line="360" w:lineRule="auto"/>
      <w:ind w:left="540" w:leftChars="225" w:firstLine="540" w:firstLineChars="225"/>
    </w:pPr>
    <w:rPr>
      <w:sz w:val="24"/>
    </w:rPr>
  </w:style>
  <w:style w:type="paragraph" w:customStyle="1" w:styleId="118">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19">
    <w:name w:val="编号正文"/>
    <w:basedOn w:val="120"/>
    <w:qFormat/>
    <w:uiPriority w:val="0"/>
    <w:pPr>
      <w:snapToGrid/>
      <w:spacing w:line="360" w:lineRule="auto"/>
      <w:ind w:left="1407" w:hanging="1047"/>
      <w:jc w:val="left"/>
    </w:pPr>
    <w:rPr>
      <w:rFonts w:eastAsia="仿宋_GB2312"/>
    </w:rPr>
  </w:style>
  <w:style w:type="paragraph" w:customStyle="1" w:styleId="120">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1">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2">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3">
    <w:name w:val="默认段落字体 Para Char Char Char Char Char Char Char Char Char1 Char Char Char Char"/>
    <w:basedOn w:val="1"/>
    <w:qFormat/>
    <w:uiPriority w:val="0"/>
    <w:rPr>
      <w:rFonts w:ascii="Tahoma" w:hAnsi="Tahoma"/>
      <w:sz w:val="24"/>
    </w:rPr>
  </w:style>
  <w:style w:type="paragraph" w:customStyle="1" w:styleId="124">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5">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6">
    <w:name w:val=" Char Char14 Char Char"/>
    <w:basedOn w:val="1"/>
    <w:qFormat/>
    <w:uiPriority w:val="0"/>
    <w:rPr>
      <w:sz w:val="21"/>
      <w:szCs w:val="24"/>
    </w:rPr>
  </w:style>
  <w:style w:type="paragraph" w:customStyle="1" w:styleId="127">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8">
    <w:name w:val=" Char2 Char Char Char Char Char Char"/>
    <w:basedOn w:val="1"/>
    <w:qFormat/>
    <w:uiPriority w:val="0"/>
    <w:rPr>
      <w:rFonts w:ascii="仿宋_GB2312"/>
      <w:b/>
      <w:sz w:val="30"/>
    </w:rPr>
  </w:style>
  <w:style w:type="paragraph" w:customStyle="1" w:styleId="129">
    <w:name w:val="_Style 128"/>
    <w:qFormat/>
    <w:uiPriority w:val="0"/>
    <w:rPr>
      <w:rFonts w:ascii="Times New Roman" w:hAnsi="Times New Roman" w:eastAsia="宋体" w:cs="Times New Roman"/>
      <w:kern w:val="2"/>
      <w:sz w:val="21"/>
      <w:lang w:val="en-US" w:eastAsia="zh-CN" w:bidi="ar-SA"/>
    </w:rPr>
  </w:style>
  <w:style w:type="paragraph" w:customStyle="1" w:styleId="130">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1">
    <w:name w:val="正文 + 三号"/>
    <w:basedOn w:val="1"/>
    <w:qFormat/>
    <w:uiPriority w:val="0"/>
    <w:rPr>
      <w:sz w:val="21"/>
    </w:rPr>
  </w:style>
  <w:style w:type="paragraph" w:customStyle="1" w:styleId="132">
    <w:name w:val="样式 首行缩进:  0.74 厘米"/>
    <w:basedOn w:val="1"/>
    <w:qFormat/>
    <w:uiPriority w:val="0"/>
    <w:pPr>
      <w:spacing w:line="360" w:lineRule="auto"/>
      <w:ind w:firstLine="420"/>
    </w:pPr>
    <w:rPr>
      <w:sz w:val="24"/>
    </w:rPr>
  </w:style>
  <w:style w:type="paragraph" w:customStyle="1" w:styleId="133">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4">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5">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6">
    <w:name w:val="Table Contents"/>
    <w:basedOn w:val="2"/>
    <w:qFormat/>
    <w:uiPriority w:val="0"/>
    <w:pPr>
      <w:suppressAutoHyphens/>
      <w:jc w:val="left"/>
    </w:pPr>
    <w:rPr>
      <w:rFonts w:ascii="Times New Roman" w:eastAsia="Times New Roman"/>
      <w:kern w:val="0"/>
      <w:sz w:val="24"/>
    </w:rPr>
  </w:style>
  <w:style w:type="paragraph" w:customStyle="1" w:styleId="137">
    <w:name w:val="表格文本"/>
    <w:qFormat/>
    <w:uiPriority w:val="0"/>
    <w:pPr>
      <w:tabs>
        <w:tab w:val="decimal" w:pos="0"/>
      </w:tabs>
    </w:pPr>
    <w:rPr>
      <w:rFonts w:ascii="Arial" w:hAnsi="Arial" w:eastAsia="宋体" w:cs="Times New Roman"/>
      <w:sz w:val="21"/>
      <w:lang w:val="en-US" w:eastAsia="zh-CN" w:bidi="ar-SA"/>
    </w:rPr>
  </w:style>
  <w:style w:type="paragraph" w:customStyle="1" w:styleId="138">
    <w:name w:val=" Char Char Char Char Char Char Char"/>
    <w:basedOn w:val="1"/>
    <w:qFormat/>
    <w:uiPriority w:val="0"/>
    <w:rPr>
      <w:rFonts w:ascii="Tahoma" w:hAnsi="Tahoma"/>
      <w:sz w:val="24"/>
    </w:rPr>
  </w:style>
  <w:style w:type="paragraph" w:customStyle="1" w:styleId="139">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0">
    <w:name w:val="内容标题"/>
    <w:basedOn w:val="18"/>
    <w:qFormat/>
    <w:uiPriority w:val="0"/>
    <w:rPr>
      <w:rFonts w:ascii="Tahoma" w:hAnsi="Tahoma"/>
      <w:sz w:val="24"/>
    </w:rPr>
  </w:style>
  <w:style w:type="paragraph" w:customStyle="1" w:styleId="141">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2">
    <w:name w:val="1"/>
    <w:basedOn w:val="1"/>
    <w:next w:val="30"/>
    <w:qFormat/>
    <w:uiPriority w:val="0"/>
    <w:rPr>
      <w:rFonts w:ascii="宋体" w:hAnsi="Courier New"/>
      <w:sz w:val="21"/>
    </w:rPr>
  </w:style>
  <w:style w:type="paragraph" w:customStyle="1" w:styleId="143">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4">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5">
    <w:name w:val="Char Char Char Char Char Char Char"/>
    <w:basedOn w:val="18"/>
    <w:qFormat/>
    <w:uiPriority w:val="0"/>
    <w:rPr>
      <w:rFonts w:ascii="宋体" w:hAnsi="Tahoma"/>
    </w:rPr>
  </w:style>
  <w:style w:type="paragraph" w:customStyle="1" w:styleId="146">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8">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49">
    <w:name w:val="样式 行距: 1.5 倍行距1"/>
    <w:basedOn w:val="1"/>
    <w:qFormat/>
    <w:uiPriority w:val="0"/>
    <w:pPr>
      <w:snapToGrid w:val="0"/>
    </w:pPr>
    <w:rPr>
      <w:sz w:val="21"/>
    </w:rPr>
  </w:style>
  <w:style w:type="paragraph" w:customStyle="1" w:styleId="150">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1">
    <w:name w:val="00"/>
    <w:basedOn w:val="1"/>
    <w:qFormat/>
    <w:uiPriority w:val="0"/>
    <w:pPr>
      <w:autoSpaceDE w:val="0"/>
      <w:autoSpaceDN w:val="0"/>
      <w:adjustRightInd w:val="0"/>
      <w:jc w:val="left"/>
    </w:pPr>
    <w:rPr>
      <w:rFonts w:ascii="黑体" w:eastAsia="黑体"/>
      <w:b/>
      <w:kern w:val="0"/>
      <w:sz w:val="20"/>
    </w:rPr>
  </w:style>
  <w:style w:type="paragraph" w:customStyle="1" w:styleId="152">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3">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5">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6">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7">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8">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59">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1">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2">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Body text|1"/>
    <w:basedOn w:val="1"/>
    <w:qFormat/>
    <w:uiPriority w:val="0"/>
    <w:pPr>
      <w:widowControl w:val="0"/>
      <w:spacing w:after="40" w:line="468" w:lineRule="auto"/>
      <w:ind w:firstLine="60"/>
    </w:pPr>
    <w:rPr>
      <w:rFonts w:ascii="MingLiU" w:hAnsi="MingLiU" w:eastAsia="MingLiU" w:cs="MingLiU"/>
      <w:sz w:val="20"/>
      <w:szCs w:val="2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25</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2023-09-08T02:12:34Z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