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8"/>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9"/>
        <w:rPr>
          <w:rFonts w:hint="eastAsia" w:ascii="方正黑体_GBK" w:hAnsi="宋体" w:eastAsia="方正黑体_GBK" w:cs="Times New Roman"/>
          <w:b w:val="0"/>
          <w:kern w:val="2"/>
          <w:sz w:val="44"/>
          <w:szCs w:val="44"/>
          <w:lang w:val="en-US" w:eastAsia="zh-CN" w:bidi="ar-SA"/>
        </w:rPr>
      </w:pPr>
    </w:p>
    <w:p>
      <w:pPr>
        <w:pStyle w:val="69"/>
        <w:rPr>
          <w:rFonts w:hint="eastAsia" w:ascii="方正黑体_GBK" w:hAnsi="宋体" w:eastAsia="方正黑体_GBK" w:cs="Times New Roman"/>
          <w:b w:val="0"/>
          <w:kern w:val="2"/>
          <w:sz w:val="44"/>
          <w:szCs w:val="44"/>
          <w:lang w:val="en-US" w:eastAsia="zh-CN" w:bidi="ar-SA"/>
        </w:rPr>
      </w:pPr>
    </w:p>
    <w:p>
      <w:pPr>
        <w:spacing w:line="360" w:lineRule="auto"/>
        <w:ind w:firstLine="1440" w:firstLineChars="4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YHQ230578</w:t>
      </w:r>
    </w:p>
    <w:p>
      <w:pPr>
        <w:spacing w:line="360" w:lineRule="auto"/>
        <w:ind w:firstLine="1440" w:firstLineChars="4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两江院区餐饮中心三楼水吧招租</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12</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_Toc5540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_Toc5540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_Toc20167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_Toc20167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_Toc27279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_Toc27279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_Toc20500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_Toc20500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_Toc2459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_Toc2459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_Toc8368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_Toc8368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_Toc19109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_Toc19109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8"/>
        <w:tabs>
          <w:tab w:val="right" w:leader="dot" w:pos="9412"/>
        </w:tabs>
        <w:rPr>
          <w:sz w:val="24"/>
          <w:szCs w:val="24"/>
        </w:rPr>
      </w:pP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_Toc4247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w:t>
      </w:r>
      <w:r>
        <w:rPr>
          <w:rFonts w:hint="eastAsia" w:ascii="方正仿宋_GBK" w:eastAsia="方正仿宋_GBK" w:cs="Times New Roman"/>
          <w:kern w:val="2"/>
          <w:sz w:val="24"/>
          <w:szCs w:val="24"/>
          <w:lang w:val="en-US" w:eastAsia="zh-CN" w:bidi="ar-SA"/>
        </w:rPr>
        <w:t>租赁</w:t>
      </w:r>
      <w:r>
        <w:rPr>
          <w:rFonts w:hint="eastAsia" w:ascii="方正仿宋_GBK" w:hAnsi="Times New Roman" w:eastAsia="方正仿宋_GBK" w:cs="Times New Roman"/>
          <w:kern w:val="2"/>
          <w:sz w:val="24"/>
          <w:szCs w:val="24"/>
          <w:lang w:val="en-US" w:eastAsia="zh-CN" w:bidi="ar-SA"/>
        </w:rPr>
        <w:t>需求</w:t>
      </w:r>
      <w:r>
        <w:rPr>
          <w:sz w:val="24"/>
          <w:szCs w:val="24"/>
        </w:rPr>
        <w:tab/>
      </w:r>
      <w:r>
        <w:rPr>
          <w:sz w:val="24"/>
          <w:szCs w:val="24"/>
        </w:rPr>
        <w:fldChar w:fldCharType="begin"/>
      </w:r>
      <w:r>
        <w:rPr>
          <w:sz w:val="24"/>
          <w:szCs w:val="24"/>
        </w:rPr>
        <w:instrText xml:space="preserve"> PAGEREF _Toc4247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_Toc4069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_Toc4069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_Toc12791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公开比选采购</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_Toc12791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_Toc21007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_Toc21007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二、报价方式</w:t>
      </w:r>
      <w:r>
        <w:rPr>
          <w:sz w:val="24"/>
          <w:szCs w:val="24"/>
        </w:rPr>
        <w:tab/>
      </w:r>
      <w:r>
        <w:rPr>
          <w:sz w:val="24"/>
          <w:szCs w:val="24"/>
        </w:rPr>
        <w:fldChar w:fldCharType="begin"/>
      </w:r>
      <w:r>
        <w:rPr>
          <w:sz w:val="24"/>
          <w:szCs w:val="24"/>
        </w:rPr>
        <w:instrText xml:space="preserve"> PAGEREF _Toc4495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_Toc27607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三、评标方法</w:t>
      </w:r>
      <w:r>
        <w:rPr>
          <w:sz w:val="24"/>
          <w:szCs w:val="24"/>
        </w:rPr>
        <w:tab/>
      </w:r>
      <w:r>
        <w:rPr>
          <w:sz w:val="24"/>
          <w:szCs w:val="24"/>
        </w:rPr>
        <w:fldChar w:fldCharType="begin"/>
      </w:r>
      <w:r>
        <w:rPr>
          <w:sz w:val="24"/>
          <w:szCs w:val="24"/>
        </w:rPr>
        <w:instrText xml:space="preserve"> PAGEREF _Toc27607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_Toc5973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四、评审标准</w:t>
      </w:r>
      <w:r>
        <w:rPr>
          <w:sz w:val="24"/>
          <w:szCs w:val="24"/>
        </w:rPr>
        <w:tab/>
      </w:r>
      <w:r>
        <w:rPr>
          <w:sz w:val="24"/>
          <w:szCs w:val="24"/>
        </w:rPr>
        <w:fldChar w:fldCharType="begin"/>
      </w:r>
      <w:r>
        <w:rPr>
          <w:sz w:val="24"/>
          <w:szCs w:val="24"/>
        </w:rPr>
        <w:instrText xml:space="preserve"> PAGEREF _Toc5973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_Toc19015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_Toc19015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_Toc13342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废标条款</w:t>
      </w:r>
      <w:r>
        <w:rPr>
          <w:sz w:val="24"/>
          <w:szCs w:val="24"/>
        </w:rPr>
        <w:tab/>
      </w:r>
      <w:r>
        <w:rPr>
          <w:sz w:val="24"/>
          <w:szCs w:val="24"/>
        </w:rPr>
        <w:fldChar w:fldCharType="begin"/>
      </w:r>
      <w:r>
        <w:rPr>
          <w:sz w:val="24"/>
          <w:szCs w:val="24"/>
        </w:rPr>
        <w:instrText xml:space="preserve"> PAGEREF _Toc13342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_Toc17861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_Toc17861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_Toc23995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_Toc23995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_Toc16325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_Toc16325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_Toc10711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_Toc10711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_Toc20801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_Toc20801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_Toc10130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_Toc10130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_Toc1699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_Toc1699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_Toc11343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_Toc11343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_Toc30685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_Toc30685 \h </w:instrText>
      </w:r>
      <w:r>
        <w:rPr>
          <w:sz w:val="24"/>
          <w:szCs w:val="24"/>
        </w:rPr>
        <w:fldChar w:fldCharType="separate"/>
      </w:r>
      <w:r>
        <w:rPr>
          <w:sz w:val="24"/>
          <w:szCs w:val="24"/>
        </w:rPr>
        <w:t>- 16 -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_Toc4080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_Toc4080 \h </w:instrText>
      </w:r>
      <w:r>
        <w:rPr>
          <w:sz w:val="24"/>
          <w:szCs w:val="24"/>
        </w:rPr>
        <w:fldChar w:fldCharType="separate"/>
      </w:r>
      <w:r>
        <w:rPr>
          <w:sz w:val="24"/>
          <w:szCs w:val="24"/>
        </w:rPr>
        <w:t>- 18 -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_Toc1588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_Toc1588 \h </w:instrText>
      </w:r>
      <w:r>
        <w:rPr>
          <w:sz w:val="24"/>
          <w:szCs w:val="24"/>
        </w:rPr>
        <w:fldChar w:fldCharType="separate"/>
      </w:r>
      <w:r>
        <w:rPr>
          <w:sz w:val="24"/>
          <w:szCs w:val="24"/>
        </w:rPr>
        <w:t>- 21 -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_Toc7138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_Toc7138 \h </w:instrText>
      </w:r>
      <w:r>
        <w:rPr>
          <w:sz w:val="24"/>
          <w:szCs w:val="24"/>
        </w:rPr>
        <w:fldChar w:fldCharType="separate"/>
      </w:r>
      <w:r>
        <w:rPr>
          <w:sz w:val="24"/>
          <w:szCs w:val="24"/>
        </w:rPr>
        <w:t>- 23 -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_Toc5526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_Toc5526 \h </w:instrText>
      </w:r>
      <w:r>
        <w:rPr>
          <w:sz w:val="24"/>
          <w:szCs w:val="24"/>
        </w:rPr>
        <w:fldChar w:fldCharType="separate"/>
      </w:r>
      <w:r>
        <w:rPr>
          <w:sz w:val="24"/>
          <w:szCs w:val="24"/>
        </w:rPr>
        <w:t>- 25 -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_Toc19376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_Toc19376 \h </w:instrText>
      </w:r>
      <w:r>
        <w:rPr>
          <w:sz w:val="24"/>
          <w:szCs w:val="24"/>
        </w:rPr>
        <w:fldChar w:fldCharType="separate"/>
      </w:r>
      <w:r>
        <w:rPr>
          <w:sz w:val="24"/>
          <w:szCs w:val="24"/>
        </w:rPr>
        <w:t>- 31 -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5"/>
        <w:spacing w:before="200" w:after="200" w:line="240" w:lineRule="auto"/>
        <w:jc w:val="center"/>
        <w:rPr>
          <w:rFonts w:hint="eastAsia" w:ascii="方正仿宋_GBK" w:hAnsi="Times New Roman" w:eastAsia="方正仿宋_GBK" w:cs="Times New Roman"/>
          <w:b/>
          <w:sz w:val="44"/>
          <w:szCs w:val="20"/>
        </w:rPr>
      </w:pPr>
      <w:bookmarkStart w:id="0" w:name="_Toc24037"/>
      <w:bookmarkStart w:id="1" w:name="_Toc5540"/>
      <w:bookmarkStart w:id="2" w:name="_Toc11641050"/>
      <w:bookmarkStart w:id="3" w:name="_Toc12789052"/>
      <w:bookmarkStart w:id="4" w:name="_Toc76462316"/>
      <w:bookmarkStart w:id="5" w:name="_Toc106030870"/>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bookmarkStart w:id="6" w:name="_Toc76462318"/>
      <w:bookmarkStart w:id="7" w:name="_Toc9755"/>
      <w:bookmarkStart w:id="8" w:name="_Toc106030872"/>
      <w:bookmarkStart w:id="9" w:name="_Toc27279"/>
      <w:bookmarkStart w:id="10" w:name="_Toc373860293"/>
      <w:bookmarkStart w:id="11" w:name="_Toc317775178"/>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两江院区餐饮中心三楼水吧招租</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5"/>
        <w:adjustRightInd w:val="0"/>
        <w:snapToGrid w:val="0"/>
        <w:spacing w:before="0" w:after="0" w:line="400" w:lineRule="exact"/>
        <w:ind w:firstLine="480" w:firstLineChars="200"/>
        <w:rPr>
          <w:rFonts w:ascii="方正仿宋_GBK" w:hAnsi="宋体" w:eastAsia="方正仿宋_GBK"/>
          <w:sz w:val="24"/>
        </w:rPr>
      </w:pPr>
      <w:bookmarkStart w:id="12" w:name="_Toc76462317"/>
      <w:bookmarkStart w:id="13" w:name="_Toc3856"/>
      <w:bookmarkStart w:id="14" w:name="_Toc106030871"/>
      <w:bookmarkStart w:id="15" w:name="_Toc4292"/>
      <w:bookmarkStart w:id="16" w:name="_Toc317775175"/>
      <w:bookmarkStart w:id="17" w:name="_Toc313893526"/>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12"/>
      <w:bookmarkEnd w:id="13"/>
      <w:bookmarkEnd w:id="14"/>
      <w:bookmarkEnd w:id="15"/>
      <w:bookmarkEnd w:id="16"/>
      <w:bookmarkEnd w:id="17"/>
    </w:p>
    <w:tbl>
      <w:tblPr>
        <w:tblStyle w:val="58"/>
        <w:tblW w:w="44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1"/>
        <w:gridCol w:w="3870"/>
        <w:gridCol w:w="1400"/>
        <w:gridCol w:w="2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项目编号</w:t>
            </w:r>
          </w:p>
        </w:tc>
        <w:tc>
          <w:tcPr>
            <w:tcW w:w="216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84"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16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YHQ230578</w:t>
            </w:r>
          </w:p>
        </w:tc>
        <w:tc>
          <w:tcPr>
            <w:tcW w:w="21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r>
              <w:rPr>
                <w:rFonts w:hint="eastAsia" w:ascii="方正仿宋_GBK" w:hAnsi="宋体" w:eastAsia="方正仿宋_GBK"/>
                <w:sz w:val="21"/>
                <w:szCs w:val="21"/>
              </w:rPr>
              <w:t>两江院区餐饮中心三楼水吧招租</w:t>
            </w:r>
          </w:p>
        </w:tc>
        <w:tc>
          <w:tcPr>
            <w:tcW w:w="78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10000</w:t>
            </w:r>
          </w:p>
        </w:tc>
        <w:tc>
          <w:tcPr>
            <w:tcW w:w="11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5"/>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二、</w:t>
      </w:r>
      <w:bookmarkEnd w:id="6"/>
      <w:bookmarkEnd w:id="7"/>
      <w:bookmarkEnd w:id="8"/>
      <w:bookmarkStart w:id="18" w:name="_Toc76462319"/>
      <w:bookmarkStart w:id="19" w:name="_Toc106030873"/>
      <w:bookmarkStart w:id="20" w:name="_Toc4480"/>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9"/>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pacing w:line="400" w:lineRule="exact"/>
        <w:ind w:firstLine="480" w:firstLineChars="200"/>
        <w:rPr>
          <w:rFonts w:hint="default" w:ascii="方正仿宋_GBK" w:hAnsi="宋体" w:eastAsia="方正仿宋_GBK"/>
          <w:sz w:val="24"/>
          <w:szCs w:val="24"/>
          <w:lang w:val="en-US" w:eastAsia="zh-CN"/>
        </w:rPr>
      </w:pPr>
      <w:bookmarkStart w:id="21" w:name="_Toc106030874"/>
      <w:bookmarkStart w:id="22" w:name="_Toc27954"/>
      <w:bookmarkStart w:id="23" w:name="_Toc20500"/>
      <w:bookmarkStart w:id="24" w:name="_Toc76462320"/>
      <w:r>
        <w:rPr>
          <w:rFonts w:hint="eastAsia" w:ascii="方正仿宋_GBK" w:hAnsi="宋体" w:eastAsia="方正仿宋_GBK"/>
          <w:sz w:val="24"/>
          <w:szCs w:val="24"/>
        </w:rPr>
        <w:t>1.投标人需具有拟经营项目的相应资质，食品相关项目经营需有食品经营许可证（响应文件内提供复印件加盖鲜章）。</w:t>
      </w:r>
      <w:r>
        <w:rPr>
          <w:rFonts w:hint="eastAsia" w:ascii="方正仿宋_GBK" w:hAnsi="宋体" w:eastAsia="方正仿宋_GBK"/>
          <w:sz w:val="24"/>
          <w:szCs w:val="24"/>
        </w:rPr>
        <w:br w:type="textWrapping"/>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2.本项目不接受联合体投标。</w:t>
      </w:r>
    </w:p>
    <w:p>
      <w:pPr>
        <w:pStyle w:val="5"/>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0"/>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投标人的电子版响应文件应与现场提交的纸质版响应文件内容一致，如出现两者内容有出入的情况，以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5"/>
        <w:adjustRightInd w:val="0"/>
        <w:snapToGrid w:val="0"/>
        <w:spacing w:before="0" w:after="0" w:line="400" w:lineRule="exact"/>
        <w:ind w:firstLine="480" w:firstLineChars="200"/>
        <w:rPr>
          <w:rFonts w:ascii="方正仿宋_GBK" w:hAnsi="宋体" w:eastAsia="方正仿宋_GBK"/>
          <w:sz w:val="24"/>
        </w:rPr>
      </w:pPr>
      <w:bookmarkStart w:id="25" w:name="_Toc11956"/>
      <w:bookmarkStart w:id="26" w:name="_Toc12841"/>
      <w:bookmarkStart w:id="27" w:name="_Toc106034625"/>
      <w:bookmarkStart w:id="28" w:name="_Toc525047161"/>
      <w:bookmarkStart w:id="29" w:name="_Toc6178"/>
      <w:bookmarkStart w:id="30" w:name="_Toc2459"/>
      <w:bookmarkStart w:id="31" w:name="_Toc65660334"/>
      <w:bookmarkStart w:id="32" w:name="_Toc521053053"/>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w:t>
      </w:r>
      <w:r>
        <w:rPr>
          <w:rFonts w:hint="eastAsia" w:ascii="方正仿宋_GBK" w:hAnsi="宋体" w:eastAsia="方正仿宋_GBK"/>
          <w:color w:val="auto"/>
          <w:sz w:val="24"/>
          <w:szCs w:val="24"/>
        </w:rPr>
        <w:t>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5"/>
        <w:adjustRightInd w:val="0"/>
        <w:snapToGrid w:val="0"/>
        <w:spacing w:before="0" w:after="0" w:line="400" w:lineRule="exact"/>
        <w:ind w:firstLine="480" w:firstLineChars="200"/>
        <w:rPr>
          <w:rFonts w:ascii="方正仿宋_GBK" w:hAnsi="宋体" w:eastAsia="方正仿宋_GBK"/>
          <w:sz w:val="24"/>
        </w:rPr>
      </w:pPr>
      <w:bookmarkStart w:id="33" w:name="_Toc521053054"/>
      <w:bookmarkStart w:id="34" w:name="_Toc525047162"/>
      <w:bookmarkStart w:id="35" w:name="_Toc4355"/>
      <w:bookmarkStart w:id="36" w:name="_Toc65660335"/>
      <w:bookmarkStart w:id="37" w:name="_Toc106034626"/>
      <w:bookmarkStart w:id="38" w:name="_Toc2945"/>
      <w:bookmarkStart w:id="39" w:name="_Toc1546"/>
      <w:bookmarkStart w:id="40" w:name="_Toc8368"/>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16269"/>
      <w:bookmarkStart w:id="42" w:name="_Toc521053055"/>
      <w:bookmarkStart w:id="43" w:name="_Toc106034627"/>
      <w:bookmarkStart w:id="44" w:name="_Toc525047163"/>
      <w:bookmarkStart w:id="45" w:name="_Toc6563"/>
      <w:bookmarkStart w:id="46" w:name="_Toc65660336"/>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5"/>
        <w:adjustRightInd w:val="0"/>
        <w:snapToGrid w:val="0"/>
        <w:spacing w:before="0" w:after="0" w:line="400" w:lineRule="exact"/>
        <w:ind w:firstLine="480" w:firstLineChars="200"/>
        <w:rPr>
          <w:rFonts w:ascii="方正仿宋_GBK" w:hAnsi="宋体" w:eastAsia="方正仿宋_GBK"/>
          <w:sz w:val="24"/>
        </w:rPr>
      </w:pPr>
      <w:bookmarkStart w:id="47" w:name="_Toc525047164"/>
      <w:bookmarkStart w:id="48" w:name="_Toc10415"/>
      <w:bookmarkStart w:id="49" w:name="_Toc24901"/>
      <w:bookmarkStart w:id="50" w:name="_Toc1733"/>
      <w:bookmarkStart w:id="51" w:name="_Toc65660337"/>
      <w:bookmarkStart w:id="52" w:name="_Toc521053056"/>
      <w:bookmarkStart w:id="53" w:name="_Toc106034628"/>
      <w:bookmarkStart w:id="54" w:name="_Toc19109"/>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邮  箱：zbb6363</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469@qq.com</w:t>
      </w:r>
    </w:p>
    <w:bookmarkEnd w:id="11"/>
    <w:p>
      <w:pPr>
        <w:snapToGrid w:val="0"/>
        <w:spacing w:line="400" w:lineRule="exact"/>
        <w:ind w:firstLine="482" w:firstLineChars="200"/>
        <w:rPr>
          <w:rFonts w:hint="eastAsia" w:ascii="宋体" w:hAnsi="宋体"/>
          <w:b/>
          <w:sz w:val="24"/>
          <w:szCs w:val="24"/>
        </w:rPr>
        <w:sectPr>
          <w:pgSz w:w="11907" w:h="16840"/>
          <w:pgMar w:top="1134" w:right="1020" w:bottom="1134" w:left="1020" w:header="964" w:footer="992" w:gutter="0"/>
          <w:pgNumType w:fmt="numberInDash"/>
          <w:cols w:space="720" w:num="1"/>
          <w:docGrid w:linePitch="312" w:charSpace="0"/>
        </w:sectPr>
      </w:pPr>
    </w:p>
    <w:p>
      <w:pPr>
        <w:pStyle w:val="4"/>
        <w:tabs>
          <w:tab w:val="left" w:pos="3360"/>
        </w:tabs>
        <w:spacing w:before="0" w:beforeLines="0" w:after="0" w:afterLines="0" w:line="240" w:lineRule="auto"/>
        <w:jc w:val="center"/>
        <w:rPr>
          <w:rFonts w:hint="eastAsia" w:ascii="方正仿宋_GBK" w:hAnsi="Times New Roman" w:eastAsia="方正仿宋_GBK" w:cs="Times New Roman"/>
          <w:b/>
          <w:kern w:val="2"/>
          <w:sz w:val="44"/>
          <w:szCs w:val="20"/>
          <w:lang w:val="en-US" w:eastAsia="zh-CN" w:bidi="ar-SA"/>
        </w:rPr>
      </w:pPr>
      <w:bookmarkStart w:id="55" w:name="_Toc725"/>
      <w:bookmarkStart w:id="56" w:name="_Toc2422"/>
      <w:bookmarkStart w:id="57" w:name="_Toc5461"/>
      <w:bookmarkStart w:id="58" w:name="_Toc12959"/>
      <w:bookmarkStart w:id="59" w:name="_Toc19886"/>
      <w:bookmarkStart w:id="60" w:name="_Toc23143"/>
      <w:bookmarkStart w:id="61" w:name="_Toc8649"/>
      <w:bookmarkStart w:id="62" w:name="_Toc26176"/>
      <w:bookmarkStart w:id="63" w:name="_Toc11017"/>
      <w:bookmarkStart w:id="64" w:name="_Toc2070"/>
      <w:bookmarkStart w:id="65" w:name="_Toc32686"/>
      <w:bookmarkStart w:id="66" w:name="_Toc75793504"/>
      <w:bookmarkStart w:id="67" w:name="_Toc25639"/>
      <w:bookmarkStart w:id="68" w:name="_Toc1492"/>
      <w:bookmarkStart w:id="69" w:name="_Toc1625"/>
      <w:bookmarkStart w:id="70" w:name="_Toc106030380"/>
      <w:bookmarkStart w:id="71" w:name="_Toc4247"/>
      <w:bookmarkStart w:id="72" w:name="_Toc12789058"/>
      <w:r>
        <w:rPr>
          <w:rFonts w:hint="eastAsia" w:ascii="方正仿宋_GBK" w:hAnsi="Times New Roman" w:eastAsia="方正仿宋_GBK" w:cs="Times New Roman"/>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方正仿宋_GBK" w:hAnsi="Times New Roman" w:eastAsia="方正仿宋_GBK" w:cs="Times New Roman"/>
          <w:b/>
          <w:kern w:val="2"/>
          <w:sz w:val="44"/>
          <w:szCs w:val="20"/>
          <w:lang w:val="en-US" w:eastAsia="zh-CN" w:bidi="ar-SA"/>
        </w:rPr>
        <w:t>项目</w:t>
      </w:r>
      <w:r>
        <w:rPr>
          <w:rFonts w:hint="eastAsia" w:ascii="方正仿宋_GBK" w:eastAsia="方正仿宋_GBK" w:cs="Times New Roman"/>
          <w:b/>
          <w:kern w:val="2"/>
          <w:sz w:val="44"/>
          <w:szCs w:val="20"/>
          <w:lang w:val="en-US" w:eastAsia="zh-CN" w:bidi="ar-SA"/>
        </w:rPr>
        <w:t>租赁</w:t>
      </w:r>
      <w:r>
        <w:rPr>
          <w:rFonts w:hint="eastAsia" w:ascii="方正仿宋_GBK" w:hAnsi="Times New Roman" w:eastAsia="方正仿宋_GBK" w:cs="Times New Roman"/>
          <w:b/>
          <w:kern w:val="2"/>
          <w:sz w:val="44"/>
          <w:szCs w:val="20"/>
          <w:lang w:val="en-US" w:eastAsia="zh-CN" w:bidi="ar-SA"/>
        </w:rPr>
        <w:t>需求</w:t>
      </w:r>
      <w:bookmarkEnd w:id="70"/>
      <w:bookmarkEnd w:id="71"/>
    </w:p>
    <w:p>
      <w:pPr>
        <w:pStyle w:val="5"/>
        <w:adjustRightInd w:val="0"/>
        <w:snapToGrid w:val="0"/>
        <w:spacing w:before="0" w:after="0" w:line="240" w:lineRule="auto"/>
        <w:ind w:firstLine="480" w:firstLineChars="200"/>
        <w:rPr>
          <w:rFonts w:hint="eastAsia" w:ascii="方正仿宋_GBK" w:hAnsi="宋体" w:eastAsia="方正仿宋_GBK"/>
          <w:sz w:val="24"/>
        </w:rPr>
      </w:pPr>
      <w:bookmarkStart w:id="73" w:name="_Toc18470"/>
      <w:bookmarkStart w:id="74" w:name="_Toc76462325"/>
      <w:bookmarkStart w:id="75" w:name="_Toc106030879"/>
      <w:bookmarkStart w:id="76" w:name="_Toc3016"/>
      <w:bookmarkStart w:id="77" w:name="_Toc7791"/>
      <w:bookmarkStart w:id="78" w:name="_Toc106030882"/>
      <w:bookmarkStart w:id="79" w:name="_Toc76462327"/>
      <w:r>
        <w:rPr>
          <w:rFonts w:hint="eastAsia" w:ascii="方正仿宋_GBK" w:hAnsi="宋体" w:eastAsia="方正仿宋_GBK"/>
          <w:sz w:val="24"/>
        </w:rPr>
        <w:t>一、项目基本概况介绍</w:t>
      </w:r>
      <w:bookmarkEnd w:id="73"/>
      <w:bookmarkEnd w:id="74"/>
      <w:bookmarkEnd w:id="75"/>
      <w:bookmarkEnd w:id="76"/>
    </w:p>
    <w:tbl>
      <w:tblPr>
        <w:tblStyle w:val="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42"/>
        <w:gridCol w:w="2362"/>
        <w:gridCol w:w="2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23"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bookmarkStart w:id="80" w:name="_Toc106030880"/>
            <w:bookmarkStart w:id="81" w:name="_Toc12384"/>
            <w:bookmarkStart w:id="82" w:name="_Toc11738"/>
            <w:r>
              <w:rPr>
                <w:rFonts w:hint="eastAsia" w:ascii="方正仿宋_GBK" w:hAnsi="宋体" w:eastAsia="方正仿宋_GBK"/>
                <w:sz w:val="24"/>
                <w:szCs w:val="24"/>
              </w:rPr>
              <w:t>项目名称</w:t>
            </w:r>
          </w:p>
        </w:tc>
        <w:tc>
          <w:tcPr>
            <w:tcW w:w="1135"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租赁期限</w:t>
            </w:r>
          </w:p>
        </w:tc>
        <w:tc>
          <w:tcPr>
            <w:tcW w:w="1440"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3"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微软雅黑" w:hAnsi="微软雅黑" w:eastAsia="微软雅黑" w:cs="微软雅黑"/>
                <w:b w:val="0"/>
                <w:bCs/>
                <w:sz w:val="24"/>
                <w:szCs w:val="24"/>
              </w:rPr>
              <w:t>两江院区餐饮中心三楼水吧招租</w:t>
            </w:r>
          </w:p>
        </w:tc>
        <w:tc>
          <w:tcPr>
            <w:tcW w:w="1135"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3年</w:t>
            </w:r>
          </w:p>
        </w:tc>
        <w:tc>
          <w:tcPr>
            <w:tcW w:w="1440"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面积19平方米</w:t>
            </w:r>
          </w:p>
        </w:tc>
      </w:tr>
    </w:tbl>
    <w:p>
      <w:pPr>
        <w:pStyle w:val="5"/>
        <w:adjustRightInd w:val="0"/>
        <w:snapToGrid w:val="0"/>
        <w:spacing w:before="0" w:after="0" w:line="400" w:lineRule="exact"/>
        <w:ind w:firstLine="480" w:firstLineChars="200"/>
        <w:rPr>
          <w:rFonts w:hint="default" w:ascii="方正仿宋_GBK" w:hAnsi="宋体" w:eastAsia="方正仿宋_GBK"/>
          <w:sz w:val="24"/>
          <w:lang w:val="en-US"/>
        </w:rPr>
      </w:pPr>
      <w:r>
        <w:rPr>
          <w:rFonts w:hint="eastAsia" w:ascii="方正仿宋_GBK" w:hAnsi="宋体" w:eastAsia="方正仿宋_GBK"/>
          <w:sz w:val="24"/>
        </w:rPr>
        <w:t>二、</w:t>
      </w:r>
      <w:r>
        <w:rPr>
          <w:rFonts w:hint="eastAsia" w:ascii="方正仿宋_GBK" w:hAnsi="宋体" w:eastAsia="方正仿宋_GBK"/>
          <w:sz w:val="24"/>
          <w:lang w:val="en-US" w:eastAsia="zh-CN"/>
        </w:rPr>
        <w:t>项目内容</w:t>
      </w:r>
      <w:bookmarkEnd w:id="80"/>
      <w:bookmarkEnd w:id="81"/>
      <w:bookmarkEnd w:id="82"/>
      <w:r>
        <w:rPr>
          <w:rFonts w:hint="eastAsia" w:ascii="方正仿宋_GBK" w:hAnsi="宋体" w:eastAsia="方正仿宋_GBK"/>
          <w:sz w:val="24"/>
          <w:lang w:val="en-US" w:eastAsia="zh-CN"/>
        </w:rPr>
        <w:t>及要求</w:t>
      </w:r>
    </w:p>
    <w:p>
      <w:pPr>
        <w:snapToGrid w:val="0"/>
        <w:spacing w:line="400" w:lineRule="exact"/>
        <w:ind w:firstLine="480" w:firstLineChars="200"/>
        <w:rPr>
          <w:rFonts w:hint="eastAsia" w:ascii="方正仿宋_GBK" w:hAnsi="宋体" w:eastAsia="方正仿宋_GBK" w:cs="Times New Roman"/>
          <w:sz w:val="24"/>
          <w:szCs w:val="24"/>
          <w:lang w:val="en-US" w:eastAsia="zh-CN"/>
        </w:rPr>
      </w:pPr>
      <w:bookmarkStart w:id="83" w:name="_Toc313536013"/>
      <w:bookmarkStart w:id="84" w:name="_Toc344475116"/>
      <w:bookmarkStart w:id="85" w:name="_Toc76462326"/>
      <w:bookmarkStart w:id="86" w:name="_Toc106030881"/>
      <w:bookmarkStart w:id="87" w:name="_Toc27812"/>
      <w:bookmarkStart w:id="88" w:name="_Toc931"/>
      <w:r>
        <w:rPr>
          <w:rFonts w:hint="eastAsia" w:ascii="方正仿宋_GBK" w:hAnsi="宋体" w:eastAsia="方正仿宋_GBK" w:cs="Times New Roman"/>
          <w:sz w:val="24"/>
          <w:szCs w:val="24"/>
          <w:lang w:val="en-US" w:eastAsia="zh-CN"/>
        </w:rPr>
        <w:t>（一）项目位置：两江院区餐饮中心三楼，约19㎡。</w:t>
      </w:r>
    </w:p>
    <w:bookmarkEnd w:id="83"/>
    <w:bookmarkEnd w:id="84"/>
    <w:bookmarkEnd w:id="85"/>
    <w:bookmarkEnd w:id="86"/>
    <w:bookmarkEnd w:id="87"/>
    <w:p>
      <w:pPr>
        <w:pStyle w:val="5"/>
        <w:adjustRightInd w:val="0"/>
        <w:snapToGrid w:val="0"/>
        <w:spacing w:before="0" w:after="0" w:line="400" w:lineRule="exact"/>
        <w:ind w:firstLine="480" w:firstLineChars="200"/>
        <w:rPr>
          <w:rFonts w:hint="default" w:ascii="方正仿宋_GBK" w:hAnsi="宋体" w:eastAsia="方正仿宋_GBK"/>
          <w:sz w:val="24"/>
          <w:lang w:val="en-US"/>
        </w:rPr>
      </w:pPr>
      <w:r>
        <w:rPr>
          <w:rFonts w:hint="eastAsia" w:ascii="方正仿宋_GBK" w:hAnsi="宋体" w:eastAsia="方正仿宋_GBK"/>
          <w:b w:val="0"/>
          <w:bCs/>
          <w:sz w:val="24"/>
          <w:lang w:val="en-US" w:eastAsia="zh-CN"/>
        </w:rPr>
        <w:t>（二）项目要求</w:t>
      </w:r>
      <w:bookmarkEnd w:id="88"/>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1.投</w:t>
      </w:r>
      <w:r>
        <w:rPr>
          <w:rFonts w:hint="eastAsia" w:ascii="方正仿宋_GBK" w:hAnsi="宋体" w:eastAsia="方正仿宋_GBK"/>
          <w:sz w:val="24"/>
          <w:szCs w:val="24"/>
        </w:rPr>
        <w:t>标人</w:t>
      </w:r>
      <w:r>
        <w:rPr>
          <w:rFonts w:hint="eastAsia" w:ascii="方正仿宋_GBK" w:hAnsi="宋体" w:eastAsia="方正仿宋_GBK"/>
          <w:sz w:val="24"/>
          <w:szCs w:val="24"/>
          <w:lang w:val="en-US" w:eastAsia="zh-CN"/>
        </w:rPr>
        <w:t>可经营相同品牌连锁店经营的同类产品。投</w:t>
      </w:r>
      <w:r>
        <w:rPr>
          <w:rFonts w:hint="eastAsia" w:ascii="方正仿宋_GBK" w:hAnsi="宋体" w:eastAsia="方正仿宋_GBK" w:cs="Times New Roman"/>
          <w:sz w:val="24"/>
          <w:szCs w:val="24"/>
          <w:lang w:val="en-US" w:eastAsia="zh-CN"/>
        </w:rPr>
        <w:t>标人不得经营以下商品：婴幼儿配方奶粉以及特殊医学用途的配方粉；与医疗活动相关的食品、保健品；任何类别的医疗器械及耗材。</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投标人规范经营，遵守相关的法律法规，遵守合同约定的经营范围及相关约定，服从采购人管理，并制订相应的内部管理制度，严禁出现任何破坏采购人工作秩序的行为。投标人须在经营场所醒目位置公示营业执照、食品经营许可证等相关证件。投标人在合同期内，若不能严格按照国家、市、区的食品行业标准和医院与投标人签订的合同执行，超范围经营或被病人投诉或造成医院负面影响较大的，采购人有权单方面终止合同并取消其服务资格，由此产生的一切后果由投标人负责。</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投标人负责经营范围的安全卫生，涉及食品安全的经营者在签订合同时还须与采购人签订食品安全卫生责任书。采购人严格执行事故责任追究制度，如在经营管理期内因出售或租赁的任何产品出现质量问题，或出现未有严格按照相关法律法规执行的情况，发生食物中毒等重大安全责任事故，损害人员身体健康，影响采购人声誉，投标人必须承担由此造成的一切责任和经济损失，采购人有权无条件终止该项目合同，并没收管理费和保证金，并依法追究其相应法律责任。</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投标人的员工与采购人不存在任何雇佣、委托等劳动关系，同时在工作过程中的安全责任由投标人负责。如用电、用水等不注意安全引起生产事故，或发生意外伤亡事故，投标人承担包括第三方在内的全部责任和必要的经济补偿，采购人概不承担任何责任。</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5.投标人必须严格履行经营管理合同要求，不得在中标后转包或分包给他人经营，如经发现，合同立即终止，并没收履约保证金。</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6.投标人所有在本次服务场所内的工作人员都必须办理符合规定的健康证、佩戴胸牌，着公司统一服装。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7.投标人可自行对门店装修，装修方案、门店招牌等需报采购人同意，费用自理且满足消防要求并通过其验收。投标人在签订合同后有一个月的装修期，装修期免缴租金，经营期间水电气据实结算，物业费9元/平米。</w:t>
      </w:r>
    </w:p>
    <w:p>
      <w:pPr>
        <w:spacing w:line="400" w:lineRule="exact"/>
        <w:ind w:firstLine="480" w:firstLineChars="200"/>
        <w:outlineLvl w:val="2"/>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8.</w:t>
      </w:r>
      <w:r>
        <w:rPr>
          <w:rFonts w:hint="eastAsia" w:ascii="方正仿宋_GBK" w:hAnsi="宋体" w:eastAsia="方正仿宋_GBK"/>
          <w:sz w:val="24"/>
          <w:szCs w:val="24"/>
          <w:lang w:val="en-US" w:eastAsia="zh-CN"/>
        </w:rPr>
        <w:t>租金和物业费缴纳方式为先缴后用、按季度缴纳，提前10天缴纳下一季度租金和物业费，遇节假日顺延到节后第一个工作日缴纳。投标人安装独立计量的水电表，每季度抄表，按照自来水及供电局收费标准进行计费，抄表后发放缴费通知单，投标人需在收到通知单5个工作日内缴纳水电费。</w:t>
      </w:r>
    </w:p>
    <w:p>
      <w:pPr>
        <w:spacing w:line="400" w:lineRule="exact"/>
        <w:ind w:firstLine="480" w:firstLineChars="200"/>
        <w:outlineLvl w:val="2"/>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9.投标人违反法律、法规及双方确定的服务合同约定，采购人有权终止该项合同。</w:t>
      </w:r>
    </w:p>
    <w:p>
      <w:pPr>
        <w:spacing w:line="400" w:lineRule="exact"/>
        <w:ind w:firstLine="480" w:firstLineChars="200"/>
        <w:outlineLvl w:val="2"/>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10.</w:t>
      </w:r>
      <w:r>
        <w:rPr>
          <w:rFonts w:hint="eastAsia" w:ascii="方正仿宋_GBK" w:hAnsi="宋体" w:eastAsia="方正仿宋_GBK"/>
          <w:sz w:val="24"/>
          <w:szCs w:val="24"/>
        </w:rPr>
        <w:t>投标人可自行进行踏勘，联系电话：后勤管理</w:t>
      </w:r>
      <w:r>
        <w:rPr>
          <w:rFonts w:hint="eastAsia" w:ascii="方正仿宋_GBK" w:hAnsi="宋体" w:eastAsia="方正仿宋_GBK"/>
          <w:sz w:val="24"/>
          <w:szCs w:val="24"/>
          <w:lang w:val="en-US" w:eastAsia="zh-CN"/>
        </w:rPr>
        <w:t>处周老师023-</w:t>
      </w:r>
      <w:r>
        <w:rPr>
          <w:rFonts w:hint="eastAsia" w:ascii="方正仿宋_GBK" w:hAnsi="宋体" w:eastAsia="方正仿宋_GBK"/>
          <w:sz w:val="24"/>
          <w:szCs w:val="24"/>
        </w:rPr>
        <w:t>636</w:t>
      </w:r>
      <w:r>
        <w:rPr>
          <w:rFonts w:hint="eastAsia" w:ascii="方正仿宋_GBK" w:hAnsi="宋体" w:eastAsia="方正仿宋_GBK"/>
          <w:sz w:val="24"/>
          <w:szCs w:val="24"/>
          <w:lang w:val="en-US" w:eastAsia="zh-CN"/>
        </w:rPr>
        <w:t>30262</w:t>
      </w:r>
      <w:r>
        <w:rPr>
          <w:rFonts w:hint="eastAsia" w:ascii="方正仿宋_GBK" w:hAnsi="宋体" w:eastAsia="方正仿宋_GBK"/>
          <w:sz w:val="24"/>
          <w:szCs w:val="24"/>
        </w:rPr>
        <w:t>。</w:t>
      </w:r>
    </w:p>
    <w:p>
      <w:pP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br w:type="page"/>
      </w:r>
    </w:p>
    <w:p>
      <w:pPr>
        <w:pStyle w:val="5"/>
        <w:spacing w:before="200" w:after="200" w:line="240" w:lineRule="auto"/>
        <w:jc w:val="center"/>
        <w:rPr>
          <w:rFonts w:hint="eastAsia" w:ascii="方正仿宋_GBK" w:hAnsi="Times New Roman" w:eastAsia="方正仿宋_GBK" w:cs="Times New Roman"/>
          <w:b/>
          <w:sz w:val="44"/>
          <w:szCs w:val="20"/>
        </w:rPr>
      </w:pPr>
      <w:bookmarkStart w:id="89" w:name="_Toc4069"/>
      <w:r>
        <w:rPr>
          <w:rFonts w:hint="eastAsia" w:ascii="方正仿宋_GBK" w:hAnsi="Times New Roman" w:eastAsia="方正仿宋_GBK" w:cs="Times New Roman"/>
          <w:b/>
          <w:sz w:val="44"/>
          <w:szCs w:val="20"/>
        </w:rPr>
        <w:t xml:space="preserve">第三篇  </w:t>
      </w:r>
      <w:bookmarkEnd w:id="72"/>
      <w:r>
        <w:rPr>
          <w:rFonts w:hint="eastAsia" w:ascii="方正仿宋_GBK" w:hAnsi="Times New Roman" w:eastAsia="方正仿宋_GBK" w:cs="Times New Roman"/>
          <w:b/>
          <w:sz w:val="44"/>
          <w:szCs w:val="20"/>
        </w:rPr>
        <w:t>项目商务需求</w:t>
      </w:r>
      <w:bookmarkEnd w:id="77"/>
      <w:bookmarkEnd w:id="78"/>
      <w:bookmarkEnd w:id="79"/>
      <w:bookmarkEnd w:id="89"/>
    </w:p>
    <w:tbl>
      <w:tblPr>
        <w:tblStyle w:val="58"/>
        <w:tblW w:w="51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4"/>
        <w:gridCol w:w="9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bookmarkStart w:id="90" w:name="_Toc76462332"/>
            <w:bookmarkStart w:id="91" w:name="_Toc6692"/>
            <w:bookmarkStart w:id="92" w:name="_Toc106030887"/>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1"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租赁期限、租赁地点及考核方式</w:t>
            </w:r>
          </w:p>
        </w:tc>
        <w:tc>
          <w:tcPr>
            <w:tcW w:w="4278" w:type="pct"/>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服务期限：自合同签订之日起3年</w:t>
            </w:r>
          </w:p>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租赁地点：重庆医科大学附属儿童医院渝中院区</w:t>
            </w:r>
          </w:p>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s="Times New Roman"/>
                <w:b w:val="0"/>
                <w:bCs w:val="0"/>
                <w:color w:val="auto"/>
                <w:kern w:val="2"/>
                <w:sz w:val="24"/>
                <w:szCs w:val="24"/>
                <w:lang w:val="en-US" w:eastAsia="zh-CN" w:bidi="ar-SA"/>
              </w:rPr>
              <w:t>考核方式：具体详见后附《考核办法》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1"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8"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val="0"/>
                <w:bCs w:val="0"/>
                <w:color w:val="333333"/>
                <w:kern w:val="2"/>
                <w:sz w:val="24"/>
                <w:szCs w:val="24"/>
                <w:lang w:val="en-US" w:eastAsia="zh-CN" w:bidi="ar-SA"/>
              </w:rPr>
              <w:t>该项目为一次性报价，按每月租金报价（可采取阶梯式报价，逐年递增）。</w:t>
            </w:r>
            <w:r>
              <w:rPr>
                <w:rFonts w:hint="eastAsia" w:ascii="方正仿宋_GBK" w:hAnsi="宋体" w:eastAsia="方正仿宋_GBK"/>
                <w:sz w:val="24"/>
                <w:szCs w:val="24"/>
                <w:lang w:eastAsia="zh-CN"/>
              </w:rPr>
              <w:t>因成交</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自身原因造成</w:t>
            </w:r>
            <w:r>
              <w:rPr>
                <w:rFonts w:hint="eastAsia" w:ascii="方正仿宋_GBK" w:hAnsi="宋体" w:eastAsia="方正仿宋_GBK"/>
                <w:sz w:val="24"/>
                <w:szCs w:val="24"/>
                <w:lang w:val="en-US" w:eastAsia="zh-CN"/>
              </w:rPr>
              <w:t>错</w:t>
            </w:r>
            <w:r>
              <w:rPr>
                <w:rFonts w:hint="eastAsia" w:ascii="方正仿宋_GBK" w:hAnsi="宋体" w:eastAsia="方正仿宋_GBK"/>
                <w:sz w:val="24"/>
                <w:szCs w:val="24"/>
              </w:rPr>
              <w:t>报、</w:t>
            </w:r>
            <w:r>
              <w:rPr>
                <w:rFonts w:hint="eastAsia" w:ascii="方正仿宋_GBK" w:hAnsi="宋体" w:eastAsia="方正仿宋_GBK"/>
                <w:sz w:val="24"/>
                <w:szCs w:val="24"/>
                <w:lang w:val="en-US" w:eastAsia="zh-CN"/>
              </w:rPr>
              <w:t>多</w:t>
            </w:r>
            <w:r>
              <w:rPr>
                <w:rFonts w:hint="eastAsia" w:ascii="方正仿宋_GBK" w:hAnsi="宋体" w:eastAsia="方正仿宋_GBK"/>
                <w:sz w:val="24"/>
                <w:szCs w:val="24"/>
              </w:rPr>
              <w:t>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1"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8" w:type="pct"/>
            <w:vAlign w:val="center"/>
          </w:tcPr>
          <w:p>
            <w:pPr>
              <w:pStyle w:val="144"/>
              <w:keepNext w:val="0"/>
              <w:keepLines w:val="0"/>
              <w:suppressLineNumbers w:val="0"/>
              <w:snapToGrid w:val="0"/>
              <w:spacing w:before="0" w:beforeAutospacing="0" w:after="0" w:afterAutospacing="0" w:line="400" w:lineRule="exact"/>
              <w:ind w:left="0" w:right="0"/>
              <w:rPr>
                <w:rFonts w:hint="default"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b w:val="0"/>
                <w:bCs w:val="0"/>
                <w:color w:val="333333"/>
                <w:kern w:val="2"/>
                <w:sz w:val="24"/>
                <w:szCs w:val="24"/>
                <w:lang w:val="en-US" w:eastAsia="zh-CN" w:bidi="ar-SA"/>
              </w:rPr>
              <w:t>成交供应商在经营管理期限内按季度提前支付租金，即先交费后经营的原则，于每季度前至少十个工作日付款。</w:t>
            </w:r>
            <w:bookmarkStart w:id="216" w:name="_GoBack"/>
            <w:bookmarkEnd w:id="2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1"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履约与违约</w:t>
            </w:r>
          </w:p>
        </w:tc>
        <w:tc>
          <w:tcPr>
            <w:tcW w:w="4278" w:type="pct"/>
            <w:vAlign w:val="center"/>
          </w:tcPr>
          <w:p>
            <w:pPr>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（一）成交供应商在签定合同前须缴纳合同总价的5%作为履约保证金到招标人指定账户，否则合同不予签订，视为投标人自动放弃。</w:t>
            </w:r>
          </w:p>
          <w:p>
            <w:pPr>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二）如因成交供应商原因服务期未达合同约定期限的50%，履约保证金不予退还。履约保证金在合同期满，无任何违约和纠纷，将设备设施按合同截止日期清理出场，在招标方验收场地并且解除服务合同后，由投标人提出书面申请后30个工作内无息退还。投标人如有违规，医院有权从保证金中扣除医院及有关人员所受到的经济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1"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8" w:type="pct"/>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keepNext w:val="0"/>
        <w:keepLines w:val="0"/>
        <w:suppressLineNumbers w:val="0"/>
        <w:spacing w:before="0" w:beforeAutospacing="0" w:after="0" w:afterAutospacing="0"/>
        <w:ind w:left="0" w:right="0"/>
        <w:rPr>
          <w:rFonts w:hint="eastAsia" w:ascii="方正仿宋_GBK" w:hAnsi="宋体" w:eastAsia="方正仿宋_GBK" w:cs="Times New Roman"/>
          <w:color w:val="auto"/>
          <w:sz w:val="24"/>
          <w:szCs w:val="24"/>
          <w:lang w:val="en-US" w:eastAsia="zh-CN"/>
        </w:rPr>
      </w:pPr>
    </w:p>
    <w:p>
      <w:pPr>
        <w:keepNext w:val="0"/>
        <w:keepLines w:val="0"/>
        <w:suppressLineNumbers w:val="0"/>
        <w:spacing w:before="0" w:beforeAutospacing="0" w:after="0" w:afterAutospacing="0"/>
        <w:ind w:left="0" w:right="0"/>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附-考核办法</w:t>
      </w:r>
    </w:p>
    <w:p>
      <w:pPr>
        <w:snapToGrid w:val="0"/>
        <w:spacing w:line="400" w:lineRule="exact"/>
        <w:ind w:firstLine="560" w:firstLineChars="200"/>
        <w:jc w:val="center"/>
        <w:rPr>
          <w:rFonts w:hint="eastAsia" w:ascii="方正仿宋_GBK" w:hAnsi="宋体" w:eastAsia="方正仿宋_GBK"/>
          <w:b/>
          <w:bCs/>
          <w:sz w:val="28"/>
          <w:szCs w:val="28"/>
        </w:rPr>
      </w:pPr>
      <w:r>
        <w:rPr>
          <w:rFonts w:hint="eastAsia" w:ascii="方正仿宋_GBK" w:hAnsi="宋体" w:eastAsia="方正仿宋_GBK"/>
          <w:b/>
          <w:bCs/>
          <w:sz w:val="28"/>
          <w:szCs w:val="28"/>
        </w:rPr>
        <w:t>考核办法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承租方利用承租场地进行违法活动的，出租人有权单方解除合同，没收全部履约保证金，并提前收回出租场地。同时承租方应向出租人支付按照当年月租金计算的共计6个月的违约金，并对除违约金以外的实际损失进行赔偿。</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2.在租赁期内，承租方中途确需提前退租的，必须提前3个月以上书面告知出租人，并征得出租人同意。未取得出租人书面同意，承租方擅自提前退租，应向出租人支付按当年月租金计算的共计6个月的违约金。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承租方如逾期支付租金，每逾期一日，应按应付租金、管理费的千分之五向出租人支付滞纳金。承租方超过30日仍没有缴纳应付租金及滞纳金的，出租人有权解除本合同，并没收全部履约保证金，出租人同时追偿承租方所欠费用和承租方按照当年租金总额的20%向出租人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4.承租方如逾期缴纳包括电费、水费、物业管理费等任何费用，产生的所有法律责任由承租方承担。逾期超过三个月，出租人有权解除本合同，并没收全部履约保证金，承租方同时仍有义务支付所欠费用，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5.承租方在履行本合同过程中发生的侵害出租方或第三人人身损害及财产损失的，由承租方承担和负责解决。如承租方违反合同约定或法律规定，造成重大安全事故或给出租方及第三方造成重大经济损失的，出租人有权解除本合同，并没收全部履约保证金，同时承租方按照当年租金总额的20%向出租方支付违约金，并承担民事和刑事责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6.合同履行期间承租方不得将承租屋转租、分租给任何第三方，否则出租人有权解除本合同，并没收全部履约保证金，同时承租方按照当年租金总额的20%向出租方支付违约金。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7.承租方如出现不按规定范围经营的情况，或以任何形式推荐销售不在经营范围内的商品，经有效举报或查实，出租人有权立即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8.承租方如出现超出经营范围面积的情况，发生一次扣罚5000元违约金，并需按照要求进行整改。发生三次及以上，出租人有权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9.承租方在经营过程中，若违反医院管理规定，发生一次扣罚5000元违约金，并按照要求进行整改。发生三次及以上，出租人有权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10. 承租方在经营过程中，若违反消防管理规定（包括但不限于遮挡、损坏、私自拆除消防器材、消防设施设备、消防通道等），在接到整改通知后未在规定时间内按要求完成整改的，发生一次扣罚5000元违约金。发生三次及以上，出租人有权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11.承租方在经营过程中，若受到相关政府行政主管部门警告、处罚、勒令整改的，发生一次扣罚5000元违约金，并按照要求进行整改。发生三次及以上，出租人有权解除本合同，并没收全部履约保证金，同时承租方按照当年租金总额的20%向出租方支付违约金。</w:t>
      </w:r>
    </w:p>
    <w:p>
      <w:pPr>
        <w:rPr>
          <w:rFonts w:hint="eastAsia" w:ascii="方正仿宋_GBK" w:hAnsi="宋体" w:eastAsia="方正仿宋_GBK"/>
          <w:sz w:val="24"/>
          <w:szCs w:val="24"/>
        </w:rPr>
      </w:pPr>
      <w:r>
        <w:rPr>
          <w:rFonts w:hint="eastAsia" w:ascii="方正仿宋_GBK" w:hAnsi="宋体" w:eastAsia="方正仿宋_GBK"/>
          <w:sz w:val="24"/>
          <w:szCs w:val="24"/>
        </w:rPr>
        <w:t>12.承租方如出现上述约定以外的违约违规行为，承租方应当立即更正，如承租方一周内仍未更正，出租人有权解除本合同，并没收全部履约保证金，同时承租方按照当年租金总额的20%向出租方支付违约金。</w:t>
      </w:r>
    </w:p>
    <w:p>
      <w:pPr>
        <w:widowControl w:val="0"/>
        <w:adjustRightInd w:val="0"/>
        <w:snapToGrid w:val="0"/>
        <w:ind w:firstLine="723" w:firstLineChars="200"/>
        <w:jc w:val="center"/>
        <w:rPr>
          <w:rFonts w:hint="eastAsia" w:ascii="宋体" w:hAnsi="宋体" w:cs="宋体"/>
          <w:b/>
          <w:sz w:val="36"/>
          <w:szCs w:val="28"/>
          <w:lang w:val="en-US" w:eastAsia="zh-CN"/>
        </w:rPr>
      </w:pPr>
    </w:p>
    <w:p>
      <w:pPr>
        <w:widowControl w:val="0"/>
        <w:adjustRightInd w:val="0"/>
        <w:snapToGrid w:val="0"/>
        <w:ind w:firstLine="420" w:firstLineChars="200"/>
        <w:jc w:val="center"/>
        <w:rPr>
          <w:rFonts w:hint="eastAsia" w:ascii="微软雅黑" w:hAnsi="微软雅黑" w:eastAsia="微软雅黑" w:cs="微软雅黑"/>
          <w:b/>
          <w:sz w:val="21"/>
          <w:szCs w:val="21"/>
          <w:lang w:eastAsia="zh-CN"/>
        </w:rPr>
      </w:pPr>
      <w:r>
        <w:rPr>
          <w:rFonts w:hint="eastAsia" w:ascii="微软雅黑" w:hAnsi="微软雅黑" w:eastAsia="微软雅黑" w:cs="微软雅黑"/>
          <w:b/>
          <w:sz w:val="21"/>
          <w:szCs w:val="21"/>
          <w:lang w:val="en-US" w:eastAsia="zh-CN"/>
        </w:rPr>
        <w:t>附-档口</w:t>
      </w:r>
      <w:r>
        <w:rPr>
          <w:rFonts w:hint="eastAsia" w:ascii="微软雅黑" w:hAnsi="微软雅黑" w:eastAsia="微软雅黑" w:cs="微软雅黑"/>
          <w:b/>
          <w:sz w:val="21"/>
          <w:szCs w:val="21"/>
        </w:rPr>
        <w:t>服务项目考核</w:t>
      </w:r>
      <w:r>
        <w:rPr>
          <w:rFonts w:hint="eastAsia" w:ascii="微软雅黑" w:hAnsi="微软雅黑" w:eastAsia="微软雅黑" w:cs="微软雅黑"/>
          <w:b/>
          <w:sz w:val="21"/>
          <w:szCs w:val="21"/>
          <w:lang w:val="en-US" w:eastAsia="zh-CN"/>
        </w:rPr>
        <w:t>表</w:t>
      </w:r>
    </w:p>
    <w:tbl>
      <w:tblPr>
        <w:tblStyle w:val="58"/>
        <w:tblW w:w="109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557"/>
        <w:gridCol w:w="920"/>
        <w:gridCol w:w="1519"/>
        <w:gridCol w:w="4200"/>
        <w:gridCol w:w="748"/>
        <w:gridCol w:w="2120"/>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45" w:hRule="atLeast"/>
          <w:jc w:val="center"/>
        </w:trPr>
        <w:tc>
          <w:tcPr>
            <w:tcW w:w="557" w:type="dxa"/>
            <w:tcBorders>
              <w:top w:val="single" w:color="auto" w:sz="4" w:space="0"/>
              <w:left w:val="single" w:color="auto"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r>
              <w:rPr>
                <w:rFonts w:hint="eastAsia" w:ascii="微软雅黑" w:hAnsi="微软雅黑" w:eastAsia="微软雅黑" w:cs="微软雅黑"/>
                <w:b/>
                <w:kern w:val="0"/>
                <w:sz w:val="21"/>
                <w:szCs w:val="21"/>
                <w:lang w:bidi="ar"/>
              </w:rPr>
              <w:t>项目</w:t>
            </w:r>
          </w:p>
        </w:tc>
        <w:tc>
          <w:tcPr>
            <w:tcW w:w="920" w:type="dxa"/>
            <w:tcBorders>
              <w:top w:val="single" w:color="auto"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kern w:val="0"/>
                <w:sz w:val="21"/>
                <w:szCs w:val="21"/>
                <w:lang w:val="en-US" w:eastAsia="zh-CN" w:bidi="ar"/>
              </w:rPr>
              <w:t>分值(率)</w:t>
            </w:r>
          </w:p>
        </w:tc>
        <w:tc>
          <w:tcPr>
            <w:tcW w:w="1519" w:type="dxa"/>
            <w:tcBorders>
              <w:top w:val="single" w:color="auto"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r>
              <w:rPr>
                <w:rFonts w:hint="eastAsia" w:ascii="微软雅黑" w:hAnsi="微软雅黑" w:eastAsia="微软雅黑" w:cs="微软雅黑"/>
                <w:b/>
                <w:kern w:val="0"/>
                <w:sz w:val="21"/>
                <w:szCs w:val="21"/>
                <w:lang w:bidi="ar"/>
              </w:rPr>
              <w:t>考核指标</w:t>
            </w:r>
          </w:p>
        </w:tc>
        <w:tc>
          <w:tcPr>
            <w:tcW w:w="4200" w:type="dxa"/>
            <w:tcBorders>
              <w:top w:val="single" w:color="auto"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r>
              <w:rPr>
                <w:rFonts w:hint="eastAsia" w:ascii="微软雅黑" w:hAnsi="微软雅黑" w:eastAsia="微软雅黑" w:cs="微软雅黑"/>
                <w:b/>
                <w:kern w:val="0"/>
                <w:sz w:val="21"/>
                <w:szCs w:val="21"/>
                <w:lang w:bidi="ar"/>
              </w:rPr>
              <w:t>扣分项</w:t>
            </w:r>
          </w:p>
        </w:tc>
        <w:tc>
          <w:tcPr>
            <w:tcW w:w="748" w:type="dxa"/>
            <w:tcBorders>
              <w:top w:val="single" w:color="auto"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kern w:val="0"/>
                <w:sz w:val="21"/>
                <w:szCs w:val="21"/>
                <w:lang w:val="en-US" w:eastAsia="zh-CN" w:bidi="ar"/>
              </w:rPr>
              <w:t>打分</w:t>
            </w:r>
          </w:p>
        </w:tc>
        <w:tc>
          <w:tcPr>
            <w:tcW w:w="2120" w:type="dxa"/>
            <w:tcBorders>
              <w:top w:val="single" w:color="auto"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kern w:val="0"/>
                <w:sz w:val="21"/>
                <w:szCs w:val="21"/>
                <w:lang w:val="en-US" w:eastAsia="zh-CN" w:bidi="ar"/>
              </w:rPr>
              <w:t>扣分及原因</w:t>
            </w:r>
          </w:p>
        </w:tc>
        <w:tc>
          <w:tcPr>
            <w:tcW w:w="932" w:type="dxa"/>
            <w:tcBorders>
              <w:top w:val="single" w:color="auto"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kern w:val="0"/>
                <w:sz w:val="21"/>
                <w:szCs w:val="21"/>
                <w:lang w:val="en-US" w:eastAsia="zh-CN" w:bidi="ar"/>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740" w:hRule="atLeast"/>
          <w:jc w:val="center"/>
        </w:trPr>
        <w:tc>
          <w:tcPr>
            <w:tcW w:w="557" w:type="dxa"/>
            <w:tcBorders>
              <w:top w:val="single" w:color="000000" w:sz="4" w:space="0"/>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lang w:val="en-US" w:eastAsia="zh-CN" w:bidi="ar-SA"/>
              </w:rPr>
            </w:pPr>
            <w:r>
              <w:rPr>
                <w:rFonts w:hint="eastAsia" w:ascii="微软雅黑" w:hAnsi="微软雅黑" w:eastAsia="微软雅黑" w:cs="微软雅黑"/>
                <w:b/>
                <w:sz w:val="21"/>
                <w:szCs w:val="21"/>
                <w:lang w:val="en-US" w:eastAsia="zh-CN"/>
              </w:rPr>
              <w:t>满意度</w:t>
            </w:r>
          </w:p>
        </w:tc>
        <w:tc>
          <w:tcPr>
            <w:tcW w:w="920" w:type="dxa"/>
            <w:tcBorders>
              <w:top w:val="single" w:color="000000" w:sz="4" w:space="0"/>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sz w:val="21"/>
                <w:szCs w:val="21"/>
                <w:lang w:val="en-US" w:eastAsia="zh-CN"/>
              </w:rPr>
              <w:t>满意率100%</w:t>
            </w: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val="en-US" w:eastAsia="zh-CN" w:bidi="ar"/>
              </w:rPr>
              <w:t>满意率85%合格。</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满意度在（</w:t>
            </w:r>
            <w:r>
              <w:rPr>
                <w:rFonts w:hint="eastAsia" w:ascii="微软雅黑" w:hAnsi="微软雅黑" w:eastAsia="微软雅黑" w:cs="微软雅黑"/>
                <w:color w:val="000000"/>
                <w:kern w:val="0"/>
                <w:sz w:val="21"/>
                <w:szCs w:val="21"/>
                <w:lang w:val="en-US" w:eastAsia="zh-CN" w:bidi="ar"/>
              </w:rPr>
              <w:t>85</w:t>
            </w:r>
            <w:r>
              <w:rPr>
                <w:rFonts w:hint="eastAsia" w:ascii="微软雅黑" w:hAnsi="微软雅黑" w:eastAsia="微软雅黑" w:cs="微软雅黑"/>
                <w:color w:val="000000"/>
                <w:kern w:val="0"/>
                <w:sz w:val="21"/>
                <w:szCs w:val="21"/>
                <w:lang w:bidi="ar"/>
              </w:rPr>
              <w:t>%，8</w:t>
            </w:r>
            <w:r>
              <w:rPr>
                <w:rFonts w:hint="eastAsia" w:ascii="微软雅黑" w:hAnsi="微软雅黑" w:eastAsia="微软雅黑" w:cs="微软雅黑"/>
                <w:color w:val="000000"/>
                <w:kern w:val="0"/>
                <w:sz w:val="21"/>
                <w:szCs w:val="21"/>
                <w:lang w:val="en-US" w:eastAsia="zh-CN" w:bidi="ar"/>
              </w:rPr>
              <w:t>0</w:t>
            </w:r>
            <w:r>
              <w:rPr>
                <w:rFonts w:hint="eastAsia" w:ascii="微软雅黑" w:hAnsi="微软雅黑" w:eastAsia="微软雅黑" w:cs="微软雅黑"/>
                <w:color w:val="000000"/>
                <w:kern w:val="0"/>
                <w:sz w:val="21"/>
                <w:szCs w:val="21"/>
                <w:lang w:bidi="ar"/>
              </w:rPr>
              <w:t>%</w:t>
            </w:r>
            <w:r>
              <w:rPr>
                <w:rFonts w:hint="eastAsia" w:ascii="微软雅黑" w:hAnsi="微软雅黑" w:eastAsia="微软雅黑" w:cs="微软雅黑"/>
                <w:color w:val="000000"/>
                <w:kern w:val="0"/>
                <w:sz w:val="21"/>
                <w:szCs w:val="21"/>
                <w:lang w:eastAsia="zh-CN" w:bidi="ar"/>
              </w:rPr>
              <w:t>）</w:t>
            </w:r>
            <w:r>
              <w:rPr>
                <w:rFonts w:hint="eastAsia" w:ascii="微软雅黑" w:hAnsi="微软雅黑" w:eastAsia="微软雅黑" w:cs="微软雅黑"/>
                <w:color w:val="000000"/>
                <w:kern w:val="0"/>
                <w:sz w:val="21"/>
                <w:szCs w:val="21"/>
                <w:lang w:bidi="ar"/>
              </w:rPr>
              <w:t>区间，以</w:t>
            </w:r>
            <w:r>
              <w:rPr>
                <w:rFonts w:hint="eastAsia" w:ascii="微软雅黑" w:hAnsi="微软雅黑" w:eastAsia="微软雅黑" w:cs="微软雅黑"/>
                <w:color w:val="000000"/>
                <w:kern w:val="0"/>
                <w:sz w:val="21"/>
                <w:szCs w:val="21"/>
                <w:lang w:val="en-US" w:eastAsia="zh-CN" w:bidi="ar"/>
              </w:rPr>
              <w:t>85</w:t>
            </w:r>
            <w:r>
              <w:rPr>
                <w:rFonts w:hint="eastAsia" w:ascii="微软雅黑" w:hAnsi="微软雅黑" w:eastAsia="微软雅黑" w:cs="微软雅黑"/>
                <w:color w:val="000000"/>
                <w:kern w:val="0"/>
                <w:sz w:val="21"/>
                <w:szCs w:val="21"/>
                <w:lang w:bidi="ar"/>
              </w:rPr>
              <w:t>%为基准，每降低1%</w:t>
            </w:r>
            <w:r>
              <w:rPr>
                <w:rFonts w:hint="eastAsia" w:ascii="微软雅黑" w:hAnsi="微软雅黑" w:eastAsia="微软雅黑" w:cs="微软雅黑"/>
                <w:color w:val="000000"/>
                <w:kern w:val="0"/>
                <w:sz w:val="21"/>
                <w:szCs w:val="21"/>
                <w:lang w:val="en-US" w:eastAsia="zh-CN" w:bidi="ar"/>
              </w:rPr>
              <w:t>罚款</w:t>
            </w:r>
            <w:r>
              <w:rPr>
                <w:rFonts w:hint="eastAsia" w:ascii="微软雅黑" w:hAnsi="微软雅黑" w:eastAsia="微软雅黑" w:cs="微软雅黑"/>
                <w:color w:val="000000"/>
                <w:kern w:val="0"/>
                <w:sz w:val="21"/>
                <w:szCs w:val="21"/>
                <w:lang w:bidi="ar"/>
              </w:rPr>
              <w:t>500</w:t>
            </w:r>
            <w:r>
              <w:rPr>
                <w:rFonts w:hint="eastAsia" w:ascii="微软雅黑" w:hAnsi="微软雅黑" w:eastAsia="微软雅黑" w:cs="微软雅黑"/>
                <w:color w:val="000000"/>
                <w:kern w:val="0"/>
                <w:sz w:val="21"/>
                <w:szCs w:val="21"/>
                <w:lang w:val="en-US" w:eastAsia="zh-CN" w:bidi="ar"/>
              </w:rPr>
              <w:t>0</w:t>
            </w:r>
            <w:r>
              <w:rPr>
                <w:rFonts w:hint="eastAsia" w:ascii="微软雅黑" w:hAnsi="微软雅黑" w:eastAsia="微软雅黑" w:cs="微软雅黑"/>
                <w:color w:val="000000"/>
                <w:kern w:val="0"/>
                <w:sz w:val="21"/>
                <w:szCs w:val="21"/>
                <w:lang w:bidi="ar"/>
              </w:rPr>
              <w:t>元；满意率低于</w:t>
            </w:r>
            <w:r>
              <w:rPr>
                <w:rFonts w:hint="eastAsia" w:ascii="微软雅黑" w:hAnsi="微软雅黑" w:eastAsia="微软雅黑" w:cs="微软雅黑"/>
                <w:color w:val="000000"/>
                <w:kern w:val="0"/>
                <w:sz w:val="21"/>
                <w:szCs w:val="21"/>
                <w:lang w:val="en-US" w:eastAsia="zh-CN" w:bidi="ar"/>
              </w:rPr>
              <w:t>80</w:t>
            </w:r>
            <w:r>
              <w:rPr>
                <w:rFonts w:hint="eastAsia" w:ascii="微软雅黑" w:hAnsi="微软雅黑" w:eastAsia="微软雅黑" w:cs="微软雅黑"/>
                <w:color w:val="000000"/>
                <w:kern w:val="0"/>
                <w:sz w:val="21"/>
                <w:szCs w:val="21"/>
                <w:lang w:bidi="ar"/>
              </w:rPr>
              <w:t>%，以</w:t>
            </w:r>
            <w:r>
              <w:rPr>
                <w:rFonts w:hint="eastAsia" w:ascii="微软雅黑" w:hAnsi="微软雅黑" w:eastAsia="微软雅黑" w:cs="微软雅黑"/>
                <w:color w:val="000000"/>
                <w:kern w:val="0"/>
                <w:sz w:val="21"/>
                <w:szCs w:val="21"/>
                <w:lang w:val="en-US" w:eastAsia="zh-CN" w:bidi="ar"/>
              </w:rPr>
              <w:t>85</w:t>
            </w:r>
            <w:r>
              <w:rPr>
                <w:rFonts w:hint="eastAsia" w:ascii="微软雅黑" w:hAnsi="微软雅黑" w:eastAsia="微软雅黑" w:cs="微软雅黑"/>
                <w:color w:val="000000"/>
                <w:kern w:val="0"/>
                <w:sz w:val="21"/>
                <w:szCs w:val="21"/>
                <w:lang w:bidi="ar"/>
              </w:rPr>
              <w:t>%为基准，每降低1%</w:t>
            </w:r>
            <w:r>
              <w:rPr>
                <w:rFonts w:hint="eastAsia" w:ascii="微软雅黑" w:hAnsi="微软雅黑" w:eastAsia="微软雅黑" w:cs="微软雅黑"/>
                <w:color w:val="000000"/>
                <w:kern w:val="0"/>
                <w:sz w:val="21"/>
                <w:szCs w:val="21"/>
                <w:lang w:val="en-US" w:eastAsia="zh-CN" w:bidi="ar"/>
              </w:rPr>
              <w:t>罚款</w:t>
            </w:r>
            <w:r>
              <w:rPr>
                <w:rFonts w:hint="eastAsia" w:ascii="微软雅黑" w:hAnsi="微软雅黑" w:eastAsia="微软雅黑" w:cs="微软雅黑"/>
                <w:color w:val="000000"/>
                <w:kern w:val="0"/>
                <w:sz w:val="21"/>
                <w:szCs w:val="21"/>
                <w:lang w:bidi="ar"/>
              </w:rPr>
              <w:t>1000元。若半年中累计两次月满意率低于</w:t>
            </w:r>
            <w:r>
              <w:rPr>
                <w:rFonts w:hint="eastAsia" w:ascii="微软雅黑" w:hAnsi="微软雅黑" w:eastAsia="微软雅黑" w:cs="微软雅黑"/>
                <w:color w:val="000000"/>
                <w:kern w:val="0"/>
                <w:sz w:val="21"/>
                <w:szCs w:val="21"/>
                <w:lang w:val="en-US" w:eastAsia="zh-CN" w:bidi="ar"/>
              </w:rPr>
              <w:t>75</w:t>
            </w:r>
            <w:r>
              <w:rPr>
                <w:rFonts w:hint="eastAsia" w:ascii="微软雅黑" w:hAnsi="微软雅黑" w:eastAsia="微软雅黑" w:cs="微软雅黑"/>
                <w:color w:val="000000"/>
                <w:kern w:val="0"/>
                <w:sz w:val="21"/>
                <w:szCs w:val="21"/>
                <w:lang w:bidi="ar"/>
              </w:rPr>
              <w:t>%，采购人可以取消中选人服务商资格。</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35" w:hRule="atLeast"/>
          <w:jc w:val="center"/>
        </w:trPr>
        <w:tc>
          <w:tcPr>
            <w:tcW w:w="557" w:type="dxa"/>
            <w:vMerge w:val="restart"/>
            <w:tcBorders>
              <w:top w:val="single" w:color="000000" w:sz="4" w:space="0"/>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lang w:val="en-US" w:eastAsia="zh-CN"/>
              </w:rPr>
            </w:pPr>
            <w:r>
              <w:rPr>
                <w:rFonts w:hint="eastAsia" w:ascii="微软雅黑" w:hAnsi="微软雅黑" w:eastAsia="微软雅黑" w:cs="微软雅黑"/>
                <w:b/>
                <w:kern w:val="0"/>
                <w:sz w:val="21"/>
                <w:szCs w:val="21"/>
                <w:lang w:val="en-US" w:eastAsia="zh-CN" w:bidi="ar"/>
              </w:rPr>
              <w:t>服务 质量</w:t>
            </w:r>
            <w:r>
              <w:rPr>
                <w:rFonts w:hint="eastAsia" w:ascii="微软雅黑" w:hAnsi="微软雅黑" w:eastAsia="微软雅黑" w:cs="微软雅黑"/>
                <w:b/>
                <w:sz w:val="21"/>
                <w:szCs w:val="21"/>
              </w:rPr>
              <w:t>100分</w:t>
            </w:r>
            <w:r>
              <w:rPr>
                <w:rFonts w:hint="eastAsia" w:ascii="微软雅黑" w:hAnsi="微软雅黑" w:eastAsia="微软雅黑" w:cs="微软雅黑"/>
                <w:sz w:val="21"/>
                <w:szCs w:val="21"/>
              </w:rPr>
              <w:t>出现“扣分项”中的事项扣相应分值，每扣1分</w:t>
            </w:r>
            <w:r>
              <w:rPr>
                <w:rFonts w:hint="eastAsia" w:ascii="微软雅黑" w:hAnsi="微软雅黑" w:eastAsia="微软雅黑" w:cs="微软雅黑"/>
                <w:sz w:val="21"/>
                <w:szCs w:val="21"/>
                <w:lang w:val="en-US" w:eastAsia="zh-CN"/>
              </w:rPr>
              <w:t>罚款1000元。</w:t>
            </w:r>
          </w:p>
        </w:tc>
        <w:tc>
          <w:tcPr>
            <w:tcW w:w="920" w:type="dxa"/>
            <w:vMerge w:val="restart"/>
            <w:tcBorders>
              <w:top w:val="single" w:color="000000" w:sz="4" w:space="0"/>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sz w:val="21"/>
                <w:szCs w:val="21"/>
              </w:rPr>
              <w:t>食品</w:t>
            </w:r>
            <w:r>
              <w:rPr>
                <w:rFonts w:hint="eastAsia" w:ascii="微软雅黑" w:hAnsi="微软雅黑" w:eastAsia="微软雅黑" w:cs="微软雅黑"/>
                <w:b/>
                <w:sz w:val="21"/>
                <w:szCs w:val="21"/>
                <w:lang w:val="en-US" w:eastAsia="zh-CN"/>
              </w:rPr>
              <w:t xml:space="preserve">  </w:t>
            </w:r>
            <w:r>
              <w:rPr>
                <w:rFonts w:hint="eastAsia" w:ascii="微软雅黑" w:hAnsi="微软雅黑" w:eastAsia="微软雅黑" w:cs="微软雅黑"/>
                <w:b/>
                <w:sz w:val="21"/>
                <w:szCs w:val="21"/>
              </w:rPr>
              <w:t>安全</w:t>
            </w:r>
            <w:r>
              <w:rPr>
                <w:rFonts w:hint="eastAsia" w:ascii="微软雅黑" w:hAnsi="微软雅黑" w:eastAsia="微软雅黑" w:cs="微软雅黑"/>
                <w:b/>
                <w:sz w:val="21"/>
                <w:szCs w:val="21"/>
                <w:lang w:val="en-US" w:eastAsia="zh-CN"/>
              </w:rPr>
              <w:t xml:space="preserve">   </w:t>
            </w:r>
            <w:r>
              <w:rPr>
                <w:rFonts w:hint="eastAsia" w:ascii="微软雅黑" w:hAnsi="微软雅黑" w:eastAsia="微软雅黑" w:cs="微软雅黑"/>
                <w:b/>
                <w:kern w:val="0"/>
                <w:sz w:val="21"/>
                <w:szCs w:val="21"/>
                <w:lang w:val="en-US" w:eastAsia="zh-CN" w:bidi="ar"/>
              </w:rPr>
              <w:t>20分</w:t>
            </w: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严把食材的验货关，确保食材品质。</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有腐烂变质、异味、过期的食材流入，一次</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64"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落实食品留样制度</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没有食品留样、留样品种不齐全、时间不够、没有进行记录的，一次</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574"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食品添加剂和非食材物品存放、使用。</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食品添加剂没有专人专柜负责的</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，使用时没有相关记录或记录不全的,发现一次</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；非食材物品存放必须与食材分离，做到单独房间存放、有专人保管及领用，使用现场有专人监督等，未做到一次</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员工持《健康证》上岗,个人卫生符合岗位要求。</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抽检员工的《健康证》，没有的一人次</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，发现有碍食品安全病症的人员在工作岗位的，一次</w:t>
            </w:r>
            <w:r>
              <w:rPr>
                <w:rFonts w:hint="eastAsia" w:ascii="微软雅黑" w:hAnsi="微软雅黑" w:eastAsia="微软雅黑" w:cs="微软雅黑"/>
                <w:color w:val="000000"/>
                <w:kern w:val="0"/>
                <w:sz w:val="21"/>
                <w:szCs w:val="21"/>
                <w:lang w:val="en-US" w:eastAsia="zh-CN" w:bidi="ar"/>
              </w:rPr>
              <w:t>扣5分</w:t>
            </w:r>
            <w:r>
              <w:rPr>
                <w:rFonts w:hint="eastAsia" w:ascii="微软雅黑" w:hAnsi="微软雅黑" w:eastAsia="微软雅黑" w:cs="微软雅黑"/>
                <w:color w:val="000000"/>
                <w:kern w:val="0"/>
                <w:sz w:val="21"/>
                <w:szCs w:val="21"/>
                <w:lang w:bidi="ar"/>
              </w:rPr>
              <w:t>，且承担由此带来的一切后果。</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异物</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val="en-US" w:eastAsia="zh-CN" w:bidi="ar"/>
              </w:rPr>
              <w:t>食品中</w:t>
            </w:r>
            <w:r>
              <w:rPr>
                <w:rFonts w:hint="eastAsia" w:ascii="微软雅黑" w:hAnsi="微软雅黑" w:eastAsia="微软雅黑" w:cs="微软雅黑"/>
                <w:color w:val="000000"/>
                <w:kern w:val="0"/>
                <w:sz w:val="21"/>
                <w:szCs w:val="21"/>
                <w:lang w:bidi="ar"/>
              </w:rPr>
              <w:t>发现异物，第一次做警告提醒处理；第二次</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；第三次及三次以上的，一次</w:t>
            </w:r>
            <w:r>
              <w:rPr>
                <w:rFonts w:hint="eastAsia" w:ascii="微软雅黑" w:hAnsi="微软雅黑" w:eastAsia="微软雅黑" w:cs="微软雅黑"/>
                <w:color w:val="000000"/>
                <w:kern w:val="0"/>
                <w:sz w:val="21"/>
                <w:szCs w:val="21"/>
                <w:lang w:val="en-US" w:eastAsia="zh-CN" w:bidi="ar"/>
              </w:rPr>
              <w:t>扣2分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p>
        </w:tc>
        <w:tc>
          <w:tcPr>
            <w:tcW w:w="920" w:type="dxa"/>
            <w:vMerge w:val="restart"/>
            <w:tcBorders>
              <w:top w:val="single" w:color="000000" w:sz="4" w:space="0"/>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kern w:val="0"/>
                <w:sz w:val="21"/>
                <w:szCs w:val="21"/>
                <w:lang w:bidi="ar"/>
              </w:rPr>
              <w:t>制度</w:t>
            </w:r>
            <w:r>
              <w:rPr>
                <w:rFonts w:hint="eastAsia" w:ascii="微软雅黑" w:hAnsi="微软雅黑" w:eastAsia="微软雅黑" w:cs="微软雅黑"/>
                <w:b/>
                <w:kern w:val="0"/>
                <w:sz w:val="21"/>
                <w:szCs w:val="21"/>
                <w:lang w:val="en-US" w:eastAsia="zh-CN" w:bidi="ar"/>
              </w:rPr>
              <w:t xml:space="preserve">  </w:t>
            </w:r>
            <w:r>
              <w:rPr>
                <w:rFonts w:hint="eastAsia" w:ascii="微软雅黑" w:hAnsi="微软雅黑" w:eastAsia="微软雅黑" w:cs="微软雅黑"/>
                <w:b/>
                <w:kern w:val="0"/>
                <w:sz w:val="21"/>
                <w:szCs w:val="21"/>
                <w:lang w:bidi="ar"/>
              </w:rPr>
              <w:t>规范</w:t>
            </w:r>
            <w:r>
              <w:rPr>
                <w:rFonts w:hint="eastAsia" w:ascii="微软雅黑" w:hAnsi="微软雅黑" w:eastAsia="微软雅黑" w:cs="微软雅黑"/>
                <w:b/>
                <w:kern w:val="0"/>
                <w:sz w:val="21"/>
                <w:szCs w:val="21"/>
                <w:lang w:val="en-US" w:eastAsia="zh-CN" w:bidi="ar"/>
              </w:rPr>
              <w:t xml:space="preserve">   15分</w:t>
            </w: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落实员工的登记备案制度、规范化管理要求。</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管理岗位更换人员应报甲方同意，未经同意私自更换的一次</w:t>
            </w:r>
            <w:r>
              <w:rPr>
                <w:rFonts w:hint="eastAsia" w:ascii="微软雅黑" w:hAnsi="微软雅黑" w:eastAsia="微软雅黑" w:cs="微软雅黑"/>
                <w:color w:val="000000"/>
                <w:kern w:val="0"/>
                <w:sz w:val="21"/>
                <w:szCs w:val="21"/>
                <w:lang w:val="en-US" w:eastAsia="zh-CN" w:bidi="ar"/>
              </w:rPr>
              <w:t>扣2分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884"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落实消防安全制度</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每月未开展消防培训,</w:t>
            </w:r>
            <w:r>
              <w:rPr>
                <w:rFonts w:hint="eastAsia" w:ascii="微软雅黑" w:hAnsi="微软雅黑" w:eastAsia="微软雅黑" w:cs="微软雅黑"/>
                <w:color w:val="000000"/>
                <w:kern w:val="0"/>
                <w:sz w:val="21"/>
                <w:szCs w:val="21"/>
                <w:lang w:val="en-US" w:eastAsia="zh-CN" w:bidi="ar"/>
              </w:rPr>
              <w:t>扣0.2分</w:t>
            </w:r>
            <w:r>
              <w:rPr>
                <w:rFonts w:hint="eastAsia" w:ascii="微软雅黑" w:hAnsi="微软雅黑" w:eastAsia="微软雅黑" w:cs="微软雅黑"/>
                <w:color w:val="000000"/>
                <w:kern w:val="0"/>
                <w:sz w:val="21"/>
                <w:szCs w:val="21"/>
                <w:lang w:bidi="ar"/>
              </w:rPr>
              <w:t>,每半年未开展消防演练,</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。每月开展全面消防安全检查工作2次，未开展检查或检查到有消防隐患未及时整改的,一次</w:t>
            </w:r>
            <w:r>
              <w:rPr>
                <w:rFonts w:hint="eastAsia" w:ascii="微软雅黑" w:hAnsi="微软雅黑" w:eastAsia="微软雅黑" w:cs="微软雅黑"/>
                <w:color w:val="000000"/>
                <w:kern w:val="0"/>
                <w:sz w:val="21"/>
                <w:szCs w:val="21"/>
                <w:lang w:val="en-US" w:eastAsia="zh-CN" w:bidi="ar"/>
              </w:rPr>
              <w:t>扣0.2分</w:t>
            </w:r>
            <w:r>
              <w:rPr>
                <w:rFonts w:hint="eastAsia" w:ascii="微软雅黑" w:hAnsi="微软雅黑" w:eastAsia="微软雅黑" w:cs="微软雅黑"/>
                <w:color w:val="000000"/>
                <w:kern w:val="0"/>
                <w:sz w:val="21"/>
                <w:szCs w:val="21"/>
                <w:lang w:bidi="ar"/>
              </w:rPr>
              <w:t>，发生消防安全事故的，一次</w:t>
            </w:r>
            <w:r>
              <w:rPr>
                <w:rFonts w:hint="eastAsia" w:ascii="微软雅黑" w:hAnsi="微软雅黑" w:eastAsia="微软雅黑" w:cs="微软雅黑"/>
                <w:color w:val="000000"/>
                <w:kern w:val="0"/>
                <w:sz w:val="21"/>
                <w:szCs w:val="21"/>
                <w:lang w:val="en-US" w:eastAsia="zh-CN" w:bidi="ar"/>
              </w:rPr>
              <w:t>扣5-10分</w:t>
            </w:r>
            <w:r>
              <w:rPr>
                <w:rFonts w:hint="eastAsia" w:ascii="微软雅黑" w:hAnsi="微软雅黑" w:eastAsia="微软雅黑" w:cs="微软雅黑"/>
                <w:color w:val="000000"/>
                <w:kern w:val="0"/>
                <w:sz w:val="21"/>
                <w:szCs w:val="21"/>
                <w:lang w:bidi="ar"/>
              </w:rPr>
              <w:t>，赔偿损失并承担相应法律责任；厨房明火无人值守，一次</w:t>
            </w:r>
            <w:r>
              <w:rPr>
                <w:rFonts w:hint="eastAsia" w:ascii="微软雅黑" w:hAnsi="微软雅黑" w:eastAsia="微软雅黑" w:cs="微软雅黑"/>
                <w:color w:val="000000"/>
                <w:kern w:val="0"/>
                <w:sz w:val="21"/>
                <w:szCs w:val="21"/>
                <w:lang w:val="en-US" w:eastAsia="zh-CN" w:bidi="ar"/>
              </w:rPr>
              <w:t>扣2分</w:t>
            </w:r>
            <w:r>
              <w:rPr>
                <w:rFonts w:hint="eastAsia" w:ascii="微软雅黑" w:hAnsi="微软雅黑" w:eastAsia="微软雅黑" w:cs="微软雅黑"/>
                <w:color w:val="000000"/>
                <w:kern w:val="0"/>
                <w:sz w:val="21"/>
                <w:szCs w:val="21"/>
                <w:lang w:bidi="ar"/>
              </w:rPr>
              <w:t>等。</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33"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培训教育和计划及落实情况</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没有食品安全、食品卫生、服务礼仪、厨艺培训方案和计划的，每月一项</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，未落实培训一项</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p>
        </w:tc>
        <w:tc>
          <w:tcPr>
            <w:tcW w:w="920" w:type="dxa"/>
            <w:tcBorders>
              <w:top w:val="single" w:color="000000" w:sz="4" w:space="0"/>
              <w:left w:val="single" w:color="000000" w:sz="4" w:space="0"/>
              <w:bottom w:val="single" w:color="auto"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kern w:val="0"/>
                <w:sz w:val="21"/>
                <w:szCs w:val="21"/>
                <w:lang w:val="en-US" w:eastAsia="zh-CN" w:bidi="ar"/>
              </w:rPr>
              <w:t>产</w:t>
            </w:r>
            <w:r>
              <w:rPr>
                <w:rFonts w:hint="eastAsia" w:ascii="微软雅黑" w:hAnsi="微软雅黑" w:eastAsia="微软雅黑" w:cs="微软雅黑"/>
                <w:b/>
                <w:kern w:val="0"/>
                <w:sz w:val="21"/>
                <w:szCs w:val="21"/>
                <w:lang w:bidi="ar"/>
              </w:rPr>
              <w:t>品</w:t>
            </w:r>
            <w:r>
              <w:rPr>
                <w:rFonts w:hint="eastAsia" w:ascii="微软雅黑" w:hAnsi="微软雅黑" w:eastAsia="微软雅黑" w:cs="微软雅黑"/>
                <w:b/>
                <w:kern w:val="0"/>
                <w:sz w:val="21"/>
                <w:szCs w:val="21"/>
                <w:lang w:val="en-US" w:eastAsia="zh-CN" w:bidi="ar"/>
              </w:rPr>
              <w:t xml:space="preserve">  </w:t>
            </w:r>
            <w:r>
              <w:rPr>
                <w:rFonts w:hint="eastAsia" w:ascii="微软雅黑" w:hAnsi="微软雅黑" w:eastAsia="微软雅黑" w:cs="微软雅黑"/>
                <w:b/>
                <w:kern w:val="0"/>
                <w:sz w:val="21"/>
                <w:szCs w:val="21"/>
                <w:lang w:bidi="ar"/>
              </w:rPr>
              <w:t>质量</w:t>
            </w:r>
            <w:r>
              <w:rPr>
                <w:rFonts w:hint="eastAsia" w:ascii="微软雅黑" w:hAnsi="微软雅黑" w:eastAsia="微软雅黑" w:cs="微软雅黑"/>
                <w:b/>
                <w:kern w:val="0"/>
                <w:sz w:val="21"/>
                <w:szCs w:val="21"/>
                <w:lang w:val="en-US" w:eastAsia="zh-CN" w:bidi="ar"/>
              </w:rPr>
              <w:t xml:space="preserve">   15分</w:t>
            </w:r>
          </w:p>
        </w:tc>
        <w:tc>
          <w:tcPr>
            <w:tcW w:w="1519" w:type="dxa"/>
            <w:tcBorders>
              <w:top w:val="single" w:color="000000" w:sz="4" w:space="0"/>
              <w:left w:val="single" w:color="000000" w:sz="4" w:space="0"/>
              <w:bottom w:val="single" w:color="auto"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每</w:t>
            </w:r>
            <w:r>
              <w:rPr>
                <w:rFonts w:hint="eastAsia" w:ascii="微软雅黑" w:hAnsi="微软雅黑" w:eastAsia="微软雅黑" w:cs="微软雅黑"/>
                <w:color w:val="000000"/>
                <w:kern w:val="0"/>
                <w:sz w:val="21"/>
                <w:szCs w:val="21"/>
                <w:lang w:val="en-US" w:eastAsia="zh-CN" w:bidi="ar"/>
              </w:rPr>
              <w:t>月产</w:t>
            </w:r>
            <w:r>
              <w:rPr>
                <w:rFonts w:hint="eastAsia" w:ascii="微软雅黑" w:hAnsi="微软雅黑" w:eastAsia="微软雅黑" w:cs="微软雅黑"/>
                <w:color w:val="000000"/>
                <w:kern w:val="0"/>
                <w:sz w:val="21"/>
                <w:szCs w:val="21"/>
                <w:lang w:bidi="ar"/>
              </w:rPr>
              <w:t>品的确定及新品的研发和</w:t>
            </w:r>
            <w:r>
              <w:rPr>
                <w:rFonts w:hint="eastAsia" w:ascii="微软雅黑" w:hAnsi="微软雅黑" w:eastAsia="微软雅黑" w:cs="微软雅黑"/>
                <w:color w:val="000000"/>
                <w:kern w:val="0"/>
                <w:sz w:val="21"/>
                <w:szCs w:val="21"/>
                <w:lang w:val="en-US" w:eastAsia="zh-CN" w:bidi="ar"/>
              </w:rPr>
              <w:t>品质保障</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未</w:t>
            </w:r>
            <w:r>
              <w:rPr>
                <w:rFonts w:hint="eastAsia" w:ascii="微软雅黑" w:hAnsi="微软雅黑" w:eastAsia="微软雅黑" w:cs="微软雅黑"/>
                <w:color w:val="000000"/>
                <w:kern w:val="0"/>
                <w:sz w:val="21"/>
                <w:szCs w:val="21"/>
                <w:lang w:val="en-US" w:eastAsia="zh-CN" w:bidi="ar"/>
              </w:rPr>
              <w:t>进行</w:t>
            </w:r>
            <w:r>
              <w:rPr>
                <w:rFonts w:hint="eastAsia" w:ascii="微软雅黑" w:hAnsi="微软雅黑" w:eastAsia="微软雅黑" w:cs="微软雅黑"/>
                <w:color w:val="000000"/>
                <w:kern w:val="0"/>
                <w:sz w:val="21"/>
                <w:szCs w:val="21"/>
                <w:lang w:bidi="ar"/>
              </w:rPr>
              <w:t>新品</w:t>
            </w:r>
            <w:r>
              <w:rPr>
                <w:rFonts w:hint="eastAsia" w:ascii="微软雅黑" w:hAnsi="微软雅黑" w:eastAsia="微软雅黑" w:cs="微软雅黑"/>
                <w:color w:val="000000"/>
                <w:kern w:val="0"/>
                <w:sz w:val="21"/>
                <w:szCs w:val="21"/>
                <w:lang w:val="en-US" w:eastAsia="zh-CN" w:bidi="ar"/>
              </w:rPr>
              <w:t>开发扣0.2分</w:t>
            </w:r>
            <w:r>
              <w:rPr>
                <w:rFonts w:hint="eastAsia" w:ascii="微软雅黑" w:hAnsi="微软雅黑" w:eastAsia="微软雅黑" w:cs="微软雅黑"/>
                <w:color w:val="000000"/>
                <w:kern w:val="0"/>
                <w:sz w:val="21"/>
                <w:szCs w:val="21"/>
                <w:lang w:bidi="ar"/>
              </w:rPr>
              <w:t>，因质量问题被投诉，经调查属实的一次</w:t>
            </w:r>
            <w:r>
              <w:rPr>
                <w:rFonts w:hint="eastAsia" w:ascii="微软雅黑" w:hAnsi="微软雅黑" w:eastAsia="微软雅黑" w:cs="微软雅黑"/>
                <w:color w:val="000000"/>
                <w:kern w:val="0"/>
                <w:sz w:val="21"/>
                <w:szCs w:val="21"/>
                <w:lang w:val="en-US" w:eastAsia="zh-CN" w:bidi="ar"/>
              </w:rPr>
              <w:t>扣0.2分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p>
        </w:tc>
        <w:tc>
          <w:tcPr>
            <w:tcW w:w="920" w:type="dxa"/>
            <w:vMerge w:val="restart"/>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kern w:val="0"/>
                <w:sz w:val="21"/>
                <w:szCs w:val="21"/>
                <w:lang w:val="en-US" w:eastAsia="zh-CN" w:bidi="ar"/>
              </w:rPr>
              <w:t>服务  质量  15分</w:t>
            </w:r>
          </w:p>
        </w:tc>
        <w:tc>
          <w:tcPr>
            <w:tcW w:w="1519" w:type="dxa"/>
            <w:tcBorders>
              <w:top w:val="single" w:color="auto"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服务热情周到，不与顾客发生争执、吵架等行为发生。</w:t>
            </w:r>
          </w:p>
        </w:tc>
        <w:tc>
          <w:tcPr>
            <w:tcW w:w="4200" w:type="dxa"/>
            <w:tcBorders>
              <w:top w:val="single" w:color="000000" w:sz="4" w:space="0"/>
              <w:left w:val="single" w:color="auto"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有就餐人员投诉，经鉴定为有效投诉的一次</w:t>
            </w:r>
            <w:r>
              <w:rPr>
                <w:rFonts w:hint="eastAsia" w:ascii="微软雅黑" w:hAnsi="微软雅黑" w:eastAsia="微软雅黑" w:cs="微软雅黑"/>
                <w:color w:val="000000"/>
                <w:kern w:val="0"/>
                <w:sz w:val="21"/>
                <w:szCs w:val="21"/>
                <w:lang w:val="en-US" w:eastAsia="zh-CN" w:bidi="ar"/>
              </w:rPr>
              <w:t>扣0.2分</w:t>
            </w:r>
            <w:r>
              <w:rPr>
                <w:rFonts w:hint="eastAsia" w:ascii="微软雅黑" w:hAnsi="微软雅黑" w:eastAsia="微软雅黑" w:cs="微软雅黑"/>
                <w:color w:val="000000"/>
                <w:kern w:val="0"/>
                <w:sz w:val="21"/>
                <w:szCs w:val="21"/>
                <w:lang w:bidi="ar"/>
              </w:rPr>
              <w:t>，项目组需24小时内出书面报告交管理部门，延误一天</w:t>
            </w:r>
            <w:r>
              <w:rPr>
                <w:rFonts w:hint="eastAsia" w:ascii="微软雅黑" w:hAnsi="微软雅黑" w:eastAsia="微软雅黑" w:cs="微软雅黑"/>
                <w:color w:val="000000"/>
                <w:kern w:val="0"/>
                <w:sz w:val="21"/>
                <w:szCs w:val="21"/>
                <w:lang w:val="en-US" w:eastAsia="zh-CN" w:bidi="ar"/>
              </w:rPr>
              <w:t>扣0.2分</w:t>
            </w:r>
            <w:r>
              <w:rPr>
                <w:rFonts w:hint="eastAsia" w:ascii="微软雅黑" w:hAnsi="微软雅黑" w:eastAsia="微软雅黑" w:cs="微软雅黑"/>
                <w:color w:val="000000"/>
                <w:kern w:val="0"/>
                <w:sz w:val="21"/>
                <w:szCs w:val="21"/>
                <w:lang w:bidi="ar"/>
              </w:rPr>
              <w:t>。如发生辱骂、推搡等现象，无论起因如何</w:t>
            </w:r>
            <w:r>
              <w:rPr>
                <w:rFonts w:hint="eastAsia" w:ascii="微软雅黑" w:hAnsi="微软雅黑" w:eastAsia="微软雅黑" w:cs="微软雅黑"/>
                <w:color w:val="000000"/>
                <w:kern w:val="0"/>
                <w:sz w:val="21"/>
                <w:szCs w:val="21"/>
                <w:lang w:eastAsia="zh-CN" w:bidi="ar"/>
              </w:rPr>
              <w:t>罚</w:t>
            </w:r>
            <w:r>
              <w:rPr>
                <w:rFonts w:hint="eastAsia" w:ascii="微软雅黑" w:hAnsi="微软雅黑" w:eastAsia="微软雅黑" w:cs="微软雅黑"/>
                <w:color w:val="000000"/>
                <w:kern w:val="0"/>
                <w:sz w:val="21"/>
                <w:szCs w:val="21"/>
                <w:lang w:val="en-US" w:eastAsia="zh-CN" w:bidi="ar"/>
              </w:rPr>
              <w:t>扣5分</w:t>
            </w:r>
            <w:r>
              <w:rPr>
                <w:rFonts w:hint="eastAsia" w:ascii="微软雅黑" w:hAnsi="微软雅黑" w:eastAsia="微软雅黑" w:cs="微软雅黑"/>
                <w:color w:val="000000"/>
                <w:kern w:val="0"/>
                <w:sz w:val="21"/>
                <w:szCs w:val="21"/>
                <w:lang w:bidi="ar"/>
              </w:rPr>
              <w:t>，并要求其作出道歉赔礼。情节严重的，按相关法律法规处理。</w:t>
            </w:r>
            <w:r>
              <w:rPr>
                <w:rFonts w:hint="eastAsia" w:ascii="微软雅黑" w:hAnsi="微软雅黑" w:eastAsia="微软雅黑" w:cs="微软雅黑"/>
                <w:color w:val="000000"/>
                <w:kern w:val="0"/>
                <w:sz w:val="21"/>
                <w:szCs w:val="21"/>
                <w:lang w:val="en-US" w:eastAsia="zh-CN" w:bidi="ar"/>
              </w:rPr>
              <w:t>如有信访投诉，一次扣1分。</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92"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p>
        </w:tc>
        <w:tc>
          <w:tcPr>
            <w:tcW w:w="1519"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按时到岗，服从管理。</w:t>
            </w:r>
          </w:p>
        </w:tc>
        <w:tc>
          <w:tcPr>
            <w:tcW w:w="4200" w:type="dxa"/>
            <w:tcBorders>
              <w:top w:val="single" w:color="000000" w:sz="4" w:space="0"/>
              <w:left w:val="single" w:color="auto" w:sz="4" w:space="0"/>
              <w:bottom w:val="single" w:color="auto"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如现场抽查管理</w:t>
            </w:r>
            <w:r>
              <w:rPr>
                <w:rFonts w:hint="eastAsia" w:ascii="微软雅黑" w:hAnsi="微软雅黑" w:eastAsia="微软雅黑" w:cs="微软雅黑"/>
                <w:color w:val="000000"/>
                <w:kern w:val="0"/>
                <w:sz w:val="21"/>
                <w:szCs w:val="21"/>
                <w:lang w:val="en-US" w:eastAsia="zh-CN" w:bidi="ar"/>
              </w:rPr>
              <w:t>人</w:t>
            </w:r>
            <w:r>
              <w:rPr>
                <w:rFonts w:hint="eastAsia" w:ascii="微软雅黑" w:hAnsi="微软雅黑" w:eastAsia="微软雅黑" w:cs="微软雅黑"/>
                <w:color w:val="000000"/>
                <w:kern w:val="0"/>
                <w:sz w:val="21"/>
                <w:szCs w:val="21"/>
                <w:lang w:bidi="ar"/>
              </w:rPr>
              <w:t>员，无故不在岗一人次</w:t>
            </w:r>
            <w:r>
              <w:rPr>
                <w:rFonts w:hint="eastAsia" w:ascii="微软雅黑" w:hAnsi="微软雅黑" w:eastAsia="微软雅黑" w:cs="微软雅黑"/>
                <w:color w:val="000000"/>
                <w:kern w:val="0"/>
                <w:sz w:val="21"/>
                <w:szCs w:val="21"/>
                <w:lang w:val="en-US" w:eastAsia="zh-CN" w:bidi="ar"/>
              </w:rPr>
              <w:t>扣0.2分</w:t>
            </w:r>
            <w:r>
              <w:rPr>
                <w:rFonts w:hint="eastAsia" w:ascii="微软雅黑" w:hAnsi="微软雅黑" w:eastAsia="微软雅黑" w:cs="微软雅黑"/>
                <w:color w:val="000000"/>
                <w:kern w:val="0"/>
                <w:sz w:val="21"/>
                <w:szCs w:val="21"/>
                <w:lang w:bidi="ar"/>
              </w:rPr>
              <w:t>等。不服从甲方管理的，视情况一次</w:t>
            </w:r>
            <w:r>
              <w:rPr>
                <w:rFonts w:hint="eastAsia" w:ascii="微软雅黑" w:hAnsi="微软雅黑" w:eastAsia="微软雅黑" w:cs="微软雅黑"/>
                <w:color w:val="000000"/>
                <w:kern w:val="0"/>
                <w:sz w:val="21"/>
                <w:szCs w:val="21"/>
                <w:lang w:val="en-US" w:eastAsia="zh-CN" w:bidi="ar"/>
              </w:rPr>
              <w:t>扣1-5分</w:t>
            </w:r>
            <w:r>
              <w:rPr>
                <w:rFonts w:hint="eastAsia" w:ascii="微软雅黑" w:hAnsi="微软雅黑" w:eastAsia="微软雅黑" w:cs="微软雅黑"/>
                <w:color w:val="000000"/>
                <w:kern w:val="0"/>
                <w:sz w:val="21"/>
                <w:szCs w:val="21"/>
                <w:lang w:bidi="ar"/>
              </w:rPr>
              <w:t>等。</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p>
        </w:tc>
        <w:tc>
          <w:tcPr>
            <w:tcW w:w="920" w:type="dxa"/>
            <w:vMerge w:val="restart"/>
            <w:tcBorders>
              <w:top w:val="single" w:color="000000" w:sz="4" w:space="0"/>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r>
              <w:rPr>
                <w:rFonts w:hint="eastAsia" w:ascii="微软雅黑" w:hAnsi="微软雅黑" w:eastAsia="微软雅黑" w:cs="微软雅黑"/>
                <w:b/>
                <w:kern w:val="0"/>
                <w:sz w:val="21"/>
                <w:szCs w:val="21"/>
                <w:lang w:val="en-US" w:eastAsia="zh-CN" w:bidi="ar"/>
              </w:rPr>
              <w:t>人员及</w:t>
            </w:r>
            <w:r>
              <w:rPr>
                <w:rFonts w:hint="eastAsia" w:ascii="微软雅黑" w:hAnsi="微软雅黑" w:eastAsia="微软雅黑" w:cs="微软雅黑"/>
                <w:b/>
                <w:kern w:val="0"/>
                <w:sz w:val="21"/>
                <w:szCs w:val="21"/>
                <w:lang w:bidi="ar"/>
              </w:rPr>
              <w:t>环境</w:t>
            </w:r>
            <w:r>
              <w:rPr>
                <w:rFonts w:hint="eastAsia" w:ascii="微软雅黑" w:hAnsi="微软雅黑" w:eastAsia="微软雅黑" w:cs="微软雅黑"/>
                <w:b/>
                <w:kern w:val="0"/>
                <w:sz w:val="21"/>
                <w:szCs w:val="21"/>
                <w:lang w:val="en-US" w:eastAsia="zh-CN" w:bidi="ar"/>
              </w:rPr>
              <w:t xml:space="preserve">  </w:t>
            </w:r>
            <w:r>
              <w:rPr>
                <w:rFonts w:hint="eastAsia" w:ascii="微软雅黑" w:hAnsi="微软雅黑" w:eastAsia="微软雅黑" w:cs="微软雅黑"/>
                <w:b/>
                <w:kern w:val="0"/>
                <w:sz w:val="21"/>
                <w:szCs w:val="21"/>
                <w:lang w:bidi="ar"/>
              </w:rPr>
              <w:t>卫生</w:t>
            </w:r>
          </w:p>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kern w:val="0"/>
                <w:sz w:val="21"/>
                <w:szCs w:val="21"/>
                <w:lang w:val="en-US" w:eastAsia="zh-CN" w:bidi="ar"/>
              </w:rPr>
              <w:t>15分</w:t>
            </w: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val="en-US" w:eastAsia="zh-CN" w:bidi="ar"/>
              </w:rPr>
              <w:t>经营场所</w:t>
            </w:r>
            <w:r>
              <w:rPr>
                <w:rFonts w:hint="eastAsia" w:ascii="微软雅黑" w:hAnsi="微软雅黑" w:eastAsia="微软雅黑" w:cs="微软雅黑"/>
                <w:color w:val="000000"/>
                <w:kern w:val="0"/>
                <w:sz w:val="21"/>
                <w:szCs w:val="21"/>
                <w:lang w:bidi="ar"/>
              </w:rPr>
              <w:t>及附属服务区域的环境卫生</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val="en-US" w:eastAsia="zh-CN" w:bidi="ar"/>
              </w:rPr>
              <w:t>经营场所</w:t>
            </w:r>
            <w:r>
              <w:rPr>
                <w:rFonts w:hint="eastAsia" w:ascii="微软雅黑" w:hAnsi="微软雅黑" w:eastAsia="微软雅黑" w:cs="微软雅黑"/>
                <w:color w:val="000000"/>
                <w:kern w:val="0"/>
                <w:sz w:val="21"/>
                <w:szCs w:val="21"/>
                <w:lang w:bidi="ar"/>
              </w:rPr>
              <w:t>及附属区卫生不合格，一次</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餐厨用具清洁消毒及保管</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发现餐厨用具不干净的，一次</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，未定期消毒</w:t>
            </w:r>
            <w:r>
              <w:rPr>
                <w:rFonts w:hint="eastAsia" w:ascii="微软雅黑" w:hAnsi="微软雅黑" w:eastAsia="微软雅黑" w:cs="微软雅黑"/>
                <w:color w:val="000000"/>
                <w:kern w:val="0"/>
                <w:sz w:val="21"/>
                <w:szCs w:val="21"/>
                <w:lang w:val="en-US" w:eastAsia="zh-CN" w:bidi="ar"/>
              </w:rPr>
              <w:t>及消毒不符合规范的，</w:t>
            </w:r>
            <w:r>
              <w:rPr>
                <w:rFonts w:hint="eastAsia" w:ascii="微软雅黑" w:hAnsi="微软雅黑" w:eastAsia="微软雅黑" w:cs="微软雅黑"/>
                <w:color w:val="000000"/>
                <w:kern w:val="0"/>
                <w:sz w:val="21"/>
                <w:szCs w:val="21"/>
                <w:lang w:bidi="ar"/>
              </w:rPr>
              <w:t>一次</w:t>
            </w:r>
            <w:r>
              <w:rPr>
                <w:rFonts w:hint="eastAsia" w:ascii="微软雅黑" w:hAnsi="微软雅黑" w:eastAsia="微软雅黑" w:cs="微软雅黑"/>
                <w:color w:val="000000"/>
                <w:kern w:val="0"/>
                <w:sz w:val="21"/>
                <w:szCs w:val="21"/>
                <w:lang w:val="en-US" w:eastAsia="zh-CN" w:bidi="ar"/>
              </w:rPr>
              <w:t>扣2分</w:t>
            </w:r>
            <w:r>
              <w:rPr>
                <w:rFonts w:hint="eastAsia" w:ascii="微软雅黑" w:hAnsi="微软雅黑" w:eastAsia="微软雅黑" w:cs="微软雅黑"/>
                <w:color w:val="000000"/>
                <w:kern w:val="0"/>
                <w:sz w:val="21"/>
                <w:szCs w:val="21"/>
                <w:lang w:bidi="ar"/>
              </w:rPr>
              <w:t>，故意损毁餐厨用具的</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并赔偿相应损失。</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val="en-US" w:eastAsia="zh-CN" w:bidi="ar"/>
              </w:rPr>
              <w:t>人员</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val="en-US" w:eastAsia="zh-CN" w:bidi="ar"/>
              </w:rPr>
              <w:t>着装符合要求清洁卫生达标。不合格1次/人扣0.1分。</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其它</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地面的防滑措施不到位,造成人员摔倒的,一次</w:t>
            </w:r>
            <w:r>
              <w:rPr>
                <w:rFonts w:hint="eastAsia" w:ascii="微软雅黑" w:hAnsi="微软雅黑" w:eastAsia="微软雅黑" w:cs="微软雅黑"/>
                <w:color w:val="000000"/>
                <w:kern w:val="0"/>
                <w:sz w:val="21"/>
                <w:szCs w:val="21"/>
                <w:lang w:val="en-US" w:eastAsia="zh-CN" w:bidi="ar"/>
              </w:rPr>
              <w:t>扣0.2分</w:t>
            </w:r>
            <w:r>
              <w:rPr>
                <w:rFonts w:hint="eastAsia" w:ascii="微软雅黑" w:hAnsi="微软雅黑" w:eastAsia="微软雅黑" w:cs="微软雅黑"/>
                <w:color w:val="000000"/>
                <w:kern w:val="0"/>
                <w:sz w:val="21"/>
                <w:szCs w:val="21"/>
                <w:lang w:bidi="ar"/>
              </w:rPr>
              <w:t>并赔偿相应损失。</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p>
        </w:tc>
        <w:tc>
          <w:tcPr>
            <w:tcW w:w="920" w:type="dxa"/>
            <w:vMerge w:val="restart"/>
            <w:tcBorders>
              <w:top w:val="single" w:color="000000" w:sz="4" w:space="0"/>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r>
              <w:rPr>
                <w:rFonts w:hint="eastAsia" w:ascii="微软雅黑" w:hAnsi="微软雅黑" w:eastAsia="微软雅黑" w:cs="微软雅黑"/>
                <w:b/>
                <w:kern w:val="0"/>
                <w:sz w:val="21"/>
                <w:szCs w:val="21"/>
                <w:lang w:bidi="ar"/>
              </w:rPr>
              <w:t>成本</w:t>
            </w:r>
            <w:r>
              <w:rPr>
                <w:rFonts w:hint="eastAsia" w:ascii="微软雅黑" w:hAnsi="微软雅黑" w:eastAsia="微软雅黑" w:cs="微软雅黑"/>
                <w:b/>
                <w:kern w:val="0"/>
                <w:sz w:val="21"/>
                <w:szCs w:val="21"/>
                <w:lang w:val="en-US" w:eastAsia="zh-CN" w:bidi="ar"/>
              </w:rPr>
              <w:t xml:space="preserve">  </w:t>
            </w:r>
            <w:r>
              <w:rPr>
                <w:rFonts w:hint="eastAsia" w:ascii="微软雅黑" w:hAnsi="微软雅黑" w:eastAsia="微软雅黑" w:cs="微软雅黑"/>
                <w:b/>
                <w:kern w:val="0"/>
                <w:sz w:val="21"/>
                <w:szCs w:val="21"/>
                <w:lang w:bidi="ar"/>
              </w:rPr>
              <w:t>管理</w:t>
            </w:r>
          </w:p>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kern w:val="0"/>
                <w:sz w:val="21"/>
                <w:szCs w:val="21"/>
                <w:lang w:val="en-US" w:eastAsia="zh-CN" w:bidi="ar"/>
              </w:rPr>
              <w:t>5分</w:t>
            </w: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节约使用水、电、气等能源</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发现浪费水电气情况、不及时关水电气等现象，一次</w:t>
            </w:r>
            <w:r>
              <w:rPr>
                <w:rFonts w:hint="eastAsia" w:ascii="微软雅黑" w:hAnsi="微软雅黑" w:eastAsia="微软雅黑" w:cs="微软雅黑"/>
                <w:color w:val="000000"/>
                <w:kern w:val="0"/>
                <w:sz w:val="21"/>
                <w:szCs w:val="21"/>
                <w:lang w:val="en-US" w:eastAsia="zh-CN" w:bidi="ar"/>
              </w:rPr>
              <w:t>扣0.2分</w:t>
            </w:r>
            <w:r>
              <w:rPr>
                <w:rFonts w:hint="eastAsia" w:ascii="微软雅黑" w:hAnsi="微软雅黑" w:eastAsia="微软雅黑" w:cs="微软雅黑"/>
                <w:color w:val="000000"/>
                <w:kern w:val="0"/>
                <w:sz w:val="21"/>
                <w:szCs w:val="21"/>
                <w:lang w:bidi="ar"/>
              </w:rPr>
              <w:t>等。</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合理使用库存物资</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发现库存物资过期或腐烂变质不能使用的，一次</w:t>
            </w:r>
            <w:r>
              <w:rPr>
                <w:rFonts w:hint="eastAsia" w:ascii="微软雅黑" w:hAnsi="微软雅黑" w:eastAsia="微软雅黑" w:cs="微软雅黑"/>
                <w:color w:val="000000"/>
                <w:kern w:val="0"/>
                <w:sz w:val="21"/>
                <w:szCs w:val="21"/>
                <w:lang w:val="en-US" w:eastAsia="zh-CN" w:bidi="ar"/>
              </w:rPr>
              <w:t>扣1分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28"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p>
        </w:tc>
        <w:tc>
          <w:tcPr>
            <w:tcW w:w="920" w:type="dxa"/>
            <w:vMerge w:val="restart"/>
            <w:tcBorders>
              <w:top w:val="single" w:color="000000" w:sz="4" w:space="0"/>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r>
              <w:rPr>
                <w:rFonts w:hint="eastAsia" w:ascii="微软雅黑" w:hAnsi="微软雅黑" w:eastAsia="微软雅黑" w:cs="微软雅黑"/>
                <w:b/>
                <w:kern w:val="0"/>
                <w:sz w:val="21"/>
                <w:szCs w:val="21"/>
                <w:lang w:bidi="ar"/>
              </w:rPr>
              <w:t>日常</w:t>
            </w:r>
            <w:r>
              <w:rPr>
                <w:rFonts w:hint="eastAsia" w:ascii="微软雅黑" w:hAnsi="微软雅黑" w:eastAsia="微软雅黑" w:cs="微软雅黑"/>
                <w:b/>
                <w:kern w:val="0"/>
                <w:sz w:val="21"/>
                <w:szCs w:val="21"/>
                <w:lang w:val="en-US" w:eastAsia="zh-CN" w:bidi="ar"/>
              </w:rPr>
              <w:t xml:space="preserve">  </w:t>
            </w:r>
            <w:r>
              <w:rPr>
                <w:rFonts w:hint="eastAsia" w:ascii="微软雅黑" w:hAnsi="微软雅黑" w:eastAsia="微软雅黑" w:cs="微软雅黑"/>
                <w:b/>
                <w:kern w:val="0"/>
                <w:sz w:val="21"/>
                <w:szCs w:val="21"/>
                <w:lang w:bidi="ar"/>
              </w:rPr>
              <w:t>管理</w:t>
            </w:r>
          </w:p>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val="en-US" w:eastAsia="zh-CN" w:bidi="ar"/>
              </w:rPr>
            </w:pPr>
            <w:r>
              <w:rPr>
                <w:rFonts w:hint="eastAsia" w:ascii="微软雅黑" w:hAnsi="微软雅黑" w:eastAsia="微软雅黑" w:cs="微软雅黑"/>
                <w:b/>
                <w:kern w:val="0"/>
                <w:sz w:val="21"/>
                <w:szCs w:val="21"/>
                <w:lang w:val="en-US" w:eastAsia="zh-CN" w:bidi="ar"/>
              </w:rPr>
              <w:t>15分</w:t>
            </w: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公司考</w:t>
            </w:r>
            <w:r>
              <w:rPr>
                <w:rFonts w:hint="eastAsia" w:ascii="微软雅黑" w:hAnsi="微软雅黑" w:eastAsia="微软雅黑" w:cs="微软雅黑"/>
                <w:color w:val="000000"/>
                <w:kern w:val="0"/>
                <w:sz w:val="21"/>
                <w:szCs w:val="21"/>
                <w:lang w:val="en-US" w:eastAsia="zh-CN" w:bidi="ar"/>
              </w:rPr>
              <w:t>核情况</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公司对本项目有考核规定并按月执行，未执行一次</w:t>
            </w:r>
            <w:r>
              <w:rPr>
                <w:rFonts w:hint="eastAsia" w:ascii="微软雅黑" w:hAnsi="微软雅黑" w:eastAsia="微软雅黑" w:cs="微软雅黑"/>
                <w:color w:val="000000"/>
                <w:kern w:val="0"/>
                <w:sz w:val="21"/>
                <w:szCs w:val="21"/>
                <w:lang w:val="en-US" w:eastAsia="zh-CN" w:bidi="ar"/>
              </w:rPr>
              <w:t>扣2分</w:t>
            </w:r>
            <w:r>
              <w:rPr>
                <w:rFonts w:hint="eastAsia" w:ascii="微软雅黑" w:hAnsi="微软雅黑" w:eastAsia="微软雅黑" w:cs="微软雅黑"/>
                <w:color w:val="000000"/>
                <w:kern w:val="0"/>
                <w:sz w:val="21"/>
                <w:szCs w:val="21"/>
                <w:lang w:bidi="ar"/>
              </w:rPr>
              <w:t>；公司项目组外管理人员或考核监管人员必须每月到项目现场了解运行情况，与甲方座谈交流保障情况，缺少一次</w:t>
            </w:r>
            <w:r>
              <w:rPr>
                <w:rFonts w:hint="eastAsia" w:ascii="微软雅黑" w:hAnsi="微软雅黑" w:eastAsia="微软雅黑" w:cs="微软雅黑"/>
                <w:color w:val="000000"/>
                <w:kern w:val="0"/>
                <w:sz w:val="21"/>
                <w:szCs w:val="21"/>
                <w:lang w:val="en-US" w:eastAsia="zh-CN" w:bidi="ar"/>
              </w:rPr>
              <w:t>扣2分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设施设备运行</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未按规定使用或违规操作设施设备的，一次</w:t>
            </w:r>
            <w:r>
              <w:rPr>
                <w:rFonts w:hint="eastAsia" w:ascii="微软雅黑" w:hAnsi="微软雅黑" w:eastAsia="微软雅黑" w:cs="微软雅黑"/>
                <w:color w:val="000000"/>
                <w:kern w:val="0"/>
                <w:sz w:val="21"/>
                <w:szCs w:val="21"/>
                <w:lang w:val="en-US" w:eastAsia="zh-CN" w:bidi="ar"/>
              </w:rPr>
              <w:t>扣0.2分</w:t>
            </w:r>
            <w:r>
              <w:rPr>
                <w:rFonts w:hint="eastAsia" w:ascii="微软雅黑" w:hAnsi="微软雅黑" w:eastAsia="微软雅黑" w:cs="微软雅黑"/>
                <w:color w:val="000000"/>
                <w:kern w:val="0"/>
                <w:sz w:val="21"/>
                <w:szCs w:val="21"/>
                <w:lang w:bidi="ar"/>
              </w:rPr>
              <w:t>，造成设施设备损坏的须修复或照价赔偿等。</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57" w:type="dxa"/>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920" w:type="dxa"/>
            <w:vMerge w:val="continue"/>
            <w:tcBorders>
              <w:top w:val="nil"/>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1519"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val="en-US" w:eastAsia="zh-CN" w:bidi="ar"/>
              </w:rPr>
              <w:t>任务完成情况</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val="en-US" w:eastAsia="zh-CN" w:bidi="ar"/>
              </w:rPr>
              <w:t>公司</w:t>
            </w:r>
            <w:r>
              <w:rPr>
                <w:rFonts w:hint="eastAsia" w:ascii="微软雅黑" w:hAnsi="微软雅黑" w:eastAsia="微软雅黑" w:cs="微软雅黑"/>
                <w:color w:val="000000"/>
                <w:kern w:val="0"/>
                <w:sz w:val="21"/>
                <w:szCs w:val="21"/>
                <w:lang w:bidi="ar"/>
              </w:rPr>
              <w:t>未按照甲方要求完成应急保障任务，一次</w:t>
            </w:r>
            <w:r>
              <w:rPr>
                <w:rFonts w:hint="eastAsia" w:ascii="微软雅黑" w:hAnsi="微软雅黑" w:eastAsia="微软雅黑" w:cs="微软雅黑"/>
                <w:color w:val="000000"/>
                <w:kern w:val="0"/>
                <w:sz w:val="21"/>
                <w:szCs w:val="21"/>
                <w:lang w:val="en-US" w:eastAsia="zh-CN" w:bidi="ar"/>
              </w:rPr>
              <w:t>扣2分</w:t>
            </w:r>
            <w:r>
              <w:rPr>
                <w:rFonts w:hint="eastAsia" w:ascii="微软雅黑" w:hAnsi="微软雅黑" w:eastAsia="微软雅黑" w:cs="微软雅黑"/>
                <w:color w:val="000000"/>
                <w:kern w:val="0"/>
                <w:sz w:val="21"/>
                <w:szCs w:val="21"/>
                <w:lang w:bidi="ar"/>
              </w:rPr>
              <w:t>，造成严重后果的一次</w:t>
            </w:r>
            <w:r>
              <w:rPr>
                <w:rFonts w:hint="eastAsia" w:ascii="微软雅黑" w:hAnsi="微软雅黑" w:eastAsia="微软雅黑" w:cs="微软雅黑"/>
                <w:color w:val="000000"/>
                <w:kern w:val="0"/>
                <w:sz w:val="21"/>
                <w:szCs w:val="21"/>
                <w:lang w:val="en-US" w:eastAsia="zh-CN" w:bidi="ar"/>
              </w:rPr>
              <w:t>扣3-5分</w:t>
            </w:r>
            <w:r>
              <w:rPr>
                <w:rFonts w:hint="eastAsia" w:ascii="微软雅黑" w:hAnsi="微软雅黑" w:eastAsia="微软雅黑" w:cs="微软雅黑"/>
                <w:color w:val="000000"/>
                <w:kern w:val="0"/>
                <w:sz w:val="21"/>
                <w:szCs w:val="21"/>
                <w:lang w:bidi="ar"/>
              </w:rPr>
              <w:t>。</w:t>
            </w:r>
            <w:r>
              <w:rPr>
                <w:rFonts w:hint="eastAsia" w:ascii="微软雅黑" w:hAnsi="微软雅黑" w:eastAsia="微软雅黑" w:cs="微软雅黑"/>
                <w:color w:val="000000"/>
                <w:kern w:val="0"/>
                <w:sz w:val="21"/>
                <w:szCs w:val="21"/>
                <w:lang w:val="en-US" w:eastAsia="zh-CN" w:bidi="ar"/>
              </w:rPr>
              <w:t>公司未遵守甲方的相关管理规定，1次扣0.5分。</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996" w:type="dxa"/>
            <w:gridSpan w:val="3"/>
            <w:vMerge w:val="restart"/>
            <w:tcBorders>
              <w:top w:val="single" w:color="000000" w:sz="4" w:space="0"/>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sz w:val="21"/>
                <w:szCs w:val="21"/>
              </w:rPr>
            </w:pPr>
            <w:r>
              <w:rPr>
                <w:rFonts w:hint="eastAsia" w:ascii="微软雅黑" w:hAnsi="微软雅黑" w:eastAsia="微软雅黑" w:cs="微软雅黑"/>
                <w:b/>
                <w:kern w:val="0"/>
                <w:sz w:val="21"/>
                <w:szCs w:val="21"/>
                <w:lang w:bidi="ar"/>
              </w:rPr>
              <w:t>需说明的事项</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1</w:t>
            </w:r>
            <w:r>
              <w:rPr>
                <w:rFonts w:hint="eastAsia" w:ascii="微软雅黑" w:hAnsi="微软雅黑" w:eastAsia="微软雅黑" w:cs="微软雅黑"/>
                <w:color w:val="000000"/>
                <w:kern w:val="0"/>
                <w:sz w:val="21"/>
                <w:szCs w:val="21"/>
                <w:lang w:val="en-US" w:eastAsia="zh-CN" w:bidi="ar"/>
              </w:rPr>
              <w:t>.造成较大影响的</w:t>
            </w:r>
            <w:r>
              <w:rPr>
                <w:rFonts w:hint="eastAsia" w:ascii="微软雅黑" w:hAnsi="微软雅黑" w:eastAsia="微软雅黑" w:cs="微软雅黑"/>
                <w:color w:val="000000"/>
                <w:kern w:val="0"/>
                <w:sz w:val="21"/>
                <w:szCs w:val="21"/>
                <w:lang w:bidi="ar"/>
              </w:rPr>
              <w:t>，双倍</w:t>
            </w:r>
            <w:r>
              <w:rPr>
                <w:rFonts w:hint="eastAsia" w:ascii="微软雅黑" w:hAnsi="微软雅黑" w:eastAsia="微软雅黑" w:cs="微软雅黑"/>
                <w:color w:val="000000"/>
                <w:kern w:val="0"/>
                <w:sz w:val="21"/>
                <w:szCs w:val="21"/>
                <w:lang w:val="en-US" w:eastAsia="zh-CN" w:bidi="ar"/>
              </w:rPr>
              <w:t>扣</w:t>
            </w:r>
            <w:r>
              <w:rPr>
                <w:rFonts w:hint="eastAsia" w:ascii="微软雅黑" w:hAnsi="微软雅黑" w:eastAsia="微软雅黑" w:cs="微软雅黑"/>
                <w:color w:val="000000"/>
                <w:kern w:val="0"/>
                <w:sz w:val="21"/>
                <w:szCs w:val="21"/>
                <w:lang w:bidi="ar"/>
              </w:rPr>
              <w:t>分；</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996" w:type="dxa"/>
            <w:gridSpan w:val="3"/>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bidi="ar"/>
              </w:rPr>
              <w:t>2</w:t>
            </w:r>
            <w:r>
              <w:rPr>
                <w:rFonts w:hint="eastAsia" w:ascii="微软雅黑" w:hAnsi="微软雅黑" w:eastAsia="微软雅黑" w:cs="微软雅黑"/>
                <w:color w:val="000000"/>
                <w:kern w:val="0"/>
                <w:sz w:val="21"/>
                <w:szCs w:val="21"/>
                <w:lang w:val="en-US" w:eastAsia="zh-CN" w:bidi="ar"/>
              </w:rPr>
              <w:t>.</w:t>
            </w:r>
            <w:r>
              <w:rPr>
                <w:rFonts w:hint="eastAsia" w:ascii="微软雅黑" w:hAnsi="微软雅黑" w:eastAsia="微软雅黑" w:cs="微软雅黑"/>
                <w:color w:val="000000"/>
                <w:kern w:val="0"/>
                <w:sz w:val="21"/>
                <w:szCs w:val="21"/>
                <w:lang w:bidi="ar"/>
              </w:rPr>
              <w:t>每个月相同失误重复出现，第二次双倍</w:t>
            </w:r>
            <w:r>
              <w:rPr>
                <w:rFonts w:hint="eastAsia" w:ascii="微软雅黑" w:hAnsi="微软雅黑" w:eastAsia="微软雅黑" w:cs="微软雅黑"/>
                <w:color w:val="000000"/>
                <w:kern w:val="0"/>
                <w:sz w:val="21"/>
                <w:szCs w:val="21"/>
                <w:lang w:val="en-US" w:eastAsia="zh-CN" w:bidi="ar"/>
              </w:rPr>
              <w:t>扣分</w:t>
            </w:r>
            <w:r>
              <w:rPr>
                <w:rFonts w:hint="eastAsia" w:ascii="微软雅黑" w:hAnsi="微软雅黑" w:eastAsia="微软雅黑" w:cs="微软雅黑"/>
                <w:color w:val="000000"/>
                <w:kern w:val="0"/>
                <w:sz w:val="21"/>
                <w:szCs w:val="21"/>
                <w:lang w:bidi="ar"/>
              </w:rPr>
              <w:t>，第三次开始四倍</w:t>
            </w:r>
            <w:r>
              <w:rPr>
                <w:rFonts w:hint="eastAsia" w:ascii="微软雅黑" w:hAnsi="微软雅黑" w:eastAsia="微软雅黑" w:cs="微软雅黑"/>
                <w:color w:val="000000"/>
                <w:kern w:val="0"/>
                <w:sz w:val="21"/>
                <w:szCs w:val="21"/>
                <w:lang w:val="en-US" w:eastAsia="zh-CN" w:bidi="ar"/>
              </w:rPr>
              <w:t>扣分</w:t>
            </w:r>
            <w:r>
              <w:rPr>
                <w:rFonts w:hint="eastAsia" w:ascii="微软雅黑" w:hAnsi="微软雅黑" w:eastAsia="微软雅黑" w:cs="微软雅黑"/>
                <w:color w:val="000000"/>
                <w:kern w:val="0"/>
                <w:sz w:val="21"/>
                <w:szCs w:val="21"/>
                <w:lang w:bidi="ar"/>
              </w:rPr>
              <w:t>。</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996" w:type="dxa"/>
            <w:gridSpan w:val="3"/>
            <w:vMerge w:val="continue"/>
            <w:tcBorders>
              <w:top w:val="nil"/>
              <w:left w:val="single" w:color="auto"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rPr>
                <w:rFonts w:hint="eastAsia" w:ascii="微软雅黑" w:hAnsi="微软雅黑" w:eastAsia="微软雅黑" w:cs="微软雅黑"/>
                <w:b/>
                <w:sz w:val="21"/>
                <w:szCs w:val="21"/>
              </w:rPr>
            </w:pP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val="en-US" w:eastAsia="zh-CN" w:bidi="ar"/>
              </w:rPr>
            </w:pPr>
            <w:r>
              <w:rPr>
                <w:rFonts w:hint="eastAsia" w:ascii="微软雅黑" w:hAnsi="微软雅黑" w:eastAsia="微软雅黑" w:cs="微软雅黑"/>
                <w:color w:val="000000"/>
                <w:kern w:val="0"/>
                <w:sz w:val="21"/>
                <w:szCs w:val="21"/>
                <w:lang w:val="en-US" w:eastAsia="zh-CN" w:bidi="ar"/>
              </w:rPr>
              <w:t>3.公司经营活动对医院</w:t>
            </w:r>
            <w:r>
              <w:rPr>
                <w:rFonts w:hint="eastAsia" w:ascii="微软雅黑" w:hAnsi="微软雅黑" w:eastAsia="微软雅黑" w:cs="微软雅黑"/>
                <w:color w:val="000000"/>
                <w:kern w:val="0"/>
                <w:sz w:val="21"/>
                <w:szCs w:val="21"/>
                <w:lang w:bidi="ar"/>
              </w:rPr>
              <w:t>声誉</w:t>
            </w:r>
            <w:r>
              <w:rPr>
                <w:rFonts w:hint="eastAsia" w:ascii="微软雅黑" w:hAnsi="微软雅黑" w:eastAsia="微软雅黑" w:cs="微软雅黑"/>
                <w:color w:val="000000"/>
                <w:kern w:val="0"/>
                <w:sz w:val="21"/>
                <w:szCs w:val="21"/>
                <w:lang w:val="en-US" w:eastAsia="zh-CN" w:bidi="ar"/>
              </w:rPr>
              <w:t>造成</w:t>
            </w:r>
            <w:r>
              <w:rPr>
                <w:rFonts w:hint="eastAsia" w:ascii="微软雅黑" w:hAnsi="微软雅黑" w:eastAsia="微软雅黑" w:cs="微软雅黑"/>
                <w:color w:val="000000"/>
                <w:kern w:val="0"/>
                <w:sz w:val="21"/>
                <w:szCs w:val="21"/>
                <w:lang w:bidi="ar"/>
              </w:rPr>
              <w:t>影响</w:t>
            </w:r>
            <w:r>
              <w:rPr>
                <w:rFonts w:hint="eastAsia" w:ascii="微软雅黑" w:hAnsi="微软雅黑" w:eastAsia="微软雅黑" w:cs="微软雅黑"/>
                <w:color w:val="000000"/>
                <w:kern w:val="0"/>
                <w:sz w:val="21"/>
                <w:szCs w:val="21"/>
                <w:lang w:val="en-US" w:eastAsia="zh-CN" w:bidi="ar"/>
              </w:rPr>
              <w:t>的</w:t>
            </w:r>
            <w:r>
              <w:rPr>
                <w:rFonts w:hint="eastAsia" w:ascii="微软雅黑" w:hAnsi="微软雅黑" w:eastAsia="微软雅黑" w:cs="微软雅黑"/>
                <w:color w:val="000000"/>
                <w:kern w:val="0"/>
                <w:sz w:val="21"/>
                <w:szCs w:val="21"/>
                <w:lang w:bidi="ar"/>
              </w:rPr>
              <w:t>，</w:t>
            </w:r>
            <w:r>
              <w:rPr>
                <w:rFonts w:hint="eastAsia" w:ascii="微软雅黑" w:hAnsi="微软雅黑" w:eastAsia="微软雅黑" w:cs="微软雅黑"/>
                <w:color w:val="000000"/>
                <w:kern w:val="0"/>
                <w:sz w:val="21"/>
                <w:szCs w:val="21"/>
                <w:lang w:val="en-US" w:eastAsia="zh-CN" w:bidi="ar"/>
              </w:rPr>
              <w:t>医院有权追究相关责任。</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16" w:hRule="atLeast"/>
          <w:jc w:val="center"/>
        </w:trPr>
        <w:tc>
          <w:tcPr>
            <w:tcW w:w="2996" w:type="dxa"/>
            <w:gridSpan w:val="3"/>
            <w:vMerge w:val="restart"/>
            <w:tcBorders>
              <w:top w:val="single" w:color="000000" w:sz="4" w:space="0"/>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r>
              <w:rPr>
                <w:rFonts w:hint="eastAsia" w:ascii="微软雅黑" w:hAnsi="微软雅黑" w:eastAsia="微软雅黑" w:cs="微软雅黑"/>
                <w:b/>
                <w:kern w:val="0"/>
                <w:sz w:val="21"/>
                <w:szCs w:val="21"/>
                <w:lang w:bidi="ar"/>
              </w:rPr>
              <w:t>退出机制</w:t>
            </w: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bidi="ar"/>
              </w:rPr>
            </w:pPr>
            <w:r>
              <w:rPr>
                <w:rFonts w:hint="eastAsia" w:ascii="微软雅黑" w:hAnsi="微软雅黑" w:eastAsia="微软雅黑" w:cs="微软雅黑"/>
                <w:color w:val="000000"/>
                <w:kern w:val="0"/>
                <w:sz w:val="21"/>
                <w:szCs w:val="21"/>
                <w:lang w:val="en-US" w:eastAsia="zh-CN" w:bidi="ar"/>
              </w:rPr>
              <w:t>1.</w:t>
            </w:r>
            <w:r>
              <w:rPr>
                <w:rFonts w:hint="eastAsia" w:ascii="微软雅黑" w:hAnsi="微软雅黑" w:eastAsia="微软雅黑" w:cs="微软雅黑"/>
                <w:color w:val="000000"/>
                <w:kern w:val="0"/>
                <w:sz w:val="21"/>
                <w:szCs w:val="21"/>
                <w:lang w:bidi="ar"/>
              </w:rPr>
              <w:t>如发生确实的群体食物中毒事件（经相关部门核准），立即启动退出机制，同时供应商须承担采购人全部经济损失，并视情节严重程度</w:t>
            </w:r>
            <w:r>
              <w:rPr>
                <w:rFonts w:hint="eastAsia" w:ascii="微软雅黑" w:hAnsi="微软雅黑" w:eastAsia="微软雅黑" w:cs="微软雅黑"/>
                <w:color w:val="000000"/>
                <w:kern w:val="0"/>
                <w:sz w:val="21"/>
                <w:szCs w:val="21"/>
                <w:lang w:eastAsia="zh-CN" w:bidi="ar"/>
              </w:rPr>
              <w:t>罚</w:t>
            </w:r>
            <w:r>
              <w:rPr>
                <w:rFonts w:hint="eastAsia" w:ascii="微软雅黑" w:hAnsi="微软雅黑" w:eastAsia="微软雅黑" w:cs="微软雅黑"/>
                <w:color w:val="000000"/>
                <w:kern w:val="0"/>
                <w:sz w:val="21"/>
                <w:szCs w:val="21"/>
                <w:lang w:bidi="ar"/>
              </w:rPr>
              <w:t>取相应履约保证金。</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996" w:type="dxa"/>
            <w:gridSpan w:val="3"/>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bidi="ar"/>
              </w:rPr>
            </w:pPr>
            <w:r>
              <w:rPr>
                <w:rFonts w:hint="eastAsia" w:ascii="微软雅黑" w:hAnsi="微软雅黑" w:eastAsia="微软雅黑" w:cs="微软雅黑"/>
                <w:color w:val="000000"/>
                <w:kern w:val="0"/>
                <w:sz w:val="21"/>
                <w:szCs w:val="21"/>
                <w:lang w:val="en-US" w:eastAsia="zh-CN" w:bidi="ar"/>
              </w:rPr>
              <w:t>2.</w:t>
            </w:r>
            <w:r>
              <w:rPr>
                <w:rFonts w:hint="eastAsia" w:ascii="微软雅黑" w:hAnsi="微软雅黑" w:eastAsia="微软雅黑" w:cs="微软雅黑"/>
                <w:color w:val="000000"/>
                <w:kern w:val="0"/>
                <w:sz w:val="21"/>
                <w:szCs w:val="21"/>
                <w:lang w:bidi="ar"/>
              </w:rPr>
              <w:t>如发生重大消防事故（经相关部门核准），立即启动退出机制，同时</w:t>
            </w:r>
            <w:r>
              <w:rPr>
                <w:rFonts w:hint="eastAsia" w:ascii="微软雅黑" w:hAnsi="微软雅黑" w:eastAsia="微软雅黑" w:cs="微软雅黑"/>
                <w:color w:val="000000"/>
                <w:kern w:val="0"/>
                <w:sz w:val="21"/>
                <w:szCs w:val="21"/>
                <w:lang w:val="en-US" w:eastAsia="zh-CN" w:bidi="ar"/>
              </w:rPr>
              <w:t>投标人</w:t>
            </w:r>
            <w:r>
              <w:rPr>
                <w:rFonts w:hint="eastAsia" w:ascii="微软雅黑" w:hAnsi="微软雅黑" w:eastAsia="微软雅黑" w:cs="微软雅黑"/>
                <w:color w:val="000000"/>
                <w:kern w:val="0"/>
                <w:sz w:val="21"/>
                <w:szCs w:val="21"/>
                <w:lang w:bidi="ar"/>
              </w:rPr>
              <w:t>须承担采</w:t>
            </w:r>
            <w:r>
              <w:rPr>
                <w:rFonts w:hint="eastAsia" w:ascii="微软雅黑" w:hAnsi="微软雅黑" w:eastAsia="微软雅黑" w:cs="微软雅黑"/>
                <w:color w:val="000000"/>
                <w:kern w:val="0"/>
                <w:sz w:val="21"/>
                <w:szCs w:val="21"/>
                <w:lang w:val="en-US" w:eastAsia="zh-CN" w:bidi="ar"/>
              </w:rPr>
              <w:t>招标人</w:t>
            </w:r>
            <w:r>
              <w:rPr>
                <w:rFonts w:hint="eastAsia" w:ascii="微软雅黑" w:hAnsi="微软雅黑" w:eastAsia="微软雅黑" w:cs="微软雅黑"/>
                <w:color w:val="000000"/>
                <w:kern w:val="0"/>
                <w:sz w:val="21"/>
                <w:szCs w:val="21"/>
                <w:lang w:bidi="ar"/>
              </w:rPr>
              <w:t>全部经济损失，并视情节严重程度</w:t>
            </w:r>
            <w:r>
              <w:rPr>
                <w:rFonts w:hint="eastAsia" w:ascii="微软雅黑" w:hAnsi="微软雅黑" w:eastAsia="微软雅黑" w:cs="微软雅黑"/>
                <w:color w:val="000000"/>
                <w:kern w:val="0"/>
                <w:sz w:val="21"/>
                <w:szCs w:val="21"/>
                <w:lang w:eastAsia="zh-CN" w:bidi="ar"/>
              </w:rPr>
              <w:t>罚</w:t>
            </w:r>
            <w:r>
              <w:rPr>
                <w:rFonts w:hint="eastAsia" w:ascii="微软雅黑" w:hAnsi="微软雅黑" w:eastAsia="微软雅黑" w:cs="微软雅黑"/>
                <w:color w:val="000000"/>
                <w:kern w:val="0"/>
                <w:sz w:val="21"/>
                <w:szCs w:val="21"/>
                <w:lang w:bidi="ar"/>
              </w:rPr>
              <w:t>取相应履约保证金。</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54" w:hRule="atLeast"/>
          <w:jc w:val="center"/>
        </w:trPr>
        <w:tc>
          <w:tcPr>
            <w:tcW w:w="2996" w:type="dxa"/>
            <w:gridSpan w:val="3"/>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bidi="ar"/>
              </w:rPr>
            </w:pPr>
            <w:r>
              <w:rPr>
                <w:rFonts w:hint="eastAsia" w:ascii="微软雅黑" w:hAnsi="微软雅黑" w:eastAsia="微软雅黑" w:cs="微软雅黑"/>
                <w:color w:val="000000"/>
                <w:kern w:val="0"/>
                <w:sz w:val="21"/>
                <w:szCs w:val="21"/>
                <w:lang w:val="en-US" w:eastAsia="zh-CN" w:bidi="ar"/>
              </w:rPr>
              <w:t>3.</w:t>
            </w:r>
            <w:r>
              <w:rPr>
                <w:rFonts w:hint="eastAsia" w:ascii="微软雅黑" w:hAnsi="微软雅黑" w:eastAsia="微软雅黑" w:cs="微软雅黑"/>
                <w:color w:val="000000"/>
                <w:kern w:val="0"/>
                <w:sz w:val="21"/>
                <w:szCs w:val="21"/>
                <w:lang w:bidi="ar"/>
              </w:rPr>
              <w:t>半年中满意度调查累计两次低于</w:t>
            </w:r>
            <w:r>
              <w:rPr>
                <w:rFonts w:hint="eastAsia" w:ascii="微软雅黑" w:hAnsi="微软雅黑" w:eastAsia="微软雅黑" w:cs="微软雅黑"/>
                <w:color w:val="000000"/>
                <w:kern w:val="0"/>
                <w:sz w:val="21"/>
                <w:szCs w:val="21"/>
                <w:lang w:val="en-US" w:eastAsia="zh-CN" w:bidi="ar"/>
              </w:rPr>
              <w:t>75</w:t>
            </w:r>
            <w:r>
              <w:rPr>
                <w:rFonts w:hint="eastAsia" w:ascii="微软雅黑" w:hAnsi="微软雅黑" w:eastAsia="微软雅黑" w:cs="微软雅黑"/>
                <w:color w:val="000000"/>
                <w:kern w:val="0"/>
                <w:sz w:val="21"/>
                <w:szCs w:val="21"/>
                <w:lang w:bidi="ar"/>
              </w:rPr>
              <w:t>%、半年中累计两次月质量考核得分低于80分</w:t>
            </w:r>
            <w:r>
              <w:rPr>
                <w:rFonts w:hint="eastAsia" w:ascii="微软雅黑" w:hAnsi="微软雅黑" w:eastAsia="微软雅黑" w:cs="微软雅黑"/>
                <w:color w:val="000000"/>
                <w:kern w:val="0"/>
                <w:sz w:val="21"/>
                <w:szCs w:val="21"/>
                <w:lang w:eastAsia="zh-CN" w:bidi="ar"/>
              </w:rPr>
              <w:t>，</w:t>
            </w:r>
            <w:r>
              <w:rPr>
                <w:rFonts w:hint="eastAsia" w:ascii="微软雅黑" w:hAnsi="微软雅黑" w:eastAsia="微软雅黑" w:cs="微软雅黑"/>
                <w:color w:val="000000"/>
                <w:kern w:val="0"/>
                <w:sz w:val="21"/>
                <w:szCs w:val="21"/>
                <w:lang w:val="en-US" w:eastAsia="zh-CN" w:bidi="ar"/>
              </w:rPr>
              <w:t>医院</w:t>
            </w:r>
            <w:r>
              <w:rPr>
                <w:rFonts w:hint="eastAsia" w:ascii="微软雅黑" w:hAnsi="微软雅黑" w:eastAsia="微软雅黑" w:cs="微软雅黑"/>
                <w:color w:val="000000"/>
                <w:kern w:val="0"/>
                <w:sz w:val="21"/>
                <w:szCs w:val="21"/>
                <w:lang w:bidi="ar"/>
              </w:rPr>
              <w:t>人可取消中选人服务商资格。</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57" w:hRule="atLeast"/>
          <w:jc w:val="center"/>
        </w:trPr>
        <w:tc>
          <w:tcPr>
            <w:tcW w:w="2996" w:type="dxa"/>
            <w:gridSpan w:val="3"/>
            <w:vMerge w:val="continue"/>
            <w:tcBorders>
              <w:top w:val="nil"/>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4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bidi="ar"/>
              </w:rPr>
            </w:pPr>
            <w:r>
              <w:rPr>
                <w:rFonts w:hint="eastAsia" w:ascii="微软雅黑" w:hAnsi="微软雅黑" w:eastAsia="微软雅黑" w:cs="微软雅黑"/>
                <w:color w:val="000000"/>
                <w:kern w:val="0"/>
                <w:sz w:val="21"/>
                <w:szCs w:val="21"/>
                <w:lang w:val="en-US" w:eastAsia="zh-CN" w:bidi="ar"/>
              </w:rPr>
              <w:t>4.乙方不按此考核办法交纳罚款的。</w:t>
            </w:r>
          </w:p>
        </w:tc>
        <w:tc>
          <w:tcPr>
            <w:tcW w:w="748"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000000"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000000"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01" w:hRule="atLeast"/>
          <w:jc w:val="center"/>
        </w:trPr>
        <w:tc>
          <w:tcPr>
            <w:tcW w:w="2996" w:type="dxa"/>
            <w:gridSpan w:val="3"/>
            <w:vMerge w:val="continue"/>
            <w:tcBorders>
              <w:top w:val="nil"/>
              <w:left w:val="single" w:color="auto" w:sz="4" w:space="0"/>
              <w:bottom w:val="single" w:color="auto"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p>
        </w:tc>
        <w:tc>
          <w:tcPr>
            <w:tcW w:w="4200" w:type="dxa"/>
            <w:tcBorders>
              <w:top w:val="single" w:color="000000" w:sz="4" w:space="0"/>
              <w:left w:val="single" w:color="000000" w:sz="4" w:space="0"/>
              <w:bottom w:val="single" w:color="auto"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textAlignment w:val="center"/>
              <w:rPr>
                <w:rFonts w:hint="eastAsia" w:ascii="微软雅黑" w:hAnsi="微软雅黑" w:eastAsia="微软雅黑" w:cs="微软雅黑"/>
                <w:color w:val="000000"/>
                <w:kern w:val="0"/>
                <w:sz w:val="21"/>
                <w:szCs w:val="21"/>
                <w:lang w:bidi="ar"/>
              </w:rPr>
            </w:pPr>
            <w:r>
              <w:rPr>
                <w:rFonts w:hint="eastAsia" w:ascii="微软雅黑" w:hAnsi="微软雅黑" w:eastAsia="微软雅黑" w:cs="微软雅黑"/>
                <w:color w:val="000000"/>
                <w:kern w:val="0"/>
                <w:sz w:val="21"/>
                <w:szCs w:val="21"/>
                <w:lang w:val="en-US" w:eastAsia="zh-CN" w:bidi="ar"/>
              </w:rPr>
              <w:t>5.乙方经营活动对医院声誉造成严重影响的。</w:t>
            </w:r>
          </w:p>
        </w:tc>
        <w:tc>
          <w:tcPr>
            <w:tcW w:w="748" w:type="dxa"/>
            <w:tcBorders>
              <w:top w:val="single" w:color="000000" w:sz="4" w:space="0"/>
              <w:left w:val="single" w:color="000000" w:sz="4" w:space="0"/>
              <w:bottom w:val="single" w:color="auto"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2120" w:type="dxa"/>
            <w:tcBorders>
              <w:top w:val="single" w:color="000000" w:sz="4" w:space="0"/>
              <w:left w:val="single" w:color="000000" w:sz="4" w:space="0"/>
              <w:bottom w:val="single" w:color="auto" w:sz="4" w:space="0"/>
              <w:right w:val="nil"/>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c>
          <w:tcPr>
            <w:tcW w:w="932" w:type="dxa"/>
            <w:tcBorders>
              <w:top w:val="single" w:color="000000" w:sz="4" w:space="0"/>
              <w:left w:val="single" w:color="000000" w:sz="4" w:space="0"/>
              <w:bottom w:val="single" w:color="auto"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2996" w:type="dxa"/>
            <w:gridSpan w:val="3"/>
            <w:vMerge w:val="restart"/>
            <w:tcBorders>
              <w:top w:val="single" w:color="auto" w:sz="4" w:space="0"/>
              <w:left w:val="single" w:color="auto"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center"/>
              <w:textAlignment w:val="center"/>
              <w:rPr>
                <w:rFonts w:hint="eastAsia" w:ascii="微软雅黑" w:hAnsi="微软雅黑" w:eastAsia="微软雅黑" w:cs="微软雅黑"/>
                <w:b/>
                <w:kern w:val="0"/>
                <w:sz w:val="21"/>
                <w:szCs w:val="21"/>
                <w:lang w:bidi="ar"/>
              </w:rPr>
            </w:pPr>
            <w:r>
              <w:rPr>
                <w:rFonts w:hint="eastAsia" w:ascii="微软雅黑" w:hAnsi="微软雅黑" w:eastAsia="微软雅黑" w:cs="微软雅黑"/>
                <w:b/>
                <w:kern w:val="0"/>
                <w:sz w:val="21"/>
                <w:szCs w:val="21"/>
                <w:lang w:bidi="ar"/>
              </w:rPr>
              <w:t>其他</w:t>
            </w:r>
          </w:p>
        </w:tc>
        <w:tc>
          <w:tcPr>
            <w:tcW w:w="4200" w:type="dxa"/>
            <w:vMerge w:val="restart"/>
            <w:tcBorders>
              <w:top w:val="single" w:color="auto" w:sz="4" w:space="0"/>
              <w:left w:val="single" w:color="000000" w:sz="4" w:space="0"/>
              <w:bottom w:val="nil"/>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r>
              <w:rPr>
                <w:rFonts w:hint="eastAsia" w:ascii="微软雅黑" w:hAnsi="微软雅黑" w:eastAsia="微软雅黑" w:cs="微软雅黑"/>
                <w:kern w:val="0"/>
                <w:sz w:val="21"/>
                <w:szCs w:val="21"/>
                <w:lang w:bidi="ar"/>
              </w:rPr>
              <w:t>最后得分：</w:t>
            </w:r>
          </w:p>
        </w:tc>
        <w:tc>
          <w:tcPr>
            <w:tcW w:w="3800" w:type="dxa"/>
            <w:gridSpan w:val="3"/>
            <w:tcBorders>
              <w:top w:val="single" w:color="auto" w:sz="4" w:space="0"/>
              <w:left w:val="single" w:color="000000" w:sz="4" w:space="0"/>
              <w:bottom w:val="nil"/>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bidi="ar"/>
              </w:rPr>
            </w:pPr>
            <w:r>
              <w:rPr>
                <w:rFonts w:hint="eastAsia" w:ascii="微软雅黑" w:hAnsi="微软雅黑" w:eastAsia="微软雅黑" w:cs="微软雅黑"/>
                <w:kern w:val="0"/>
                <w:sz w:val="21"/>
                <w:szCs w:val="21"/>
                <w:lang w:bidi="ar"/>
              </w:rPr>
              <w:t>总扣分：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2996" w:type="dxa"/>
            <w:gridSpan w:val="3"/>
            <w:vMerge w:val="continue"/>
            <w:tcBorders>
              <w:top w:val="nil"/>
              <w:left w:val="single" w:color="auto" w:sz="4" w:space="0"/>
              <w:bottom w:val="single" w:color="auto"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sz w:val="21"/>
                <w:szCs w:val="21"/>
              </w:rPr>
            </w:pPr>
          </w:p>
        </w:tc>
        <w:tc>
          <w:tcPr>
            <w:tcW w:w="4200" w:type="dxa"/>
            <w:vMerge w:val="continue"/>
            <w:tcBorders>
              <w:top w:val="nil"/>
              <w:left w:val="single" w:color="000000" w:sz="4" w:space="0"/>
              <w:bottom w:val="single" w:color="auto" w:sz="4" w:space="0"/>
              <w:right w:val="single" w:color="000000"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sz w:val="21"/>
                <w:szCs w:val="21"/>
              </w:rPr>
            </w:pPr>
          </w:p>
        </w:tc>
        <w:tc>
          <w:tcPr>
            <w:tcW w:w="3800" w:type="dxa"/>
            <w:gridSpan w:val="3"/>
            <w:tcBorders>
              <w:top w:val="single" w:color="auto" w:sz="4" w:space="0"/>
              <w:left w:val="single" w:color="000000" w:sz="4" w:space="0"/>
              <w:bottom w:val="single" w:color="auto" w:sz="4" w:space="0"/>
              <w:right w:val="single" w:color="auto" w:sz="4" w:space="0"/>
              <w:tl2br w:val="nil"/>
              <w:tr2bl w:val="nil"/>
            </w:tcBorders>
            <w:noWrap w:val="0"/>
            <w:tcMar>
              <w:top w:w="15" w:type="dxa"/>
              <w:left w:w="15" w:type="dxa"/>
              <w:right w:w="15" w:type="dxa"/>
            </w:tcMar>
            <w:vAlign w:val="center"/>
          </w:tcPr>
          <w:p>
            <w:pPr>
              <w:keepNext w:val="0"/>
              <w:keepLines w:val="0"/>
              <w:suppressLineNumbers w:val="0"/>
              <w:spacing w:before="0" w:beforeAutospacing="0" w:after="0" w:afterAutospacing="0" w:line="280" w:lineRule="atLeast"/>
              <w:ind w:left="0" w:right="0"/>
              <w:jc w:val="left"/>
              <w:textAlignment w:val="center"/>
              <w:rPr>
                <w:rFonts w:hint="eastAsia" w:ascii="微软雅黑" w:hAnsi="微软雅黑" w:eastAsia="微软雅黑" w:cs="微软雅黑"/>
                <w:kern w:val="0"/>
                <w:sz w:val="21"/>
                <w:szCs w:val="21"/>
                <w:lang w:val="en-US" w:eastAsia="zh-CN" w:bidi="ar"/>
              </w:rPr>
            </w:pPr>
            <w:r>
              <w:rPr>
                <w:rFonts w:hint="eastAsia" w:ascii="微软雅黑" w:hAnsi="微软雅黑" w:eastAsia="微软雅黑" w:cs="微软雅黑"/>
                <w:kern w:val="0"/>
                <w:sz w:val="21"/>
                <w:szCs w:val="21"/>
                <w:lang w:val="en-US" w:eastAsia="zh-CN" w:bidi="ar"/>
              </w:rPr>
              <w:t>扣款金额（元）：</w:t>
            </w:r>
          </w:p>
        </w:tc>
      </w:tr>
    </w:tbl>
    <w:p>
      <w:pPr>
        <w:pStyle w:val="2"/>
        <w:rPr>
          <w:rFonts w:hint="eastAsia" w:ascii="微软雅黑" w:hAnsi="微软雅黑" w:eastAsia="微软雅黑" w:cs="微软雅黑"/>
          <w:sz w:val="21"/>
          <w:szCs w:val="21"/>
        </w:rPr>
      </w:pPr>
      <w:r>
        <w:rPr>
          <w:rFonts w:hint="eastAsia" w:ascii="微软雅黑" w:hAnsi="微软雅黑" w:eastAsia="微软雅黑" w:cs="微软雅黑"/>
          <w:sz w:val="21"/>
          <w:szCs w:val="21"/>
          <w:lang w:eastAsia="zh-CN"/>
        </w:rPr>
        <w:t>考核人：</w:t>
      </w:r>
      <w:r>
        <w:rPr>
          <w:rFonts w:hint="eastAsia" w:ascii="微软雅黑" w:hAnsi="微软雅黑" w:eastAsia="微软雅黑" w:cs="微软雅黑"/>
          <w:sz w:val="21"/>
          <w:szCs w:val="21"/>
          <w:lang w:val="en-US" w:eastAsia="zh-CN"/>
        </w:rPr>
        <w:t xml:space="preserve">                   被考核公司：                  考核</w:t>
      </w:r>
      <w:r>
        <w:rPr>
          <w:rFonts w:hint="eastAsia" w:ascii="微软雅黑" w:hAnsi="微软雅黑" w:eastAsia="微软雅黑" w:cs="微软雅黑"/>
          <w:sz w:val="21"/>
          <w:szCs w:val="21"/>
          <w:lang w:eastAsia="zh-CN"/>
        </w:rPr>
        <w:t>时间：</w:t>
      </w:r>
    </w:p>
    <w:p>
      <w:pP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br w:type="page"/>
      </w:r>
    </w:p>
    <w:bookmarkEnd w:id="90"/>
    <w:bookmarkEnd w:id="91"/>
    <w:bookmarkEnd w:id="92"/>
    <w:p>
      <w:pPr>
        <w:pStyle w:val="5"/>
        <w:pageBreakBefore w:val="0"/>
        <w:spacing w:before="200" w:after="200" w:line="240" w:lineRule="auto"/>
        <w:jc w:val="center"/>
        <w:rPr>
          <w:rFonts w:hint="eastAsia" w:ascii="方正仿宋_GBK" w:hAnsi="Times New Roman" w:eastAsia="方正仿宋_GBK" w:cs="Times New Roman"/>
          <w:b/>
          <w:sz w:val="44"/>
          <w:szCs w:val="20"/>
        </w:rPr>
      </w:pPr>
      <w:bookmarkStart w:id="93" w:name="_Toc12791"/>
      <w:bookmarkStart w:id="94" w:name="_Toc64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93"/>
      <w:bookmarkEnd w:id="94"/>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95" w:name="_Toc106030888"/>
      <w:bookmarkStart w:id="96" w:name="_Toc14958"/>
      <w:bookmarkStart w:id="97" w:name="_Toc76462333"/>
      <w:bookmarkStart w:id="98" w:name="_Toc21007"/>
      <w:bookmarkStart w:id="99" w:name="_Toc13485"/>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95"/>
      <w:bookmarkEnd w:id="96"/>
      <w:bookmarkEnd w:id="97"/>
      <w:bookmarkEnd w:id="98"/>
      <w:bookmarkEnd w:id="9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936"/>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891"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891"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2936"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00" w:name="_Toc4495"/>
      <w:bookmarkStart w:id="101" w:name="_Toc25824"/>
      <w:r>
        <w:rPr>
          <w:rFonts w:hint="eastAsia" w:ascii="方正仿宋_GBK" w:hAnsi="宋体" w:eastAsia="方正仿宋_GBK"/>
          <w:sz w:val="24"/>
          <w:lang w:val="en-US" w:eastAsia="zh-CN"/>
        </w:rPr>
        <w:t>二、报价方式</w:t>
      </w:r>
      <w:bookmarkEnd w:id="100"/>
    </w:p>
    <w:p>
      <w:pPr>
        <w:pStyle w:val="5"/>
        <w:adjustRightInd w:val="0"/>
        <w:snapToGrid w:val="0"/>
        <w:spacing w:before="0" w:after="0" w:line="400" w:lineRule="exact"/>
        <w:ind w:firstLine="480" w:firstLineChars="200"/>
        <w:rPr>
          <w:rFonts w:hint="eastAsia" w:ascii="方正仿宋_GBK" w:hAnsi="宋体" w:eastAsia="方正仿宋_GBK"/>
          <w:b w:val="0"/>
          <w:bCs/>
          <w:sz w:val="24"/>
          <w:u w:val="single"/>
          <w:lang w:val="en-US" w:eastAsia="zh-CN"/>
        </w:rPr>
      </w:pPr>
      <w:bookmarkStart w:id="102" w:name="_Toc5837"/>
      <w:bookmarkStart w:id="103" w:name="_Toc7076"/>
      <w:r>
        <w:rPr>
          <w:rFonts w:hint="eastAsia" w:ascii="方正仿宋_GBK" w:hAnsi="宋体" w:eastAsia="方正仿宋_GBK" w:cs="Times New Roman"/>
          <w:b w:val="0"/>
          <w:bCs/>
          <w:sz w:val="24"/>
          <w:szCs w:val="24"/>
          <w:u w:val="single"/>
          <w:lang w:val="en-US" w:eastAsia="zh-CN"/>
        </w:rPr>
        <w:t>本项目为一次性报价，最终报价以投标人提交的响应文件为准，现场不再进行议价环节。</w:t>
      </w:r>
      <w:bookmarkEnd w:id="102"/>
      <w:bookmarkEnd w:id="103"/>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04" w:name="_Toc27607"/>
      <w:r>
        <w:rPr>
          <w:rFonts w:hint="eastAsia" w:ascii="方正仿宋_GBK" w:hAnsi="宋体" w:eastAsia="方正仿宋_GBK"/>
          <w:sz w:val="24"/>
          <w:lang w:val="en-US" w:eastAsia="zh-CN"/>
        </w:rPr>
        <w:t>三、评标方法</w:t>
      </w:r>
      <w:bookmarkEnd w:id="101"/>
      <w:bookmarkEnd w:id="104"/>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评审得分相同的，由采购人委托评标委员会按照招标文件规定的方式确定一个投标人获得中标人推荐资格，招标文件未规定的采取随机抽取方式确定，其他同品牌投标人不作为中标候选人。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复核后，评标委员会汇总每个投标人每项评分因素的得分。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5"/>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5" w:name="_Toc18577"/>
      <w:bookmarkStart w:id="106" w:name="_Toc106030889"/>
      <w:bookmarkStart w:id="107" w:name="_Toc30944"/>
      <w:bookmarkStart w:id="108" w:name="_Toc5973"/>
      <w:bookmarkStart w:id="109" w:name="_Toc76462334"/>
      <w:bookmarkStart w:id="110" w:name="_Toc102227320"/>
      <w:bookmarkStart w:id="111" w:name="_Toc342913394"/>
      <w:r>
        <w:rPr>
          <w:rFonts w:hint="eastAsia" w:ascii="方正仿宋_GBK" w:hAnsi="宋体" w:eastAsia="方正仿宋_GBK"/>
          <w:sz w:val="24"/>
          <w:lang w:val="en-US" w:eastAsia="zh-CN"/>
        </w:rPr>
        <w:t>四、评审标准</w:t>
      </w:r>
      <w:bookmarkEnd w:id="105"/>
      <w:bookmarkEnd w:id="106"/>
      <w:bookmarkEnd w:id="107"/>
      <w:bookmarkEnd w:id="108"/>
      <w:bookmarkEnd w:id="109"/>
    </w:p>
    <w:tbl>
      <w:tblPr>
        <w:tblStyle w:val="59"/>
        <w:tblW w:w="10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286"/>
        <w:gridCol w:w="1035"/>
        <w:gridCol w:w="5325"/>
        <w:gridCol w:w="1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pPr>
              <w:keepNext w:val="0"/>
              <w:keepLines w:val="0"/>
              <w:suppressLineNumbers w:val="0"/>
              <w:spacing w:before="0" w:beforeAutospacing="0" w:after="0" w:afterAutospacing="0" w:line="400" w:lineRule="atLeast"/>
              <w:ind w:left="0" w:right="32"/>
              <w:jc w:val="center"/>
              <w:rPr>
                <w:rFonts w:hint="default" w:ascii="微软雅黑" w:hAnsi="微软雅黑" w:eastAsia="微软雅黑" w:cs="微软雅黑"/>
                <w:color w:val="auto"/>
                <w:sz w:val="21"/>
                <w:szCs w:val="21"/>
              </w:rPr>
            </w:pPr>
            <w:bookmarkStart w:id="112" w:name="_Toc19015"/>
            <w:bookmarkStart w:id="113" w:name="_Toc76462335"/>
            <w:bookmarkStart w:id="114" w:name="_Toc31497"/>
            <w:bookmarkStart w:id="115" w:name="_Toc10063"/>
            <w:bookmarkStart w:id="116" w:name="_Toc106030890"/>
            <w:r>
              <w:rPr>
                <w:rFonts w:hint="eastAsia" w:ascii="微软雅黑" w:hAnsi="微软雅黑" w:eastAsia="微软雅黑" w:cs="微软雅黑"/>
                <w:color w:val="auto"/>
                <w:sz w:val="21"/>
                <w:szCs w:val="21"/>
              </w:rPr>
              <w:t>序号</w:t>
            </w:r>
          </w:p>
        </w:tc>
        <w:tc>
          <w:tcPr>
            <w:tcW w:w="1286" w:type="dxa"/>
            <w:vAlign w:val="center"/>
          </w:tcPr>
          <w:p>
            <w:pPr>
              <w:keepNext w:val="0"/>
              <w:keepLines w:val="0"/>
              <w:suppressLineNumbers w:val="0"/>
              <w:spacing w:before="0" w:beforeAutospacing="0" w:after="0" w:afterAutospacing="0" w:line="400" w:lineRule="atLeast"/>
              <w:ind w:left="0" w:right="32"/>
              <w:jc w:val="center"/>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评分要素</w:t>
            </w:r>
          </w:p>
        </w:tc>
        <w:tc>
          <w:tcPr>
            <w:tcW w:w="1035" w:type="dxa"/>
            <w:vAlign w:val="center"/>
          </w:tcPr>
          <w:p>
            <w:pPr>
              <w:keepNext w:val="0"/>
              <w:keepLines w:val="0"/>
              <w:suppressLineNumbers w:val="0"/>
              <w:spacing w:before="0" w:beforeAutospacing="0" w:after="0" w:afterAutospacing="0" w:line="400" w:lineRule="atLeast"/>
              <w:ind w:left="0" w:leftChars="0" w:right="32" w:rightChars="0"/>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z w:val="21"/>
                <w:szCs w:val="21"/>
              </w:rPr>
              <w:t>分值</w:t>
            </w:r>
          </w:p>
        </w:tc>
        <w:tc>
          <w:tcPr>
            <w:tcW w:w="5325" w:type="dxa"/>
            <w:vAlign w:val="center"/>
          </w:tcPr>
          <w:p>
            <w:pPr>
              <w:keepNext w:val="0"/>
              <w:keepLines w:val="0"/>
              <w:suppressLineNumbers w:val="0"/>
              <w:spacing w:before="0" w:beforeAutospacing="0" w:after="0" w:afterAutospacing="0"/>
              <w:ind w:left="0" w:right="32"/>
              <w:jc w:val="center"/>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评分标准</w:t>
            </w:r>
          </w:p>
        </w:tc>
        <w:tc>
          <w:tcPr>
            <w:tcW w:w="1881" w:type="dxa"/>
            <w:vAlign w:val="center"/>
          </w:tcPr>
          <w:p>
            <w:pPr>
              <w:keepNext w:val="0"/>
              <w:keepLines w:val="0"/>
              <w:suppressLineNumbers w:val="0"/>
              <w:spacing w:before="0" w:beforeAutospacing="0" w:after="0" w:afterAutospacing="0" w:line="400" w:lineRule="atLeast"/>
              <w:ind w:left="0" w:right="32"/>
              <w:jc w:val="center"/>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pPr>
              <w:keepNext w:val="0"/>
              <w:keepLines w:val="0"/>
              <w:suppressLineNumbers w:val="0"/>
              <w:spacing w:before="0" w:beforeAutospacing="0" w:after="0" w:afterAutospacing="0" w:line="400" w:lineRule="atLeast"/>
              <w:ind w:left="0" w:right="32"/>
              <w:jc w:val="center"/>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1286" w:type="dxa"/>
            <w:vAlign w:val="center"/>
          </w:tcPr>
          <w:p>
            <w:pPr>
              <w:keepNext w:val="0"/>
              <w:keepLines w:val="0"/>
              <w:suppressLineNumbers w:val="0"/>
              <w:spacing w:before="0" w:beforeAutospacing="0" w:after="0" w:afterAutospacing="0"/>
              <w:ind w:left="0" w:right="32"/>
              <w:jc w:val="center"/>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报价部分（</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 xml:space="preserve">0%） </w:t>
            </w:r>
          </w:p>
        </w:tc>
        <w:tc>
          <w:tcPr>
            <w:tcW w:w="1035" w:type="dxa"/>
            <w:vAlign w:val="center"/>
          </w:tcPr>
          <w:p>
            <w:pPr>
              <w:keepNext w:val="0"/>
              <w:keepLines w:val="0"/>
              <w:suppressLineNumbers w:val="0"/>
              <w:spacing w:before="0" w:beforeAutospacing="0" w:after="0" w:afterAutospacing="0" w:line="400" w:lineRule="atLeast"/>
              <w:ind w:left="0" w:leftChars="0" w:right="32" w:rightChars="0"/>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0</w:t>
            </w:r>
          </w:p>
        </w:tc>
        <w:tc>
          <w:tcPr>
            <w:tcW w:w="5325" w:type="dxa"/>
            <w:vAlign w:val="center"/>
          </w:tcPr>
          <w:p>
            <w:pPr>
              <w:keepNext w:val="0"/>
              <w:keepLines w:val="0"/>
              <w:widowControl/>
              <w:suppressLineNumbers w:val="0"/>
              <w:adjustRightInd w:val="0"/>
              <w:snapToGrid w:val="0"/>
              <w:spacing w:before="0" w:beforeAutospacing="0" w:after="0" w:afterAutospacing="0"/>
              <w:ind w:left="0" w:right="0"/>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满足资格要求且报价最高的投标单位的价格为投标基准价，按照下列公式计算每个供应商的投标报价得分。</w:t>
            </w:r>
          </w:p>
          <w:p>
            <w:pPr>
              <w:keepNext w:val="0"/>
              <w:keepLines w:val="0"/>
              <w:suppressLineNumbers w:val="0"/>
              <w:spacing w:before="0" w:beforeAutospacing="0" w:after="0" w:afterAutospacing="0"/>
              <w:ind w:left="0" w:right="32"/>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投标报价得分=（最终投标报价/投标基准价）×100</w:t>
            </w:r>
            <w:r>
              <w:rPr>
                <w:rFonts w:hint="eastAsia" w:ascii="微软雅黑" w:hAnsi="微软雅黑" w:eastAsia="微软雅黑" w:cs="微软雅黑"/>
                <w:color w:val="auto"/>
                <w:sz w:val="21"/>
                <w:szCs w:val="21"/>
                <w:lang w:val="en-US" w:eastAsia="zh-CN"/>
              </w:rPr>
              <w:t>%</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30</w:t>
            </w:r>
            <w:r>
              <w:rPr>
                <w:rFonts w:hint="eastAsia" w:ascii="微软雅黑" w:hAnsi="微软雅黑" w:eastAsia="微软雅黑" w:cs="微软雅黑"/>
                <w:color w:val="auto"/>
                <w:sz w:val="21"/>
                <w:szCs w:val="21"/>
              </w:rPr>
              <w:t>。</w:t>
            </w:r>
          </w:p>
        </w:tc>
        <w:tc>
          <w:tcPr>
            <w:tcW w:w="1881" w:type="dxa"/>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restart"/>
            <w:vAlign w:val="center"/>
          </w:tcPr>
          <w:p>
            <w:pPr>
              <w:keepNext w:val="0"/>
              <w:keepLines w:val="0"/>
              <w:suppressLineNumbers w:val="0"/>
              <w:spacing w:before="0" w:beforeAutospacing="0" w:after="0" w:afterAutospacing="0" w:line="400" w:lineRule="atLeast"/>
              <w:ind w:left="0" w:right="32"/>
              <w:jc w:val="center"/>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p>
            <w:pPr>
              <w:keepNext w:val="0"/>
              <w:keepLines w:val="0"/>
              <w:suppressLineNumbers w:val="0"/>
              <w:spacing w:before="0" w:beforeAutospacing="0" w:after="0" w:afterAutospacing="0" w:line="400" w:lineRule="atLeast"/>
              <w:ind w:left="0" w:right="32"/>
              <w:jc w:val="center"/>
              <w:rPr>
                <w:rFonts w:hint="default" w:ascii="微软雅黑" w:hAnsi="微软雅黑" w:eastAsia="微软雅黑" w:cs="微软雅黑"/>
                <w:color w:val="auto"/>
                <w:sz w:val="21"/>
                <w:szCs w:val="21"/>
              </w:rPr>
            </w:pPr>
          </w:p>
        </w:tc>
        <w:tc>
          <w:tcPr>
            <w:tcW w:w="1286" w:type="dxa"/>
            <w:vMerge w:val="restart"/>
            <w:vAlign w:val="center"/>
          </w:tcPr>
          <w:p>
            <w:pPr>
              <w:keepNext w:val="0"/>
              <w:keepLines w:val="0"/>
              <w:suppressLineNumbers w:val="0"/>
              <w:spacing w:before="0" w:beforeAutospacing="0" w:after="0" w:afterAutospacing="0"/>
              <w:ind w:left="0" w:right="32"/>
              <w:jc w:val="center"/>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履约能力</w:t>
            </w:r>
          </w:p>
          <w:p>
            <w:pPr>
              <w:keepNext w:val="0"/>
              <w:keepLines w:val="0"/>
              <w:suppressLineNumbers w:val="0"/>
              <w:spacing w:before="0" w:beforeAutospacing="0" w:after="0" w:afterAutospacing="0"/>
              <w:ind w:left="0" w:right="32"/>
              <w:jc w:val="center"/>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 xml:space="preserve">0%）   </w:t>
            </w:r>
          </w:p>
        </w:tc>
        <w:tc>
          <w:tcPr>
            <w:tcW w:w="1035" w:type="dxa"/>
            <w:vAlign w:val="center"/>
          </w:tcPr>
          <w:p>
            <w:pPr>
              <w:keepNext w:val="0"/>
              <w:keepLines w:val="0"/>
              <w:suppressLineNumbers w:val="0"/>
              <w:spacing w:before="0" w:beforeAutospacing="0" w:after="0" w:afterAutospacing="0" w:line="400" w:lineRule="atLeast"/>
              <w:ind w:left="0" w:leftChars="0" w:right="32" w:rightChars="0"/>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z w:val="21"/>
                <w:szCs w:val="21"/>
                <w:lang w:val="en-US" w:eastAsia="zh-CN"/>
              </w:rPr>
              <w:t>10</w:t>
            </w:r>
          </w:p>
        </w:tc>
        <w:tc>
          <w:tcPr>
            <w:tcW w:w="5325" w:type="dxa"/>
            <w:vAlign w:val="center"/>
          </w:tcPr>
          <w:p>
            <w:pPr>
              <w:pStyle w:val="2"/>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市场影响力</w:t>
            </w:r>
          </w:p>
          <w:p>
            <w:pPr>
              <w:pStyle w:val="2"/>
              <w:keepNext w:val="0"/>
              <w:keepLines w:val="0"/>
              <w:suppressLineNumbers w:val="0"/>
              <w:spacing w:before="0" w:beforeAutospacing="0" w:after="0" w:afterAutospacing="0"/>
              <w:ind w:left="0" w:right="0"/>
              <w:rPr>
                <w:rFonts w:hint="default"/>
                <w:color w:val="auto"/>
                <w:szCs w:val="20"/>
              </w:rPr>
            </w:pPr>
            <w:r>
              <w:rPr>
                <w:rFonts w:hint="eastAsia" w:ascii="微软雅黑" w:hAnsi="微软雅黑" w:eastAsia="微软雅黑" w:cs="微软雅黑"/>
                <w:color w:val="auto"/>
                <w:sz w:val="21"/>
                <w:szCs w:val="21"/>
              </w:rPr>
              <w:t>投标人提供知名企业或知名品牌评选结果等证书或相关证明文件，每有一份得1分，最多得</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分。</w:t>
            </w:r>
          </w:p>
        </w:tc>
        <w:tc>
          <w:tcPr>
            <w:tcW w:w="1881" w:type="dxa"/>
            <w:vAlign w:val="center"/>
          </w:tcPr>
          <w:p>
            <w:pPr>
              <w:keepNext w:val="0"/>
              <w:keepLines w:val="0"/>
              <w:suppressLineNumbers w:val="0"/>
              <w:spacing w:before="0" w:beforeAutospacing="0" w:after="0" w:afterAutospacing="0"/>
              <w:ind w:left="0" w:right="0"/>
              <w:jc w:val="left"/>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提供证书或证明文件复印件，并盖章确认。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vAlign w:val="center"/>
          </w:tcPr>
          <w:p>
            <w:pPr>
              <w:keepNext w:val="0"/>
              <w:keepLines w:val="0"/>
              <w:suppressLineNumbers w:val="0"/>
              <w:spacing w:before="0" w:beforeAutospacing="0" w:after="0" w:afterAutospacing="0" w:line="400" w:lineRule="atLeast"/>
              <w:ind w:left="0" w:right="32"/>
              <w:jc w:val="center"/>
              <w:rPr>
                <w:rFonts w:hint="default" w:ascii="微软雅黑" w:hAnsi="微软雅黑" w:eastAsia="微软雅黑" w:cs="微软雅黑"/>
                <w:color w:val="auto"/>
                <w:sz w:val="21"/>
                <w:szCs w:val="21"/>
              </w:rPr>
            </w:pPr>
          </w:p>
        </w:tc>
        <w:tc>
          <w:tcPr>
            <w:tcW w:w="1286" w:type="dxa"/>
            <w:vMerge w:val="continue"/>
            <w:vAlign w:val="center"/>
          </w:tcPr>
          <w:p>
            <w:pPr>
              <w:keepNext w:val="0"/>
              <w:keepLines w:val="0"/>
              <w:suppressLineNumbers w:val="0"/>
              <w:spacing w:before="0" w:beforeAutospacing="0" w:after="0" w:afterAutospacing="0"/>
              <w:ind w:left="0" w:right="32"/>
              <w:jc w:val="center"/>
              <w:rPr>
                <w:rFonts w:hint="default" w:ascii="微软雅黑" w:hAnsi="微软雅黑" w:eastAsia="微软雅黑" w:cs="微软雅黑"/>
                <w:color w:val="auto"/>
                <w:sz w:val="21"/>
                <w:szCs w:val="21"/>
              </w:rPr>
            </w:pPr>
          </w:p>
        </w:tc>
        <w:tc>
          <w:tcPr>
            <w:tcW w:w="1035" w:type="dxa"/>
            <w:vAlign w:val="center"/>
          </w:tcPr>
          <w:p>
            <w:pPr>
              <w:keepNext w:val="0"/>
              <w:keepLines w:val="0"/>
              <w:suppressLineNumbers w:val="0"/>
              <w:spacing w:before="0" w:beforeAutospacing="0" w:after="0" w:afterAutospacing="0" w:line="400" w:lineRule="atLeast"/>
              <w:ind w:left="0" w:leftChars="0" w:right="32" w:rightChars="0"/>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z w:val="21"/>
                <w:szCs w:val="21"/>
              </w:rPr>
              <w:t>15</w:t>
            </w:r>
          </w:p>
        </w:tc>
        <w:tc>
          <w:tcPr>
            <w:tcW w:w="5325" w:type="dxa"/>
            <w:vAlign w:val="center"/>
          </w:tcPr>
          <w:p>
            <w:pPr>
              <w:pStyle w:val="242"/>
              <w:keepNext w:val="0"/>
              <w:keepLines w:val="0"/>
              <w:suppressLineNumbers w:val="0"/>
              <w:spacing w:before="0" w:beforeAutospacing="0" w:after="0" w:afterAutospacing="0"/>
              <w:ind w:left="0" w:right="0" w:firstLine="0" w:firstLineChars="0"/>
              <w:rPr>
                <w:rFonts w:hint="eastAsia" w:ascii="微软雅黑" w:hAnsi="微软雅黑" w:eastAsia="微软雅黑" w:cs="微软雅黑"/>
                <w:color w:val="auto"/>
                <w:sz w:val="21"/>
                <w:szCs w:val="21"/>
                <w:lang w:eastAsia="zh-CN"/>
              </w:rPr>
            </w:pPr>
            <w:r>
              <w:rPr>
                <w:rFonts w:hint="eastAsia" w:ascii="微软雅黑" w:hAnsi="微软雅黑" w:cs="微软雅黑"/>
                <w:color w:val="auto"/>
                <w:sz w:val="21"/>
                <w:szCs w:val="21"/>
                <w:lang w:val="en-US" w:eastAsia="zh-CN"/>
              </w:rPr>
              <w:t>品牌认可度</w:t>
            </w:r>
          </w:p>
          <w:p>
            <w:pPr>
              <w:pStyle w:val="242"/>
              <w:keepNext w:val="0"/>
              <w:keepLines w:val="0"/>
              <w:suppressLineNumbers w:val="0"/>
              <w:spacing w:before="0" w:beforeAutospacing="0" w:after="0" w:afterAutospacing="0"/>
              <w:ind w:left="0" w:right="0" w:firstLine="0" w:firstLineChars="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优15分</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300票以上</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，良10分</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200-300票</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，一般5分</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200票以下</w:t>
            </w:r>
            <w:r>
              <w:rPr>
                <w:rFonts w:hint="eastAsia" w:ascii="微软雅黑" w:hAnsi="微软雅黑" w:eastAsia="微软雅黑" w:cs="微软雅黑"/>
                <w:color w:val="auto"/>
                <w:sz w:val="21"/>
                <w:szCs w:val="21"/>
                <w:lang w:eastAsia="zh-CN"/>
              </w:rPr>
              <w:t>）</w:t>
            </w:r>
          </w:p>
        </w:tc>
        <w:tc>
          <w:tcPr>
            <w:tcW w:w="1881" w:type="dxa"/>
            <w:vAlign w:val="center"/>
          </w:tcPr>
          <w:p>
            <w:pPr>
              <w:keepNext w:val="0"/>
              <w:keepLines w:val="0"/>
              <w:suppressLineNumbers w:val="0"/>
              <w:spacing w:before="0" w:beforeAutospacing="0" w:after="0" w:afterAutospacing="0"/>
              <w:ind w:left="0" w:right="0"/>
              <w:jc w:val="left"/>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根据医院职工对候选品牌的投票结果进行评分。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9" w:type="dxa"/>
            <w:vMerge w:val="continue"/>
            <w:vAlign w:val="center"/>
          </w:tcPr>
          <w:p>
            <w:pPr>
              <w:keepNext w:val="0"/>
              <w:keepLines w:val="0"/>
              <w:suppressLineNumbers w:val="0"/>
              <w:spacing w:before="0" w:beforeAutospacing="0" w:after="0" w:afterAutospacing="0" w:line="400" w:lineRule="atLeast"/>
              <w:ind w:left="0" w:right="32"/>
              <w:jc w:val="center"/>
              <w:rPr>
                <w:rFonts w:hint="default" w:ascii="微软雅黑" w:hAnsi="微软雅黑" w:eastAsia="微软雅黑" w:cs="微软雅黑"/>
                <w:color w:val="auto"/>
                <w:sz w:val="21"/>
                <w:szCs w:val="21"/>
              </w:rPr>
            </w:pPr>
          </w:p>
        </w:tc>
        <w:tc>
          <w:tcPr>
            <w:tcW w:w="1286" w:type="dxa"/>
            <w:vMerge w:val="continue"/>
            <w:vAlign w:val="center"/>
          </w:tcPr>
          <w:p>
            <w:pPr>
              <w:keepNext w:val="0"/>
              <w:keepLines w:val="0"/>
              <w:suppressLineNumbers w:val="0"/>
              <w:spacing w:before="0" w:beforeAutospacing="0" w:after="0" w:afterAutospacing="0"/>
              <w:ind w:left="0" w:right="32"/>
              <w:jc w:val="center"/>
              <w:rPr>
                <w:rFonts w:hint="default" w:ascii="微软雅黑" w:hAnsi="微软雅黑" w:eastAsia="微软雅黑" w:cs="微软雅黑"/>
                <w:color w:val="auto"/>
                <w:sz w:val="21"/>
                <w:szCs w:val="21"/>
              </w:rPr>
            </w:pPr>
          </w:p>
        </w:tc>
        <w:tc>
          <w:tcPr>
            <w:tcW w:w="1035" w:type="dxa"/>
            <w:vAlign w:val="center"/>
          </w:tcPr>
          <w:p>
            <w:pPr>
              <w:keepNext w:val="0"/>
              <w:keepLines w:val="0"/>
              <w:suppressLineNumbers w:val="0"/>
              <w:spacing w:before="0" w:beforeAutospacing="0" w:after="0" w:afterAutospacing="0" w:line="400" w:lineRule="atLeast"/>
              <w:ind w:left="0" w:leftChars="0" w:right="32" w:rightChars="0"/>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z w:val="21"/>
                <w:szCs w:val="21"/>
              </w:rPr>
              <w:t>1</w:t>
            </w:r>
            <w:r>
              <w:rPr>
                <w:rFonts w:hint="eastAsia" w:ascii="微软雅黑" w:hAnsi="微软雅黑" w:eastAsia="微软雅黑" w:cs="微软雅黑"/>
                <w:color w:val="auto"/>
                <w:sz w:val="21"/>
                <w:szCs w:val="21"/>
                <w:lang w:val="en-US" w:eastAsia="zh-CN"/>
              </w:rPr>
              <w:t>5</w:t>
            </w:r>
          </w:p>
        </w:tc>
        <w:tc>
          <w:tcPr>
            <w:tcW w:w="5325" w:type="dxa"/>
            <w:vAlign w:val="center"/>
          </w:tcPr>
          <w:p>
            <w:pPr>
              <w:pStyle w:val="242"/>
              <w:keepNext w:val="0"/>
              <w:keepLines w:val="0"/>
              <w:suppressLineNumbers w:val="0"/>
              <w:spacing w:before="0" w:beforeAutospacing="0" w:after="0" w:afterAutospacing="0"/>
              <w:ind w:left="0" w:right="0" w:firstLine="0" w:firstLineChars="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经营经验</w:t>
            </w:r>
          </w:p>
          <w:p>
            <w:pPr>
              <w:pStyle w:val="242"/>
              <w:keepNext w:val="0"/>
              <w:keepLines w:val="0"/>
              <w:suppressLineNumbers w:val="0"/>
              <w:spacing w:before="0" w:beforeAutospacing="0" w:after="0" w:afterAutospacing="0"/>
              <w:ind w:left="0" w:right="0" w:firstLine="0" w:firstLineChars="0"/>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投标人具有在事业单位、各级机关或国企经营档口经验（可累计计算）且经营良好，每经营1年得1分，最多得</w:t>
            </w:r>
            <w:r>
              <w:rPr>
                <w:rFonts w:hint="eastAsia" w:ascii="微软雅黑" w:hAnsi="微软雅黑" w:eastAsia="微软雅黑" w:cs="微软雅黑"/>
                <w:color w:val="auto"/>
                <w:sz w:val="21"/>
                <w:szCs w:val="21"/>
                <w:lang w:val="en-US" w:eastAsia="zh-CN"/>
              </w:rPr>
              <w:t>15</w:t>
            </w:r>
            <w:r>
              <w:rPr>
                <w:rFonts w:hint="eastAsia" w:ascii="微软雅黑" w:hAnsi="微软雅黑" w:eastAsia="微软雅黑" w:cs="微软雅黑"/>
                <w:color w:val="auto"/>
                <w:sz w:val="21"/>
                <w:szCs w:val="21"/>
              </w:rPr>
              <w:t>分</w:t>
            </w:r>
          </w:p>
        </w:tc>
        <w:tc>
          <w:tcPr>
            <w:tcW w:w="1881" w:type="dxa"/>
            <w:vAlign w:val="center"/>
          </w:tcPr>
          <w:p>
            <w:pPr>
              <w:keepNext w:val="0"/>
              <w:keepLines w:val="0"/>
              <w:suppressLineNumbers w:val="0"/>
              <w:spacing w:before="0" w:beforeAutospacing="0" w:after="0" w:afterAutospacing="0"/>
              <w:ind w:left="0" w:right="0"/>
              <w:jc w:val="left"/>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提供相应合同复印件并盖章确认。提供合作单位开具的经营良好证明，并由合作单位盖章确认。</w:t>
            </w:r>
            <w:r>
              <w:rPr>
                <w:rFonts w:hint="default" w:ascii="微软雅黑" w:hAnsi="微软雅黑" w:eastAsia="微软雅黑" w:cs="微软雅黑"/>
                <w:color w:val="auto"/>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699" w:type="dxa"/>
            <w:vAlign w:val="center"/>
          </w:tcPr>
          <w:p>
            <w:pPr>
              <w:keepNext w:val="0"/>
              <w:keepLines w:val="0"/>
              <w:suppressLineNumbers w:val="0"/>
              <w:spacing w:before="0" w:beforeAutospacing="0" w:after="0" w:afterAutospacing="0" w:line="400" w:lineRule="atLeast"/>
              <w:ind w:left="0" w:right="32"/>
              <w:jc w:val="center"/>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p>
        </w:tc>
        <w:tc>
          <w:tcPr>
            <w:tcW w:w="1286" w:type="dxa"/>
            <w:vAlign w:val="center"/>
          </w:tcPr>
          <w:p>
            <w:pPr>
              <w:keepNext w:val="0"/>
              <w:keepLines w:val="0"/>
              <w:suppressLineNumbers w:val="0"/>
              <w:spacing w:before="0" w:beforeAutospacing="0" w:after="0" w:afterAutospacing="0"/>
              <w:ind w:left="0" w:right="32"/>
              <w:jc w:val="center"/>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项目规划（30%）</w:t>
            </w:r>
          </w:p>
        </w:tc>
        <w:tc>
          <w:tcPr>
            <w:tcW w:w="1035" w:type="dxa"/>
            <w:vAlign w:val="center"/>
          </w:tcPr>
          <w:p>
            <w:pPr>
              <w:keepNext w:val="0"/>
              <w:keepLines w:val="0"/>
              <w:suppressLineNumbers w:val="0"/>
              <w:spacing w:before="0" w:beforeAutospacing="0" w:after="0" w:afterAutospacing="0" w:line="400" w:lineRule="atLeast"/>
              <w:ind w:left="0" w:leftChars="0" w:right="32" w:rightChars="0"/>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z w:val="21"/>
                <w:szCs w:val="21"/>
              </w:rPr>
              <w:t>30</w:t>
            </w:r>
          </w:p>
        </w:tc>
        <w:tc>
          <w:tcPr>
            <w:tcW w:w="5325" w:type="dxa"/>
            <w:vAlign w:val="center"/>
          </w:tcPr>
          <w:p>
            <w:pPr>
              <w:pStyle w:val="242"/>
              <w:keepNext w:val="0"/>
              <w:keepLines w:val="0"/>
              <w:suppressLineNumbers w:val="0"/>
              <w:spacing w:before="0" w:beforeAutospacing="0" w:after="0" w:afterAutospacing="0"/>
              <w:ind w:left="0" w:right="0" w:firstLine="0" w:firstLineChars="0"/>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经营方案</w:t>
            </w:r>
          </w:p>
          <w:p>
            <w:pPr>
              <w:pStyle w:val="242"/>
              <w:keepNext w:val="0"/>
              <w:keepLines w:val="0"/>
              <w:suppressLineNumbers w:val="0"/>
              <w:spacing w:before="0" w:beforeAutospacing="0" w:after="0" w:afterAutospacing="0"/>
              <w:ind w:left="0" w:right="0" w:firstLine="0" w:firstLineChars="0"/>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优30分，良20 分，一般5分。</w:t>
            </w:r>
          </w:p>
        </w:tc>
        <w:tc>
          <w:tcPr>
            <w:tcW w:w="1881" w:type="dxa"/>
            <w:vAlign w:val="center"/>
          </w:tcPr>
          <w:p>
            <w:pPr>
              <w:keepNext w:val="0"/>
              <w:keepLines w:val="0"/>
              <w:suppressLineNumbers w:val="0"/>
              <w:spacing w:before="0" w:beforeAutospacing="0" w:after="0" w:afterAutospacing="0"/>
              <w:ind w:left="0" w:right="0"/>
              <w:jc w:val="left"/>
              <w:rPr>
                <w:rFonts w:hint="default"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提供经营方案，格式自拟。</w:t>
            </w:r>
          </w:p>
        </w:tc>
      </w:tr>
    </w:tbl>
    <w:p>
      <w:pPr>
        <w:pStyle w:val="5"/>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12"/>
      <w:bookmarkEnd w:id="113"/>
      <w:bookmarkEnd w:id="114"/>
      <w:bookmarkEnd w:id="115"/>
      <w:bookmarkEnd w:id="116"/>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5"/>
        <w:adjustRightInd w:val="0"/>
        <w:snapToGrid w:val="0"/>
        <w:spacing w:before="0" w:after="0" w:line="400" w:lineRule="exact"/>
        <w:ind w:firstLine="480" w:firstLineChars="200"/>
        <w:rPr>
          <w:rFonts w:hint="eastAsia" w:ascii="方正仿宋_GBK" w:hAnsi="宋体" w:eastAsia="方正仿宋_GBK"/>
          <w:sz w:val="24"/>
          <w:lang w:eastAsia="zh-CN"/>
        </w:rPr>
      </w:pPr>
      <w:bookmarkStart w:id="117" w:name="_Toc106030891"/>
      <w:bookmarkStart w:id="118" w:name="_Toc76462336"/>
      <w:bookmarkStart w:id="119" w:name="_Toc10687"/>
      <w:bookmarkStart w:id="120" w:name="_Toc31119"/>
      <w:bookmarkStart w:id="121" w:name="_Toc13342"/>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110"/>
      <w:bookmarkEnd w:id="111"/>
      <w:bookmarkEnd w:id="117"/>
      <w:bookmarkEnd w:id="118"/>
      <w:bookmarkEnd w:id="119"/>
      <w:bookmarkEnd w:id="120"/>
      <w:r>
        <w:rPr>
          <w:rFonts w:hint="eastAsia" w:ascii="方正仿宋_GBK" w:hAnsi="宋体" w:eastAsia="方正仿宋_GBK"/>
          <w:sz w:val="24"/>
          <w:lang w:val="en-US" w:eastAsia="zh-CN"/>
        </w:rPr>
        <w:t>废标条款</w:t>
      </w:r>
      <w:bookmarkEnd w:id="121"/>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720" w:right="833" w:bottom="720" w:left="890" w:header="964" w:footer="992" w:gutter="0"/>
          <w:pgNumType w:fmt="numberInDash"/>
          <w:cols w:space="0" w:num="1"/>
          <w:rtlGutter w:val="0"/>
          <w:docGrid w:linePitch="312" w:charSpace="0"/>
        </w:sectPr>
      </w:pPr>
    </w:p>
    <w:p>
      <w:pPr>
        <w:pStyle w:val="5"/>
        <w:pageBreakBefore w:val="0"/>
        <w:spacing w:before="200" w:after="200" w:line="240" w:lineRule="auto"/>
        <w:jc w:val="center"/>
        <w:rPr>
          <w:rFonts w:hint="eastAsia" w:ascii="方正仿宋_GBK" w:hAnsi="Times New Roman" w:eastAsia="方正仿宋_GBK" w:cs="Times New Roman"/>
          <w:b/>
          <w:bCs w:val="0"/>
          <w:sz w:val="44"/>
          <w:szCs w:val="20"/>
        </w:rPr>
      </w:pPr>
      <w:bookmarkStart w:id="122" w:name="_Toc29948"/>
      <w:bookmarkStart w:id="123" w:name="_Toc17861"/>
      <w:bookmarkStart w:id="124" w:name="_Toc76462337"/>
      <w:bookmarkStart w:id="125" w:name="_Toc102227313"/>
      <w:bookmarkStart w:id="126" w:name="_Toc106030892"/>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22"/>
      <w:bookmarkEnd w:id="123"/>
      <w:bookmarkEnd w:id="124"/>
      <w:bookmarkEnd w:id="125"/>
      <w:bookmarkEnd w:id="126"/>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27" w:name="_Toc342913389"/>
      <w:bookmarkStart w:id="128" w:name="_Toc106030893"/>
      <w:bookmarkStart w:id="129" w:name="_Toc76462338"/>
      <w:bookmarkStart w:id="130" w:name="_Toc23995"/>
      <w:bookmarkStart w:id="131" w:name="_Toc26717"/>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27"/>
      <w:bookmarkEnd w:id="128"/>
      <w:bookmarkEnd w:id="129"/>
      <w:bookmarkEnd w:id="130"/>
      <w:bookmarkEnd w:id="131"/>
    </w:p>
    <w:p>
      <w:pPr>
        <w:pStyle w:val="144"/>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32" w:name="_Toc16325"/>
      <w:bookmarkStart w:id="133" w:name="_Toc106030894"/>
      <w:bookmarkStart w:id="134" w:name="_Toc76462339"/>
      <w:bookmarkStart w:id="135" w:name="_Toc15712"/>
      <w:bookmarkStart w:id="136" w:name="_Toc342913391"/>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32"/>
      <w:bookmarkEnd w:id="133"/>
      <w:bookmarkEnd w:id="134"/>
      <w:bookmarkEnd w:id="135"/>
      <w:bookmarkEnd w:id="136"/>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37" w:name="_Toc318166429"/>
      <w:bookmarkStart w:id="138" w:name="_Toc318159780"/>
      <w:bookmarkStart w:id="139" w:name="_Toc318159160"/>
      <w:bookmarkStart w:id="140" w:name="_Toc318159349"/>
    </w:p>
    <w:bookmarkEnd w:id="137"/>
    <w:bookmarkEnd w:id="138"/>
    <w:bookmarkEnd w:id="139"/>
    <w:bookmarkEnd w:id="140"/>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41" w:name="_Toc106030895"/>
      <w:bookmarkStart w:id="142" w:name="_Toc102227318"/>
      <w:bookmarkStart w:id="143" w:name="_Toc179714297"/>
      <w:bookmarkStart w:id="144" w:name="_Toc10711"/>
      <w:bookmarkStart w:id="145" w:name="_Toc26007"/>
      <w:bookmarkStart w:id="146" w:name="_Toc342913392"/>
      <w:bookmarkStart w:id="147" w:name="_Toc76462340"/>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41"/>
      <w:bookmarkEnd w:id="142"/>
      <w:bookmarkEnd w:id="143"/>
      <w:bookmarkEnd w:id="144"/>
      <w:bookmarkEnd w:id="145"/>
      <w:bookmarkEnd w:id="146"/>
      <w:bookmarkEnd w:id="14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正本PDF版上传到电子招标平台，无需在开标现场提交</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1"/>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48" w:name="_Toc6435"/>
      <w:bookmarkStart w:id="149" w:name="_Toc106030896"/>
      <w:bookmarkStart w:id="150" w:name="_Toc20801"/>
      <w:bookmarkStart w:id="151" w:name="_Toc76462341"/>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48"/>
      <w:bookmarkEnd w:id="149"/>
      <w:bookmarkEnd w:id="150"/>
      <w:bookmarkEnd w:id="151"/>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w:t>
      </w:r>
      <w:r>
        <w:rPr>
          <w:rFonts w:hint="eastAsia" w:ascii="方正仿宋_GBK" w:hAnsi="宋体" w:eastAsia="方正仿宋_GBK"/>
          <w:color w:val="auto"/>
          <w:sz w:val="24"/>
          <w:szCs w:val="24"/>
          <w:lang w:val="en-US" w:eastAsia="zh-CN"/>
        </w:rPr>
        <w:t>评分</w:t>
      </w:r>
      <w:r>
        <w:rPr>
          <w:rFonts w:hint="eastAsia" w:ascii="方正仿宋_GBK" w:hAnsi="宋体" w:eastAsia="方正仿宋_GBK"/>
          <w:color w:val="auto"/>
          <w:sz w:val="24"/>
          <w:szCs w:val="24"/>
        </w:rPr>
        <w:t>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52" w:name="_Toc106030897"/>
      <w:bookmarkStart w:id="153" w:name="_Toc76462342"/>
      <w:bookmarkStart w:id="154" w:name="_Toc102227321"/>
      <w:bookmarkStart w:id="155" w:name="_Toc342913395"/>
      <w:bookmarkStart w:id="156" w:name="_Toc21532"/>
      <w:bookmarkStart w:id="157" w:name="_Toc10130"/>
      <w:r>
        <w:rPr>
          <w:rFonts w:hint="eastAsia" w:ascii="方正仿宋_GBK" w:hAnsi="宋体" w:eastAsia="方正仿宋_GBK"/>
          <w:sz w:val="24"/>
        </w:rPr>
        <w:t>五、成交通知</w:t>
      </w:r>
      <w:bookmarkEnd w:id="152"/>
      <w:bookmarkEnd w:id="153"/>
      <w:bookmarkEnd w:id="154"/>
      <w:bookmarkEnd w:id="155"/>
      <w:bookmarkEnd w:id="156"/>
      <w:bookmarkEnd w:id="157"/>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58" w:name="_Toc76462343"/>
      <w:bookmarkStart w:id="159" w:name="_Toc1699"/>
      <w:bookmarkStart w:id="160" w:name="_Toc106030898"/>
      <w:bookmarkStart w:id="161" w:name="_Toc2144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58"/>
      <w:bookmarkEnd w:id="159"/>
      <w:bookmarkEnd w:id="160"/>
      <w:bookmarkEnd w:id="161"/>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62" w:name="_Toc76462344"/>
      <w:bookmarkStart w:id="163" w:name="_Toc106030899"/>
      <w:bookmarkStart w:id="164" w:name="_Toc28334"/>
    </w:p>
    <w:p>
      <w:pPr>
        <w:pStyle w:val="5"/>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65" w:name="_Toc11343"/>
      <w:r>
        <w:rPr>
          <w:rFonts w:hint="eastAsia" w:ascii="方正仿宋_GBK" w:hAnsi="宋体" w:eastAsia="方正仿宋_GBK"/>
          <w:sz w:val="24"/>
        </w:rPr>
        <w:t>七</w:t>
      </w:r>
      <w:r>
        <w:rPr>
          <w:rFonts w:hint="eastAsia" w:ascii="方正仿宋_GBK" w:hAnsi="宋体" w:eastAsia="方正仿宋_GBK"/>
          <w:color w:val="auto"/>
          <w:sz w:val="24"/>
        </w:rPr>
        <w:t>、</w:t>
      </w:r>
      <w:bookmarkEnd w:id="162"/>
      <w:bookmarkEnd w:id="163"/>
      <w:bookmarkEnd w:id="164"/>
      <w:bookmarkStart w:id="166" w:name="_Toc102227322"/>
      <w:bookmarkStart w:id="167" w:name="_Toc76462346"/>
      <w:bookmarkStart w:id="168" w:name="_Toc106030901"/>
      <w:bookmarkStart w:id="169" w:name="_Toc3372"/>
      <w:bookmarkStart w:id="170" w:name="_Toc342913396"/>
      <w:bookmarkStart w:id="171" w:name="_Toc11641055"/>
      <w:bookmarkStart w:id="172" w:name="_Toc12789059"/>
      <w:r>
        <w:rPr>
          <w:rFonts w:hint="eastAsia" w:ascii="方正仿宋_GBK" w:hAnsi="宋体" w:eastAsia="方正仿宋_GBK"/>
          <w:color w:val="auto"/>
          <w:sz w:val="24"/>
        </w:rPr>
        <w:t>签订</w:t>
      </w:r>
      <w:bookmarkEnd w:id="166"/>
      <w:r>
        <w:rPr>
          <w:rFonts w:hint="eastAsia" w:ascii="方正仿宋_GBK" w:hAnsi="宋体" w:eastAsia="方正仿宋_GBK"/>
          <w:color w:val="auto"/>
          <w:sz w:val="24"/>
        </w:rPr>
        <w:t>合同</w:t>
      </w:r>
      <w:bookmarkEnd w:id="165"/>
      <w:bookmarkEnd w:id="167"/>
      <w:bookmarkEnd w:id="168"/>
      <w:bookmarkEnd w:id="169"/>
      <w:bookmarkEnd w:id="170"/>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71"/>
      <w:bookmarkEnd w:id="172"/>
    </w:p>
    <w:p>
      <w:pPr>
        <w:pStyle w:val="5"/>
        <w:spacing w:before="200" w:after="200" w:line="240" w:lineRule="auto"/>
        <w:jc w:val="center"/>
        <w:rPr>
          <w:rFonts w:hint="eastAsia" w:ascii="方正仿宋_GBK" w:hAnsi="Times New Roman" w:eastAsia="方正仿宋_GBK" w:cs="Times New Roman"/>
          <w:b/>
          <w:sz w:val="44"/>
          <w:szCs w:val="20"/>
        </w:rPr>
      </w:pPr>
      <w:bookmarkStart w:id="173" w:name="_Hlt41879464"/>
      <w:bookmarkEnd w:id="173"/>
      <w:bookmarkStart w:id="174" w:name="_Toc27984"/>
      <w:bookmarkStart w:id="175" w:name="_Toc76462349"/>
      <w:bookmarkStart w:id="176" w:name="_Toc30685"/>
      <w:bookmarkStart w:id="177" w:name="_Toc106030905"/>
      <w:r>
        <w:rPr>
          <w:rFonts w:hint="eastAsia" w:ascii="方正仿宋_GBK" w:hAnsi="Times New Roman" w:eastAsia="方正仿宋_GBK" w:cs="Times New Roman"/>
          <w:b/>
          <w:sz w:val="44"/>
          <w:szCs w:val="20"/>
        </w:rPr>
        <w:t>第六篇  响应文件编制要求</w:t>
      </w:r>
      <w:bookmarkEnd w:id="174"/>
      <w:bookmarkEnd w:id="175"/>
      <w:bookmarkEnd w:id="176"/>
      <w:bookmarkEnd w:id="17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租赁</w:t>
      </w:r>
      <w:r>
        <w:rPr>
          <w:rFonts w:hint="eastAsia" w:ascii="方正仿宋_GBK" w:hAnsi="宋体" w:eastAsia="方正仿宋_GBK"/>
          <w:sz w:val="24"/>
          <w:szCs w:val="24"/>
        </w:rPr>
        <w:t>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租赁需求</w:t>
      </w:r>
      <w:r>
        <w:rPr>
          <w:rFonts w:hint="eastAsia" w:ascii="方正仿宋_GBK" w:hAnsi="宋体" w:eastAsia="方正仿宋_GBK"/>
          <w:sz w:val="24"/>
          <w:szCs w:val="24"/>
        </w:rPr>
        <w:t>响应偏离表</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租赁需求响应承诺函（格式内容自定）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lang w:eastAsia="zh-CN"/>
        </w:rPr>
        <w:t>）</w:t>
      </w:r>
      <w:r>
        <w:rPr>
          <w:rFonts w:hint="eastAsia" w:ascii="方正仿宋_GBK" w:hAnsi="宋体" w:eastAsia="方正仿宋_GBK"/>
          <w:sz w:val="24"/>
          <w:szCs w:val="24"/>
        </w:rPr>
        <w:t>其他资料</w:t>
      </w:r>
      <w:r>
        <w:rPr>
          <w:rFonts w:hint="eastAsia" w:ascii="方正仿宋_GBK" w:hAnsi="宋体" w:eastAsia="方正仿宋_GBK"/>
          <w:sz w:val="24"/>
          <w:szCs w:val="24"/>
          <w:lang w:val="en-US" w:eastAsia="zh-CN"/>
        </w:rPr>
        <w:t>（格式内容自定）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w:t>
      </w:r>
      <w:r>
        <w:rPr>
          <w:rFonts w:hint="eastAsia" w:ascii="方正仿宋_GBK" w:hAnsi="宋体" w:eastAsia="方正仿宋_GBK"/>
          <w:sz w:val="24"/>
          <w:szCs w:val="24"/>
          <w:lang w:val="en-US" w:eastAsia="zh-CN"/>
        </w:rPr>
        <w:t>需求</w:t>
      </w:r>
      <w:r>
        <w:rPr>
          <w:rFonts w:hint="eastAsia" w:ascii="方正仿宋_GBK" w:hAnsi="宋体" w:eastAsia="方正仿宋_GBK"/>
          <w:sz w:val="24"/>
          <w:szCs w:val="24"/>
        </w:rPr>
        <w:t>响应偏离表</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商务需求响应承诺函（格式内容自定）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lang w:eastAsia="zh-CN"/>
        </w:rPr>
        <w:t>）</w:t>
      </w:r>
      <w:r>
        <w:rPr>
          <w:rFonts w:hint="eastAsia" w:ascii="方正仿宋_GBK" w:hAnsi="宋体" w:eastAsia="方正仿宋_GBK"/>
          <w:sz w:val="24"/>
          <w:szCs w:val="24"/>
        </w:rPr>
        <w:t>其它优惠服务承诺</w:t>
      </w:r>
      <w:r>
        <w:rPr>
          <w:rFonts w:hint="eastAsia" w:ascii="方正仿宋_GBK" w:hAnsi="宋体" w:eastAsia="方正仿宋_GBK"/>
          <w:sz w:val="24"/>
          <w:szCs w:val="24"/>
          <w:lang w:val="en-US" w:eastAsia="zh-CN"/>
        </w:rPr>
        <w:t>（格式内容自定）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78" w:name="_Toc313888360"/>
      <w:bookmarkStart w:id="179" w:name="_Toc313008356"/>
      <w:bookmarkStart w:id="180" w:name="_Toc106030906"/>
      <w:bookmarkStart w:id="181" w:name="_Toc342913419"/>
      <w:bookmarkStart w:id="182" w:name="_Toc15994"/>
      <w:bookmarkStart w:id="183" w:name="_Toc76462350"/>
      <w:bookmarkStart w:id="184" w:name="_Toc12789073"/>
      <w:bookmarkStart w:id="185"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86" w:name="_Toc28694"/>
      <w:r>
        <w:rPr>
          <w:rFonts w:hint="eastAsia" w:ascii="方正仿宋_GBK" w:hAnsi="宋体" w:eastAsia="方正仿宋_GBK"/>
          <w:sz w:val="24"/>
        </w:rPr>
        <w:t>一、经济部分</w:t>
      </w:r>
      <w:bookmarkEnd w:id="178"/>
      <w:bookmarkEnd w:id="179"/>
      <w:bookmarkEnd w:id="180"/>
      <w:bookmarkEnd w:id="181"/>
      <w:bookmarkEnd w:id="182"/>
      <w:bookmarkEnd w:id="183"/>
      <w:bookmarkEnd w:id="186"/>
    </w:p>
    <w:bookmarkEnd w:id="184"/>
    <w:bookmarkEnd w:id="185"/>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递增比例</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租赁期限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自合同签订之日起3年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default" w:ascii="方正仿宋_GBK" w:hAnsi="宋体" w:eastAsia="方正仿宋_GBK"/>
          <w:b/>
          <w:bCs/>
          <w:color w:val="FF0000"/>
          <w:sz w:val="24"/>
          <w:szCs w:val="24"/>
          <w:lang w:val="en-US" w:eastAsia="zh-CN"/>
        </w:rPr>
      </w:pPr>
      <w:r>
        <w:rPr>
          <w:rFonts w:hint="eastAsia" w:ascii="方正仿宋_GBK" w:hAnsi="宋体" w:eastAsia="方正仿宋_GBK"/>
          <w:b/>
          <w:bCs/>
          <w:color w:val="FF0000"/>
          <w:sz w:val="24"/>
          <w:szCs w:val="24"/>
          <w:lang w:val="en-US" w:eastAsia="zh-CN"/>
        </w:rPr>
        <w:t>注：该页请单独打印一份并密封，未密封者视为无效投标。</w:t>
      </w: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87" w:name="OLE_LINK2"/>
      <w:bookmarkStart w:id="188" w:name="OLE_LINK1"/>
      <w:r>
        <w:rPr>
          <w:rFonts w:hint="eastAsia" w:ascii="方正仿宋_GBK" w:hAnsi="宋体" w:eastAsia="方正仿宋_GBK"/>
          <w:sz w:val="24"/>
          <w:szCs w:val="28"/>
        </w:rPr>
        <w:t>。</w:t>
      </w:r>
      <w:bookmarkEnd w:id="187"/>
      <w:bookmarkEnd w:id="188"/>
    </w:p>
    <w:p>
      <w:pPr>
        <w:pStyle w:val="38"/>
        <w:spacing w:line="360" w:lineRule="auto"/>
        <w:rPr>
          <w:rFonts w:hint="eastAsia" w:ascii="方正仿宋_GBK" w:hAnsi="宋体" w:eastAsia="方正仿宋_GBK"/>
          <w:sz w:val="24"/>
          <w:szCs w:val="24"/>
        </w:rPr>
      </w:pPr>
    </w:p>
    <w:p>
      <w:pPr>
        <w:pStyle w:val="38"/>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89" w:name="_Toc313008357"/>
      <w:bookmarkStart w:id="190" w:name="_Toc342913420"/>
      <w:bookmarkStart w:id="191" w:name="_Toc313888361"/>
      <w:bookmarkStart w:id="192" w:name="_Toc22682"/>
      <w:bookmarkStart w:id="193" w:name="_Toc76462351"/>
      <w:bookmarkStart w:id="194" w:name="_Toc18669"/>
      <w:bookmarkStart w:id="195" w:name="_Toc106030907"/>
      <w:r>
        <w:rPr>
          <w:rFonts w:hint="eastAsia" w:ascii="方正仿宋_GBK" w:hAnsi="宋体" w:eastAsia="方正仿宋_GBK"/>
          <w:sz w:val="24"/>
        </w:rPr>
        <w:t>二、</w:t>
      </w:r>
      <w:r>
        <w:rPr>
          <w:rFonts w:hint="eastAsia" w:ascii="方正仿宋_GBK" w:hAnsi="宋体" w:eastAsia="方正仿宋_GBK"/>
          <w:sz w:val="24"/>
          <w:lang w:val="en-US" w:eastAsia="zh-CN"/>
        </w:rPr>
        <w:t>租赁</w:t>
      </w:r>
      <w:r>
        <w:rPr>
          <w:rFonts w:hint="eastAsia" w:ascii="方正仿宋_GBK" w:hAnsi="宋体" w:eastAsia="方正仿宋_GBK"/>
          <w:sz w:val="24"/>
        </w:rPr>
        <w:t>部分</w:t>
      </w:r>
      <w:bookmarkEnd w:id="189"/>
      <w:bookmarkEnd w:id="190"/>
      <w:bookmarkEnd w:id="191"/>
      <w:bookmarkEnd w:id="192"/>
      <w:bookmarkEnd w:id="193"/>
      <w:bookmarkEnd w:id="194"/>
      <w:bookmarkEnd w:id="195"/>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租赁需求</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lang w:val="en-US" w:eastAsia="zh-CN"/>
              </w:rPr>
              <w:t>项目</w:t>
            </w:r>
            <w:r>
              <w:rPr>
                <w:rFonts w:hint="eastAsia" w:ascii="方正仿宋_GBK" w:hAnsi="宋体" w:eastAsia="方正仿宋_GBK"/>
                <w:sz w:val="21"/>
                <w:szCs w:val="21"/>
              </w:rPr>
              <w:t>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lang w:val="en-US" w:eastAsia="zh-CN"/>
              </w:rPr>
              <w:t>服务要求</w:t>
            </w:r>
            <w:r>
              <w:rPr>
                <w:rFonts w:hint="default" w:ascii="方正仿宋_GBK" w:hAnsi="仿宋" w:eastAsia="方正仿宋_GBK"/>
                <w:sz w:val="21"/>
                <w:szCs w:val="21"/>
              </w:rPr>
              <w:t>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服务</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租赁需求相应承诺函</w:t>
      </w:r>
      <w:r>
        <w:rPr>
          <w:rFonts w:hint="eastAsia" w:ascii="方正仿宋_GBK" w:hAnsi="宋体" w:eastAsia="方正仿宋_GBK"/>
          <w:sz w:val="24"/>
          <w:szCs w:val="24"/>
        </w:rPr>
        <w:t>（格式</w:t>
      </w:r>
      <w:r>
        <w:rPr>
          <w:rFonts w:hint="eastAsia" w:ascii="方正仿宋_GBK" w:hAnsi="宋体" w:eastAsia="方正仿宋_GBK"/>
          <w:sz w:val="24"/>
          <w:szCs w:val="24"/>
          <w:lang w:val="en-US" w:eastAsia="zh-CN"/>
        </w:rPr>
        <w:t>内容</w:t>
      </w:r>
      <w:r>
        <w:rPr>
          <w:rFonts w:hint="eastAsia" w:ascii="方正仿宋_GBK" w:hAnsi="宋体" w:eastAsia="方正仿宋_GBK"/>
          <w:sz w:val="24"/>
          <w:szCs w:val="24"/>
        </w:rPr>
        <w:t>自定）</w:t>
      </w:r>
    </w:p>
    <w:p>
      <w:pPr>
        <w:tabs>
          <w:tab w:val="left" w:pos="6300"/>
        </w:tabs>
        <w:snapToGrid w:val="0"/>
        <w:spacing w:line="400" w:lineRule="exact"/>
        <w:ind w:firstLine="480" w:firstLineChars="200"/>
        <w:rPr>
          <w:rFonts w:hint="default" w:ascii="方正仿宋_GBK" w:hAnsi="宋体" w:eastAsia="方正仿宋_GBK"/>
          <w:sz w:val="24"/>
          <w:szCs w:val="24"/>
          <w:lang w:val="en-US" w:eastAsia="zh-CN"/>
        </w:rPr>
      </w:pPr>
    </w:p>
    <w:p>
      <w:pPr>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br w:type="page"/>
      </w:r>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lang w:eastAsia="zh-CN"/>
        </w:rPr>
        <w:t>）</w:t>
      </w:r>
      <w:r>
        <w:rPr>
          <w:rFonts w:hint="eastAsia" w:ascii="方正仿宋_GBK" w:hAnsi="宋体" w:eastAsia="方正仿宋_GBK"/>
          <w:sz w:val="24"/>
          <w:szCs w:val="24"/>
        </w:rPr>
        <w:t>其他资料（格式</w:t>
      </w:r>
      <w:r>
        <w:rPr>
          <w:rFonts w:hint="eastAsia" w:ascii="方正仿宋_GBK" w:hAnsi="宋体" w:eastAsia="方正仿宋_GBK"/>
          <w:sz w:val="24"/>
          <w:szCs w:val="24"/>
          <w:lang w:val="en-US" w:eastAsia="zh-CN"/>
        </w:rPr>
        <w:t>内容</w:t>
      </w:r>
      <w:r>
        <w:rPr>
          <w:rFonts w:hint="eastAsia" w:ascii="方正仿宋_GBK" w:hAnsi="宋体" w:eastAsia="方正仿宋_GBK"/>
          <w:sz w:val="24"/>
          <w:szCs w:val="24"/>
        </w:rPr>
        <w:t>自定）</w:t>
      </w:r>
    </w:p>
    <w:p>
      <w:pPr>
        <w:pStyle w:val="5"/>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96" w:name="_Toc106030908"/>
      <w:bookmarkStart w:id="197" w:name="_Toc17362"/>
      <w:bookmarkStart w:id="198" w:name="_Toc313888362"/>
      <w:bookmarkStart w:id="199" w:name="_Toc342913421"/>
      <w:bookmarkStart w:id="200" w:name="_Toc76462352"/>
      <w:bookmarkStart w:id="201" w:name="_Toc313008358"/>
      <w:bookmarkStart w:id="202" w:name="_Toc30639"/>
      <w:r>
        <w:rPr>
          <w:rFonts w:hint="eastAsia" w:ascii="方正仿宋_GBK" w:hAnsi="宋体" w:eastAsia="方正仿宋_GBK"/>
          <w:sz w:val="24"/>
        </w:rPr>
        <w:t>三、商务部分</w:t>
      </w:r>
      <w:bookmarkEnd w:id="196"/>
      <w:bookmarkEnd w:id="197"/>
      <w:bookmarkEnd w:id="198"/>
      <w:bookmarkEnd w:id="199"/>
      <w:bookmarkEnd w:id="200"/>
      <w:bookmarkEnd w:id="201"/>
      <w:bookmarkEnd w:id="202"/>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w:t>
      </w:r>
      <w:r>
        <w:rPr>
          <w:rFonts w:hint="eastAsia" w:ascii="方正仿宋_GBK" w:hAnsi="宋体" w:eastAsia="方正仿宋_GBK"/>
          <w:sz w:val="24"/>
          <w:szCs w:val="24"/>
          <w:lang w:val="en-US" w:eastAsia="zh-CN"/>
        </w:rPr>
        <w:t>需求</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default" w:ascii="方正仿宋_GBK" w:hAnsi="宋体" w:eastAsia="方正仿宋_GBK"/>
          <w:sz w:val="24"/>
          <w:szCs w:val="24"/>
          <w:lang w:val="en-US" w:eastAsia="zh-CN"/>
        </w:rPr>
      </w:pPr>
      <w:bookmarkStart w:id="203" w:name="_Toc283382459"/>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商务需求响应承诺函（格式内容自定）</w:t>
      </w: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）其它优惠承诺</w:t>
      </w:r>
      <w:r>
        <w:rPr>
          <w:rFonts w:hint="eastAsia" w:ascii="方正仿宋_GBK" w:hAnsi="宋体" w:eastAsia="方正仿宋_GBK"/>
          <w:sz w:val="24"/>
          <w:szCs w:val="24"/>
          <w:lang w:val="en-US" w:eastAsia="zh-CN"/>
        </w:rPr>
        <w:t>（格式内容自定）</w:t>
      </w:r>
    </w:p>
    <w:p>
      <w:pPr>
        <w:snapToGrid w:val="0"/>
        <w:spacing w:line="4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03"/>
      <w:bookmarkStart w:id="204" w:name="_Toc313888363"/>
      <w:bookmarkStart w:id="205" w:name="_Toc313008359"/>
      <w:bookmarkStart w:id="206" w:name="_Toc76462353"/>
      <w:bookmarkStart w:id="207" w:name="_Toc342913422"/>
      <w:bookmarkStart w:id="208" w:name="_Toc26948"/>
      <w:bookmarkStart w:id="209" w:name="_Toc6483"/>
      <w:bookmarkStart w:id="210" w:name="_Toc106030909"/>
      <w:r>
        <w:rPr>
          <w:rFonts w:hint="eastAsia" w:ascii="方正仿宋_GBK" w:hAnsi="宋体" w:eastAsia="方正仿宋_GBK"/>
          <w:sz w:val="24"/>
        </w:rPr>
        <w:t>四、资格条件</w:t>
      </w:r>
      <w:bookmarkEnd w:id="204"/>
      <w:bookmarkEnd w:id="205"/>
      <w:bookmarkEnd w:id="206"/>
      <w:bookmarkEnd w:id="207"/>
      <w:bookmarkEnd w:id="208"/>
      <w:bookmarkEnd w:id="209"/>
      <w:bookmarkEnd w:id="210"/>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w:t>
      </w:r>
      <w:r>
        <w:rPr>
          <w:rFonts w:hint="eastAsia" w:ascii="方正仿宋_GBK" w:eastAsia="方正仿宋_GBK" w:cs="Times New Roman"/>
          <w:sz w:val="24"/>
          <w:szCs w:val="24"/>
          <w:lang w:val="en-US" w:eastAsia="zh-CN"/>
        </w:rPr>
        <w:t>采购文件</w:t>
      </w:r>
      <w:r>
        <w:rPr>
          <w:rFonts w:hint="eastAsia" w:ascii="方正仿宋_GBK" w:hAnsi="Times New Roman" w:eastAsia="方正仿宋_GBK" w:cs="Times New Roman"/>
          <w:sz w:val="24"/>
          <w:szCs w:val="24"/>
        </w:rPr>
        <w:t>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w:t>
      </w:r>
      <w:r>
        <w:rPr>
          <w:rFonts w:hint="eastAsia" w:ascii="方正仿宋_GBK" w:eastAsia="方正仿宋_GBK" w:cs="Times New Roman"/>
          <w:sz w:val="24"/>
          <w:szCs w:val="24"/>
          <w:lang w:val="en-US" w:eastAsia="zh-CN"/>
        </w:rPr>
        <w:t>高</w:t>
      </w:r>
      <w:r>
        <w:rPr>
          <w:rFonts w:hint="eastAsia" w:ascii="方正仿宋_GBK" w:hAnsi="Times New Roman" w:eastAsia="方正仿宋_GBK" w:cs="Times New Roman"/>
          <w:sz w:val="24"/>
          <w:szCs w:val="24"/>
        </w:rPr>
        <w:t>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w:t>
      </w:r>
      <w:r>
        <w:rPr>
          <w:rFonts w:hint="eastAsia" w:ascii="方正仿宋_GBK" w:eastAsia="方正仿宋_GBK" w:cs="Times New Roman"/>
          <w:sz w:val="24"/>
          <w:szCs w:val="24"/>
          <w:lang w:val="en-US" w:eastAsia="zh-CN"/>
        </w:rPr>
        <w:t>响应文件</w:t>
      </w:r>
      <w:r>
        <w:rPr>
          <w:rFonts w:hint="eastAsia" w:ascii="方正仿宋_GBK" w:hAnsi="Times New Roman" w:eastAsia="方正仿宋_GBK" w:cs="Times New Roman"/>
          <w:sz w:val="24"/>
          <w:szCs w:val="24"/>
        </w:rPr>
        <w:t>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560" w:firstLineChars="200"/>
        <w:rPr>
          <w:rFonts w:hint="eastAsia" w:ascii="方正仿宋_GBK" w:hAnsi="宋体" w:eastAsia="方正仿宋_GBK"/>
          <w:sz w:val="24"/>
        </w:rPr>
      </w:pPr>
      <w:bookmarkStart w:id="211" w:name="_Toc14422"/>
      <w:r>
        <w:rPr>
          <w:rFonts w:ascii="方正仿宋_GBK" w:hAnsi="宋体" w:eastAsia="方正仿宋_GBK"/>
          <w:b w:val="0"/>
          <w:sz w:val="28"/>
        </w:rPr>
        <w:br w:type="page"/>
      </w:r>
      <w:bookmarkStart w:id="212" w:name="_Toc773"/>
      <w:bookmarkStart w:id="213" w:name="_Toc8805"/>
      <w:bookmarkStart w:id="214" w:name="_Toc106030910"/>
      <w:bookmarkStart w:id="215" w:name="_Toc76462354"/>
      <w:r>
        <w:rPr>
          <w:rFonts w:hint="eastAsia" w:ascii="方正仿宋_GBK" w:hAnsi="宋体" w:eastAsia="方正仿宋_GBK"/>
          <w:sz w:val="24"/>
        </w:rPr>
        <w:t>五、其他资料</w:t>
      </w:r>
      <w:bookmarkEnd w:id="211"/>
      <w:bookmarkEnd w:id="212"/>
      <w:bookmarkEnd w:id="213"/>
      <w:bookmarkEnd w:id="214"/>
      <w:bookmarkEnd w:id="21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p>
      <w:pPr>
        <w:spacing w:line="360" w:lineRule="auto"/>
        <w:ind w:firstLine="560" w:firstLineChars="200"/>
        <w:jc w:val="center"/>
        <w:outlineLvl w:val="0"/>
        <w:rPr>
          <w:rFonts w:hint="eastAsia" w:ascii="方正仿宋_GBK" w:hAnsi="宋体" w:eastAsia="方正仿宋_GBK"/>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0756FA"/>
    <w:rsid w:val="026C7369"/>
    <w:rsid w:val="030620E3"/>
    <w:rsid w:val="079B568B"/>
    <w:rsid w:val="07F103E0"/>
    <w:rsid w:val="092E6FC0"/>
    <w:rsid w:val="0B4077B6"/>
    <w:rsid w:val="0BB87E47"/>
    <w:rsid w:val="0BC54681"/>
    <w:rsid w:val="0D1F249B"/>
    <w:rsid w:val="147A5E14"/>
    <w:rsid w:val="15935DB5"/>
    <w:rsid w:val="15BB3449"/>
    <w:rsid w:val="17351C20"/>
    <w:rsid w:val="178B1D79"/>
    <w:rsid w:val="17A1211B"/>
    <w:rsid w:val="18ED7A84"/>
    <w:rsid w:val="19255AF5"/>
    <w:rsid w:val="193B151F"/>
    <w:rsid w:val="1A7E6296"/>
    <w:rsid w:val="1B71782D"/>
    <w:rsid w:val="1F0D01CA"/>
    <w:rsid w:val="1F641F14"/>
    <w:rsid w:val="21864056"/>
    <w:rsid w:val="22CC5B6A"/>
    <w:rsid w:val="2486441F"/>
    <w:rsid w:val="2AA01F44"/>
    <w:rsid w:val="2E2D3EDF"/>
    <w:rsid w:val="300C58E0"/>
    <w:rsid w:val="30713A61"/>
    <w:rsid w:val="332D1E43"/>
    <w:rsid w:val="35397720"/>
    <w:rsid w:val="3A4376A9"/>
    <w:rsid w:val="3ACE5D4F"/>
    <w:rsid w:val="3B9820D5"/>
    <w:rsid w:val="3C55524B"/>
    <w:rsid w:val="3DF6488D"/>
    <w:rsid w:val="3EEC6CD3"/>
    <w:rsid w:val="3F1C71CA"/>
    <w:rsid w:val="406334F2"/>
    <w:rsid w:val="409F14A1"/>
    <w:rsid w:val="415F6EA3"/>
    <w:rsid w:val="41B20BF4"/>
    <w:rsid w:val="452C7897"/>
    <w:rsid w:val="48794403"/>
    <w:rsid w:val="494C6B8D"/>
    <w:rsid w:val="497B7CB3"/>
    <w:rsid w:val="4AF548A9"/>
    <w:rsid w:val="4B2D12E0"/>
    <w:rsid w:val="4BEB6B31"/>
    <w:rsid w:val="4D246218"/>
    <w:rsid w:val="4DD36371"/>
    <w:rsid w:val="4F070047"/>
    <w:rsid w:val="4F3C244F"/>
    <w:rsid w:val="5115115D"/>
    <w:rsid w:val="521E4A24"/>
    <w:rsid w:val="52D92ACB"/>
    <w:rsid w:val="53B4776F"/>
    <w:rsid w:val="53D21F9F"/>
    <w:rsid w:val="53DF1E3A"/>
    <w:rsid w:val="558E730F"/>
    <w:rsid w:val="57857077"/>
    <w:rsid w:val="5B9C3E91"/>
    <w:rsid w:val="5CA67F0E"/>
    <w:rsid w:val="61625D90"/>
    <w:rsid w:val="63204C3C"/>
    <w:rsid w:val="655A2C1A"/>
    <w:rsid w:val="65C328F3"/>
    <w:rsid w:val="66246E50"/>
    <w:rsid w:val="68BD663A"/>
    <w:rsid w:val="692F74C0"/>
    <w:rsid w:val="696405DD"/>
    <w:rsid w:val="6B3F77E3"/>
    <w:rsid w:val="6B627E51"/>
    <w:rsid w:val="6D726B96"/>
    <w:rsid w:val="6F4859CD"/>
    <w:rsid w:val="6FE969BF"/>
    <w:rsid w:val="701245F9"/>
    <w:rsid w:val="71175C34"/>
    <w:rsid w:val="73FC67B5"/>
    <w:rsid w:val="747D277F"/>
    <w:rsid w:val="74D70DF7"/>
    <w:rsid w:val="750950F5"/>
    <w:rsid w:val="750D16CF"/>
    <w:rsid w:val="789F3DA6"/>
    <w:rsid w:val="78A52377"/>
    <w:rsid w:val="78EF15F1"/>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2"/>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qFormat/>
    <w:uiPriority w:val="0"/>
    <w:rPr>
      <w:rFonts w:ascii="仿宋_GB2312" w:eastAsia="仿宋_GB2312"/>
      <w:sz w:val="32"/>
    </w:rPr>
  </w:style>
  <w:style w:type="paragraph" w:customStyle="1" w:styleId="3">
    <w:name w:val="引用1"/>
    <w:basedOn w:val="1"/>
    <w:next w:val="1"/>
    <w:qFormat/>
    <w:uiPriority w:val="99"/>
    <w:rPr>
      <w:rFonts w:ascii="Calibri" w:hAnsi="Calibri"/>
      <w:i/>
      <w:iCs/>
      <w:color w:val="000000"/>
      <w:kern w:val="0"/>
      <w:sz w:val="22"/>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tabs>
        <w:tab w:val="left" w:pos="780"/>
        <w:tab w:val="clear" w:pos="425"/>
      </w:tabs>
      <w:spacing w:line="360" w:lineRule="auto"/>
    </w:pPr>
    <w:rPr>
      <w:sz w:val="24"/>
    </w:rPr>
  </w:style>
  <w:style w:type="paragraph" w:styleId="16">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3"/>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3"/>
      </w:numPr>
      <w:adjustRightInd w:val="0"/>
      <w:snapToGrid w:val="0"/>
      <w:spacing w:line="360" w:lineRule="auto"/>
    </w:pPr>
    <w:rPr>
      <w:sz w:val="24"/>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1"/>
    <w:next w:val="21"/>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70">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71">
    <w:name w:val="标题 2 Char"/>
    <w:link w:val="5"/>
    <w:qFormat/>
    <w:uiPriority w:val="0"/>
    <w:rPr>
      <w:rFonts w:ascii="Arial" w:hAnsi="Arial" w:eastAsia="黑体"/>
      <w:b/>
      <w:kern w:val="2"/>
      <w:sz w:val="32"/>
    </w:rPr>
  </w:style>
  <w:style w:type="character" w:customStyle="1" w:styleId="72">
    <w:name w:val="标题 3 Char"/>
    <w:link w:val="6"/>
    <w:qFormat/>
    <w:uiPriority w:val="0"/>
    <w:rPr>
      <w:rFonts w:eastAsia="宋体"/>
      <w:b/>
      <w:kern w:val="2"/>
      <w:sz w:val="32"/>
      <w:lang w:val="en-US" w:eastAsia="zh-CN"/>
    </w:rPr>
  </w:style>
  <w:style w:type="character" w:customStyle="1" w:styleId="73">
    <w:name w:val="批注文字 Char"/>
    <w:link w:val="21"/>
    <w:qFormat/>
    <w:uiPriority w:val="0"/>
    <w:rPr>
      <w:sz w:val="24"/>
    </w:rPr>
  </w:style>
  <w:style w:type="character" w:customStyle="1" w:styleId="74">
    <w:name w:val="正文文本缩进 Char"/>
    <w:link w:val="24"/>
    <w:qFormat/>
    <w:uiPriority w:val="0"/>
    <w:rPr>
      <w:kern w:val="2"/>
      <w:sz w:val="44"/>
    </w:rPr>
  </w:style>
  <w:style w:type="character" w:customStyle="1" w:styleId="75">
    <w:name w:val="日期 Char"/>
    <w:link w:val="33"/>
    <w:qFormat/>
    <w:uiPriority w:val="0"/>
    <w:rPr>
      <w:kern w:val="2"/>
      <w:sz w:val="28"/>
    </w:rPr>
  </w:style>
  <w:style w:type="character" w:customStyle="1" w:styleId="76">
    <w:name w:val="正文文本缩进 2 Char"/>
    <w:link w:val="34"/>
    <w:qFormat/>
    <w:uiPriority w:val="0"/>
    <w:rPr>
      <w:kern w:val="2"/>
      <w:sz w:val="28"/>
    </w:rPr>
  </w:style>
  <w:style w:type="character" w:customStyle="1" w:styleId="77">
    <w:name w:val="脚注文本 Char"/>
    <w:link w:val="41"/>
    <w:qFormat/>
    <w:uiPriority w:val="0"/>
    <w:rPr>
      <w:kern w:val="2"/>
      <w:sz w:val="18"/>
    </w:rPr>
  </w:style>
  <w:style w:type="character" w:customStyle="1" w:styleId="78">
    <w:name w:val="批注主题 Char"/>
    <w:link w:val="55"/>
    <w:qFormat/>
    <w:uiPriority w:val="0"/>
  </w:style>
  <w:style w:type="character" w:customStyle="1" w:styleId="79">
    <w:name w:val="正文首行缩进 2 Char"/>
    <w:link w:val="57"/>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6"/>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beforeLines="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Lines="0" w:beforeAutospacing="0" w:after="0" w:afterLines="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2">
    <w:name w:val="内容标题"/>
    <w:basedOn w:val="19"/>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7">
    <w:name w:val="Char Char Char Char Char Char Char"/>
    <w:basedOn w:val="19"/>
    <w:qFormat/>
    <w:uiPriority w:val="0"/>
    <w:rPr>
      <w:rFonts w:ascii="宋体" w:hAnsi="Tahoma"/>
    </w:rPr>
  </w:style>
  <w:style w:type="paragraph" w:customStyle="1" w:styleId="148">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7">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9">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60">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1">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6"/>
    <w:qFormat/>
    <w:uiPriority w:val="0"/>
    <w:pPr>
      <w:numPr>
        <w:ilvl w:val="2"/>
        <w:numId w:val="2"/>
      </w:numPr>
      <w:tabs>
        <w:tab w:val="left" w:pos="709"/>
        <w:tab w:val="left" w:pos="1620"/>
      </w:tabs>
      <w:spacing w:line="413" w:lineRule="auto"/>
    </w:pPr>
  </w:style>
  <w:style w:type="paragraph" w:customStyle="1" w:styleId="176">
    <w:name w:val="样式4"/>
    <w:basedOn w:val="7"/>
    <w:qFormat/>
    <w:uiPriority w:val="0"/>
    <w:pPr>
      <w:adjustRightInd w:val="0"/>
      <w:snapToGrid w:val="0"/>
    </w:pPr>
  </w:style>
  <w:style w:type="paragraph" w:customStyle="1" w:styleId="177">
    <w:name w:val="摘要"/>
    <w:basedOn w:val="1"/>
    <w:next w:val="5"/>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7"/>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16</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2023-12-22T02:36:52Z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