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2"/>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2"/>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3"/>
        <w:rPr>
          <w:rFonts w:hint="eastAsia" w:ascii="微软雅黑" w:hAnsi="微软雅黑" w:eastAsia="微软雅黑" w:cs="微软雅黑"/>
          <w:b w:val="0"/>
          <w:kern w:val="2"/>
          <w:sz w:val="44"/>
          <w:szCs w:val="44"/>
          <w:lang w:val="en-US" w:eastAsia="zh-CN" w:bidi="ar-SA"/>
        </w:rPr>
      </w:pPr>
    </w:p>
    <w:p>
      <w:pPr>
        <w:spacing w:line="360" w:lineRule="auto"/>
        <w:ind w:firstLine="2520" w:firstLineChars="7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YHQ260137</w:t>
      </w:r>
    </w:p>
    <w:p>
      <w:pPr>
        <w:spacing w:line="700" w:lineRule="exact"/>
        <w:ind w:left="4320" w:hanging="4320" w:hangingChars="1200"/>
        <w:jc w:val="both"/>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 xml:space="preserve">              项目名称</w:t>
      </w:r>
      <w:r>
        <w:rPr>
          <w:rFonts w:hint="eastAsia" w:ascii="微软雅黑" w:hAnsi="微软雅黑" w:eastAsia="微软雅黑" w:cs="微软雅黑"/>
          <w:sz w:val="36"/>
          <w:szCs w:val="36"/>
          <w:u w:val="none"/>
          <w:lang w:val="en-US" w:eastAsia="zh-CN"/>
        </w:rPr>
        <w:t>：</w:t>
      </w:r>
      <w:r>
        <w:rPr>
          <w:rFonts w:hint="eastAsia" w:ascii="微软雅黑" w:hAnsi="微软雅黑" w:eastAsia="微软雅黑" w:cs="微软雅黑"/>
          <w:sz w:val="36"/>
          <w:szCs w:val="36"/>
          <w:u w:val="single"/>
          <w:lang w:val="en-US" w:eastAsia="zh-CN"/>
        </w:rPr>
        <w:t>医用液氧和普通气体</w:t>
      </w:r>
    </w:p>
    <w:p>
      <w:pPr>
        <w:spacing w:line="700" w:lineRule="exact"/>
        <w:ind w:left="2880" w:hanging="2880" w:hangingChars="800"/>
        <w:jc w:val="both"/>
        <w:rPr>
          <w:rFonts w:hint="eastAsia" w:ascii="微软雅黑" w:hAnsi="微软雅黑" w:eastAsia="微软雅黑" w:cs="微软雅黑"/>
          <w:sz w:val="36"/>
          <w:szCs w:val="36"/>
          <w:lang w:val="en-US" w:eastAsia="zh-CN"/>
        </w:rPr>
      </w:pP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4</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_Toc29440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_Toc29440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sz w:val="24"/>
          <w:szCs w:val="24"/>
        </w:rPr>
        <w:tab/>
      </w:r>
      <w:r>
        <w:rPr>
          <w:sz w:val="24"/>
          <w:szCs w:val="24"/>
        </w:rPr>
        <w:fldChar w:fldCharType="begin"/>
      </w:r>
      <w:r>
        <w:rPr>
          <w:sz w:val="24"/>
          <w:szCs w:val="24"/>
        </w:rPr>
        <w:instrText xml:space="preserve"> PAGEREF _Toc30227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sz w:val="24"/>
          <w:szCs w:val="24"/>
        </w:rPr>
        <w:tab/>
      </w:r>
      <w:r>
        <w:rPr>
          <w:sz w:val="24"/>
          <w:szCs w:val="24"/>
        </w:rPr>
        <w:fldChar w:fldCharType="begin"/>
      </w:r>
      <w:r>
        <w:rPr>
          <w:sz w:val="24"/>
          <w:szCs w:val="24"/>
        </w:rPr>
        <w:instrText xml:space="preserve"> PAGEREF _Toc22677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sz w:val="24"/>
          <w:szCs w:val="24"/>
        </w:rPr>
        <w:tab/>
      </w:r>
      <w:r>
        <w:rPr>
          <w:sz w:val="24"/>
          <w:szCs w:val="24"/>
        </w:rPr>
        <w:fldChar w:fldCharType="begin"/>
      </w:r>
      <w:r>
        <w:rPr>
          <w:sz w:val="24"/>
          <w:szCs w:val="24"/>
        </w:rPr>
        <w:instrText xml:space="preserve"> PAGEREF _Toc13324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_Toc1570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_Toc23073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sz w:val="24"/>
          <w:szCs w:val="24"/>
        </w:rPr>
        <w:tab/>
      </w:r>
      <w:r>
        <w:rPr>
          <w:sz w:val="24"/>
          <w:szCs w:val="24"/>
        </w:rPr>
        <w:fldChar w:fldCharType="begin"/>
      </w:r>
      <w:r>
        <w:rPr>
          <w:sz w:val="24"/>
          <w:szCs w:val="24"/>
        </w:rPr>
        <w:instrText xml:space="preserve"> PAGEREF _Toc23073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sz w:val="24"/>
          <w:szCs w:val="24"/>
        </w:rPr>
        <w:tab/>
      </w:r>
      <w:r>
        <w:rPr>
          <w:sz w:val="24"/>
          <w:szCs w:val="24"/>
        </w:rPr>
        <w:fldChar w:fldCharType="begin"/>
      </w:r>
      <w:r>
        <w:rPr>
          <w:sz w:val="24"/>
          <w:szCs w:val="24"/>
        </w:rPr>
        <w:instrText xml:space="preserve"> PAGEREF _Toc22608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9"/>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_Toc9327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_Toc19917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_Toc16738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_Toc5181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_Toc5181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sz w:val="24"/>
          <w:szCs w:val="24"/>
        </w:rPr>
        <w:tab/>
      </w:r>
      <w:r>
        <w:rPr>
          <w:sz w:val="24"/>
          <w:szCs w:val="24"/>
        </w:rPr>
        <w:fldChar w:fldCharType="begin"/>
      </w:r>
      <w:r>
        <w:rPr>
          <w:sz w:val="24"/>
          <w:szCs w:val="24"/>
        </w:rPr>
        <w:instrText xml:space="preserve"> PAGEREF _Toc22093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sz w:val="24"/>
          <w:szCs w:val="24"/>
        </w:rPr>
        <w:tab/>
      </w:r>
      <w:r>
        <w:rPr>
          <w:sz w:val="24"/>
          <w:szCs w:val="24"/>
        </w:rPr>
        <w:fldChar w:fldCharType="begin"/>
      </w:r>
      <w:r>
        <w:rPr>
          <w:sz w:val="24"/>
          <w:szCs w:val="24"/>
        </w:rPr>
        <w:instrText xml:space="preserve"> PAGEREF _Toc21990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_Toc25770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sz w:val="24"/>
          <w:szCs w:val="24"/>
        </w:rPr>
        <w:tab/>
      </w:r>
      <w:r>
        <w:rPr>
          <w:sz w:val="24"/>
          <w:szCs w:val="24"/>
        </w:rPr>
        <w:fldChar w:fldCharType="begin"/>
      </w:r>
      <w:r>
        <w:rPr>
          <w:sz w:val="24"/>
          <w:szCs w:val="24"/>
        </w:rPr>
        <w:instrText xml:space="preserve"> PAGEREF _Toc25770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_Toc13026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sz w:val="24"/>
          <w:szCs w:val="24"/>
        </w:rPr>
        <w:tab/>
      </w:r>
      <w:r>
        <w:rPr>
          <w:sz w:val="24"/>
          <w:szCs w:val="24"/>
        </w:rPr>
        <w:fldChar w:fldCharType="begin"/>
      </w:r>
      <w:r>
        <w:rPr>
          <w:sz w:val="24"/>
          <w:szCs w:val="24"/>
        </w:rPr>
        <w:instrText xml:space="preserve"> PAGEREF _Toc13026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_Toc12066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sz w:val="24"/>
          <w:szCs w:val="24"/>
        </w:rPr>
        <w:tab/>
      </w:r>
      <w:r>
        <w:rPr>
          <w:sz w:val="24"/>
          <w:szCs w:val="24"/>
        </w:rPr>
        <w:fldChar w:fldCharType="begin"/>
      </w:r>
      <w:r>
        <w:rPr>
          <w:sz w:val="24"/>
          <w:szCs w:val="24"/>
        </w:rPr>
        <w:instrText xml:space="preserve"> PAGEREF _Toc12066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_Toc16988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_Toc16988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_Toc31408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sz w:val="24"/>
          <w:szCs w:val="24"/>
        </w:rPr>
        <w:tab/>
      </w:r>
      <w:r>
        <w:rPr>
          <w:sz w:val="24"/>
          <w:szCs w:val="24"/>
        </w:rPr>
        <w:fldChar w:fldCharType="begin"/>
      </w:r>
      <w:r>
        <w:rPr>
          <w:sz w:val="24"/>
          <w:szCs w:val="24"/>
        </w:rPr>
        <w:instrText xml:space="preserve"> PAGEREF _Toc7643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_Toc10580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sz w:val="24"/>
          <w:szCs w:val="24"/>
        </w:rPr>
        <w:tab/>
      </w:r>
      <w:r>
        <w:rPr>
          <w:sz w:val="24"/>
          <w:szCs w:val="24"/>
        </w:rPr>
        <w:fldChar w:fldCharType="begin"/>
      </w:r>
      <w:r>
        <w:rPr>
          <w:sz w:val="24"/>
          <w:szCs w:val="24"/>
        </w:rPr>
        <w:instrText xml:space="preserve"> PAGEREF _Toc10580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_Toc23469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sz w:val="24"/>
          <w:szCs w:val="24"/>
        </w:rPr>
        <w:tab/>
      </w:r>
      <w:r>
        <w:rPr>
          <w:sz w:val="24"/>
          <w:szCs w:val="24"/>
        </w:rPr>
        <w:fldChar w:fldCharType="begin"/>
      </w:r>
      <w:r>
        <w:rPr>
          <w:sz w:val="24"/>
          <w:szCs w:val="24"/>
        </w:rPr>
        <w:instrText xml:space="preserve"> PAGEREF _Toc27460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_Toc6600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_Toc17106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_Toc17106 \h </w:instrText>
      </w:r>
      <w:r>
        <w:rPr>
          <w:sz w:val="24"/>
          <w:szCs w:val="24"/>
        </w:rPr>
        <w:fldChar w:fldCharType="separate"/>
      </w:r>
      <w:r>
        <w:rPr>
          <w:sz w:val="24"/>
          <w:szCs w:val="24"/>
        </w:rPr>
        <w:t>- 14 -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_Toc1185 \h </w:instrText>
      </w:r>
      <w:r>
        <w:rPr>
          <w:sz w:val="24"/>
          <w:szCs w:val="24"/>
        </w:rPr>
        <w:fldChar w:fldCharType="separate"/>
      </w:r>
      <w:r>
        <w:rPr>
          <w:sz w:val="24"/>
          <w:szCs w:val="24"/>
        </w:rPr>
        <w:t>- 16 -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部分</w:t>
      </w:r>
      <w:r>
        <w:rPr>
          <w:sz w:val="24"/>
          <w:szCs w:val="24"/>
        </w:rPr>
        <w:tab/>
      </w:r>
      <w:r>
        <w:rPr>
          <w:sz w:val="24"/>
          <w:szCs w:val="24"/>
        </w:rPr>
        <w:fldChar w:fldCharType="begin"/>
      </w:r>
      <w:r>
        <w:rPr>
          <w:sz w:val="24"/>
          <w:szCs w:val="24"/>
        </w:rPr>
        <w:instrText xml:space="preserve"> PAGEREF _Toc14434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_Toc25027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_Toc25027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_Toc18208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_Toc18208 \h </w:instrText>
      </w:r>
      <w:r>
        <w:rPr>
          <w:sz w:val="24"/>
          <w:szCs w:val="24"/>
        </w:rPr>
        <w:fldChar w:fldCharType="separate"/>
      </w:r>
      <w:r>
        <w:rPr>
          <w:sz w:val="24"/>
          <w:szCs w:val="24"/>
        </w:rPr>
        <w:t>- 23 -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_Toc9271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_Toc9271 \h </w:instrText>
      </w:r>
      <w:r>
        <w:rPr>
          <w:sz w:val="24"/>
          <w:szCs w:val="24"/>
        </w:rPr>
        <w:fldChar w:fldCharType="separate"/>
      </w:r>
      <w:r>
        <w:rPr>
          <w:sz w:val="24"/>
          <w:szCs w:val="24"/>
        </w:rPr>
        <w:t>- 29 -</w:t>
      </w:r>
      <w:r>
        <w:rPr>
          <w:sz w:val="24"/>
          <w:szCs w:val="24"/>
        </w:rPr>
        <w:fldChar w:fldCharType="end"/>
      </w:r>
      <w:r>
        <w:rPr>
          <w:rFonts w:hint="eastAsia" w:ascii="微软雅黑" w:hAnsi="微软雅黑" w:eastAsia="微软雅黑" w:cs="微软雅黑"/>
          <w:sz w:val="24"/>
          <w:szCs w:val="24"/>
        </w:rPr>
        <w:fldChar w:fldCharType="end"/>
      </w:r>
    </w:p>
    <w:p>
      <w:pPr>
        <w:pStyle w:val="47"/>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5"/>
        <w:spacing w:before="200" w:after="200" w:line="240" w:lineRule="auto"/>
        <w:jc w:val="center"/>
        <w:rPr>
          <w:rFonts w:hint="eastAsia" w:ascii="微软雅黑" w:hAnsi="微软雅黑" w:eastAsia="微软雅黑" w:cs="微软雅黑"/>
          <w:b/>
          <w:sz w:val="44"/>
          <w:szCs w:val="20"/>
        </w:rPr>
      </w:pPr>
      <w:bookmarkStart w:id="0" w:name="_Toc11641050"/>
      <w:bookmarkStart w:id="1" w:name="_Toc29440"/>
      <w:bookmarkStart w:id="2" w:name="_Toc12789052"/>
      <w:bookmarkStart w:id="3" w:name="_Toc106030870"/>
      <w:bookmarkStart w:id="4" w:name="_Toc24037"/>
      <w:bookmarkStart w:id="5" w:name="_Toc76462316"/>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keepNext w:val="0"/>
        <w:keepLines w:val="0"/>
        <w:pageBreakBefore w:val="0"/>
        <w:widowControl/>
        <w:kinsoku/>
        <w:wordWrap/>
        <w:overflowPunct/>
        <w:topLinePunct w:val="0"/>
        <w:autoSpaceDE/>
        <w:autoSpaceDN/>
        <w:bidi w:val="0"/>
        <w:adjustRightInd w:val="0"/>
        <w:snapToGrid w:val="0"/>
        <w:jc w:val="left"/>
        <w:textAlignment w:val="auto"/>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医</w:t>
      </w:r>
      <w:r>
        <w:rPr>
          <w:rFonts w:hint="eastAsia" w:ascii="微软雅黑" w:hAnsi="微软雅黑" w:eastAsia="微软雅黑" w:cs="微软雅黑"/>
          <w:sz w:val="24"/>
          <w:szCs w:val="24"/>
          <w:u w:val="single"/>
          <w:lang w:eastAsia="zh-CN"/>
        </w:rPr>
        <w:t>用</w:t>
      </w:r>
      <w:r>
        <w:rPr>
          <w:rFonts w:hint="eastAsia" w:ascii="微软雅黑" w:hAnsi="微软雅黑" w:eastAsia="微软雅黑" w:cs="微软雅黑"/>
          <w:sz w:val="24"/>
          <w:szCs w:val="24"/>
          <w:u w:val="single"/>
          <w:lang w:val="en-US" w:eastAsia="zh-CN"/>
        </w:rPr>
        <w:t>液氧和普通气体</w:t>
      </w:r>
      <w:r>
        <w:rPr>
          <w:rFonts w:hint="eastAsia" w:ascii="微软雅黑" w:hAnsi="微软雅黑" w:eastAsia="微软雅黑" w:cs="微软雅黑"/>
          <w:sz w:val="24"/>
          <w:szCs w:val="24"/>
          <w:u w:val="none"/>
          <w:lang w:val="en-US" w:eastAsia="zh-CN"/>
        </w:rPr>
        <w:t>项</w:t>
      </w:r>
      <w:r>
        <w:rPr>
          <w:rFonts w:hint="eastAsia" w:ascii="微软雅黑" w:hAnsi="微软雅黑" w:eastAsia="微软雅黑" w:cs="微软雅黑"/>
          <w:sz w:val="24"/>
          <w:szCs w:val="24"/>
        </w:rPr>
        <w:t>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313893526"/>
      <w:bookmarkStart w:id="7" w:name="_Toc3856"/>
      <w:bookmarkStart w:id="8" w:name="_Toc106030871"/>
      <w:bookmarkStart w:id="9" w:name="_Toc76462317"/>
      <w:bookmarkStart w:id="10" w:name="_Toc30227"/>
      <w:bookmarkStart w:id="11" w:name="_Toc317775175"/>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9"/>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2554"/>
        <w:gridCol w:w="2695"/>
        <w:gridCol w:w="898"/>
        <w:gridCol w:w="1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42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50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val="en-US" w:eastAsia="zh-CN"/>
              </w:rPr>
              <w:t>最高限价</w:t>
            </w:r>
          </w:p>
        </w:tc>
        <w:tc>
          <w:tcPr>
            <w:tcW w:w="50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765"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sz w:val="21"/>
                <w:szCs w:val="21"/>
                <w:u w:val="none"/>
                <w:lang w:val="en-US" w:eastAsia="zh-CN"/>
              </w:rPr>
              <w:t>YHQ260137</w:t>
            </w:r>
          </w:p>
        </w:tc>
        <w:tc>
          <w:tcPr>
            <w:tcW w:w="14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lang w:val="en-US" w:eastAsia="zh-CN"/>
              </w:rPr>
            </w:pPr>
            <w:r>
              <w:rPr>
                <w:rFonts w:hint="eastAsia" w:ascii="微软雅黑" w:hAnsi="微软雅黑" w:eastAsia="微软雅黑" w:cs="微软雅黑"/>
                <w:color w:val="auto"/>
                <w:kern w:val="0"/>
                <w:sz w:val="21"/>
                <w:szCs w:val="21"/>
                <w:lang w:val="en-US" w:eastAsia="zh-CN"/>
              </w:rPr>
              <w:t>医用液氧和普通气体</w:t>
            </w:r>
          </w:p>
        </w:tc>
        <w:tc>
          <w:tcPr>
            <w:tcW w:w="15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color w:val="auto"/>
                <w:kern w:val="0"/>
                <w:sz w:val="21"/>
                <w:szCs w:val="21"/>
                <w:lang w:val="en-US" w:eastAsia="zh-CN"/>
              </w:rPr>
              <w:t>详见附件1</w:t>
            </w:r>
            <w:bookmarkStart w:id="169" w:name="_GoBack"/>
            <w:bookmarkEnd w:id="169"/>
          </w:p>
        </w:tc>
        <w:tc>
          <w:tcPr>
            <w:tcW w:w="5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76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22677"/>
      <w:r>
        <w:rPr>
          <w:rFonts w:hint="eastAsia" w:ascii="微软雅黑" w:hAnsi="微软雅黑" w:eastAsia="微软雅黑" w:cs="微软雅黑"/>
          <w:sz w:val="24"/>
        </w:rPr>
        <w:t>二、</w:t>
      </w:r>
      <w:bookmarkEnd w:id="12"/>
      <w:bookmarkEnd w:id="13"/>
      <w:bookmarkEnd w:id="16"/>
      <w:bookmarkStart w:id="18" w:name="_Toc76462319"/>
      <w:bookmarkStart w:id="19" w:name="_Toc106030873"/>
      <w:bookmarkStart w:id="20" w:name="_Toc4480"/>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（一）满足《中华人民共和国政府采购法》第二十二条规定；</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firstLine="480" w:firstLineChars="200"/>
        <w:jc w:val="both"/>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投标人特定资格条件</w:t>
      </w:r>
      <w:r>
        <w:rPr>
          <w:rFonts w:hint="eastAsia" w:ascii="微软雅黑" w:hAnsi="微软雅黑" w:eastAsia="微软雅黑" w:cs="微软雅黑"/>
          <w:sz w:val="24"/>
          <w:szCs w:val="24"/>
          <w:lang w:val="en-US" w:eastAsia="zh-CN"/>
        </w:rPr>
        <w:t>：</w:t>
      </w:r>
    </w:p>
    <w:p>
      <w:pPr>
        <w:spacing w:line="400" w:lineRule="exact"/>
        <w:ind w:firstLine="480" w:firstLineChars="200"/>
        <w:rPr>
          <w:rFonts w:hint="eastAsia" w:ascii="微软雅黑" w:hAnsi="微软雅黑" w:eastAsia="微软雅黑" w:cs="微软雅黑"/>
          <w:color w:val="FF0000"/>
          <w:sz w:val="24"/>
          <w:szCs w:val="24"/>
          <w:lang w:val="en-US" w:eastAsia="zh-CN"/>
        </w:rPr>
      </w:pPr>
      <w:bookmarkStart w:id="21" w:name="_Toc106030874"/>
      <w:bookmarkStart w:id="22" w:name="_Toc76462320"/>
      <w:bookmarkStart w:id="23" w:name="_Toc27954"/>
      <w:bookmarkStart w:id="24" w:name="_Toc13324"/>
      <w:r>
        <w:rPr>
          <w:rFonts w:hint="eastAsia" w:ascii="微软雅黑" w:hAnsi="微软雅黑" w:eastAsia="微软雅黑" w:cs="微软雅黑"/>
          <w:color w:val="auto"/>
          <w:sz w:val="24"/>
          <w:szCs w:val="24"/>
          <w:lang w:val="en-US" w:eastAsia="zh-CN"/>
        </w:rPr>
        <w:t>1.中华人民共和国危化品道路运输经营许可证（有效期内），或提供的运输单位具有中华人民共和国危化品道路运输经营许可证（有效期内）。</w:t>
      </w:r>
      <w:r>
        <w:rPr>
          <w:rFonts w:hint="eastAsia" w:ascii="微软雅黑" w:hAnsi="微软雅黑" w:eastAsia="微软雅黑" w:cs="微软雅黑"/>
          <w:color w:val="FF0000"/>
          <w:sz w:val="24"/>
          <w:szCs w:val="24"/>
          <w:lang w:val="en-US" w:eastAsia="zh-CN"/>
        </w:rPr>
        <w:t>若所持危化品道路运输经营许可证非投标人自有，需提供与持证运输单位的车辆租赁协议。</w:t>
      </w:r>
    </w:p>
    <w:p>
      <w:pPr>
        <w:spacing w:line="400" w:lineRule="exact"/>
        <w:ind w:firstLine="480" w:firstLineChars="200"/>
        <w:rPr>
          <w:rFonts w:hint="default" w:ascii="微软雅黑" w:hAnsi="微软雅黑" w:eastAsia="微软雅黑" w:cs="微软雅黑"/>
          <w:color w:val="FF0000"/>
          <w:sz w:val="24"/>
          <w:szCs w:val="24"/>
          <w:lang w:val="en-US" w:eastAsia="zh-CN"/>
        </w:rPr>
      </w:pPr>
      <w:r>
        <w:rPr>
          <w:rFonts w:hint="eastAsia" w:ascii="微软雅黑" w:hAnsi="微软雅黑" w:eastAsia="微软雅黑" w:cs="微软雅黑"/>
          <w:color w:val="FF0000"/>
          <w:sz w:val="24"/>
          <w:szCs w:val="24"/>
          <w:lang w:val="en-US" w:eastAsia="zh-CN"/>
        </w:rPr>
        <w:t>2.具有重庆市公安局交通管理局颁发的危化品货车通行证（需含医用氧运输），能随时保障采购人紧急采购需求。</w:t>
      </w:r>
    </w:p>
    <w:p>
      <w:pPr>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3.公司销售的气体产品生产厂家须同时具有移动式压力容器充装许可证和气瓶充装许可证（有效期内）。</w:t>
      </w:r>
    </w:p>
    <w:p>
      <w:pPr>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4.公司具有危险化学品经营许可证（有效期内）。</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2841"/>
      <w:bookmarkStart w:id="26" w:name="_Toc106034625"/>
      <w:bookmarkStart w:id="27" w:name="_Toc521053053"/>
      <w:bookmarkStart w:id="28" w:name="_Toc11956"/>
      <w:bookmarkStart w:id="29" w:name="_Toc1570"/>
      <w:bookmarkStart w:id="30" w:name="_Toc6178"/>
      <w:bookmarkStart w:id="31" w:name="_Toc65660334"/>
      <w:bookmarkStart w:id="32" w:name="_Toc52504716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5"/>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5"/>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525047162"/>
      <w:bookmarkStart w:id="34" w:name="_Toc65660335"/>
      <w:bookmarkStart w:id="35" w:name="_Toc106034626"/>
      <w:bookmarkStart w:id="36" w:name="_Toc521053054"/>
      <w:bookmarkStart w:id="37" w:name="_Toc4355"/>
      <w:bookmarkStart w:id="38" w:name="_Toc2945"/>
      <w:bookmarkStart w:id="39" w:name="_Toc1546"/>
      <w:bookmarkStart w:id="40" w:name="_Toc23073"/>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521053055"/>
      <w:bookmarkStart w:id="42" w:name="_Toc65660336"/>
      <w:bookmarkStart w:id="43" w:name="_Toc106034627"/>
      <w:bookmarkStart w:id="44" w:name="_Toc525047163"/>
      <w:bookmarkStart w:id="45" w:name="_Toc6563"/>
      <w:bookmarkStart w:id="46" w:name="_Toc16269"/>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文件有任何实质性疑问，应当以书面形式向招标方提出质疑，并须将该质疑文件纸质版（须加盖提出质疑单位的公章确认）在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65660337"/>
      <w:bookmarkStart w:id="48" w:name="_Toc521053056"/>
      <w:bookmarkStart w:id="49" w:name="_Toc106034628"/>
      <w:bookmarkStart w:id="50" w:name="_Toc10415"/>
      <w:bookmarkStart w:id="51" w:name="_Toc22608"/>
      <w:bookmarkStart w:id="52" w:name="_Toc525047164"/>
      <w:bookmarkStart w:id="53" w:name="_Toc1733"/>
      <w:bookmarkStart w:id="54" w:name="_Toc24901"/>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4"/>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5" w:name="_Toc23143"/>
      <w:bookmarkStart w:id="56" w:name="_Toc26176"/>
      <w:bookmarkStart w:id="57" w:name="_Toc1625"/>
      <w:bookmarkStart w:id="58" w:name="_Toc25639"/>
      <w:bookmarkStart w:id="59" w:name="_Toc5461"/>
      <w:bookmarkStart w:id="60" w:name="_Toc11017"/>
      <w:bookmarkStart w:id="61" w:name="_Toc75793504"/>
      <w:bookmarkStart w:id="62" w:name="_Toc32686"/>
      <w:bookmarkStart w:id="63" w:name="_Toc2422"/>
      <w:bookmarkStart w:id="64" w:name="_Toc12959"/>
      <w:bookmarkStart w:id="65" w:name="_Toc725"/>
      <w:bookmarkStart w:id="66" w:name="_Toc8649"/>
      <w:bookmarkStart w:id="67" w:name="_Toc1492"/>
      <w:bookmarkStart w:id="68" w:name="_Toc2070"/>
      <w:bookmarkStart w:id="69" w:name="_Toc19886"/>
      <w:bookmarkStart w:id="70" w:name="_Toc106030380"/>
      <w:bookmarkStart w:id="71" w:name="_Toc9327"/>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32516"/>
      <w:bookmarkStart w:id="74" w:name="_Toc1866"/>
      <w:bookmarkStart w:id="75" w:name="_Toc76462325"/>
      <w:bookmarkStart w:id="76" w:name="_Toc18470"/>
      <w:bookmarkStart w:id="77" w:name="_Toc3196"/>
      <w:bookmarkStart w:id="78" w:name="_Toc106030879"/>
      <w:bookmarkStart w:id="79" w:name="_Toc76462327"/>
      <w:bookmarkStart w:id="80" w:name="_Toc7791"/>
      <w:bookmarkStart w:id="81" w:name="_Toc106030882"/>
      <w:r>
        <w:rPr>
          <w:rFonts w:hint="eastAsia" w:ascii="微软雅黑" w:hAnsi="微软雅黑" w:eastAsia="微软雅黑" w:cs="微软雅黑"/>
          <w:sz w:val="24"/>
        </w:rPr>
        <w:t>一、项目基本概况介绍</w:t>
      </w:r>
      <w:bookmarkEnd w:id="73"/>
      <w:bookmarkEnd w:id="74"/>
      <w:bookmarkEnd w:id="75"/>
      <w:bookmarkEnd w:id="76"/>
      <w:bookmarkEnd w:id="77"/>
      <w:bookmarkEnd w:id="78"/>
    </w:p>
    <w:tbl>
      <w:tblPr>
        <w:tblStyle w:val="59"/>
        <w:tblW w:w="45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5"/>
        <w:gridCol w:w="1892"/>
        <w:gridCol w:w="2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2568"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bookmarkStart w:id="82" w:name="_Toc106030880"/>
            <w:bookmarkStart w:id="83" w:name="_Toc25495"/>
            <w:bookmarkStart w:id="84" w:name="_Toc12384"/>
            <w:r>
              <w:rPr>
                <w:rFonts w:hint="eastAsia" w:ascii="微软雅黑" w:hAnsi="微软雅黑" w:eastAsia="微软雅黑" w:cs="微软雅黑"/>
                <w:b/>
                <w:bCs/>
                <w:kern w:val="0"/>
                <w:sz w:val="28"/>
                <w:szCs w:val="28"/>
              </w:rPr>
              <w:t>项目</w:t>
            </w:r>
            <w:r>
              <w:rPr>
                <w:rFonts w:hint="eastAsia" w:ascii="微软雅黑" w:hAnsi="微软雅黑" w:eastAsia="微软雅黑" w:cs="微软雅黑"/>
                <w:b/>
                <w:bCs/>
                <w:kern w:val="0"/>
                <w:sz w:val="28"/>
                <w:szCs w:val="28"/>
                <w:lang w:eastAsia="zh-CN"/>
              </w:rPr>
              <w:t>名称</w:t>
            </w:r>
          </w:p>
        </w:tc>
        <w:tc>
          <w:tcPr>
            <w:tcW w:w="1068"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8"/>
                <w:szCs w:val="28"/>
                <w:lang w:eastAsia="zh-CN"/>
              </w:rPr>
              <w:t>合同期</w:t>
            </w:r>
          </w:p>
        </w:tc>
        <w:tc>
          <w:tcPr>
            <w:tcW w:w="1362"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8"/>
                <w:szCs w:val="28"/>
                <w:lang w:eastAsia="zh-CN"/>
              </w:rPr>
              <w:t>备</w:t>
            </w:r>
            <w:r>
              <w:rPr>
                <w:rFonts w:hint="eastAsia" w:ascii="微软雅黑" w:hAnsi="微软雅黑" w:eastAsia="微软雅黑" w:cs="微软雅黑"/>
                <w:b/>
                <w:bCs/>
                <w:kern w:val="0"/>
                <w:sz w:val="28"/>
                <w:szCs w:val="28"/>
                <w:lang w:val="en-US" w:eastAsia="zh-CN"/>
              </w:rPr>
              <w:t xml:space="preserve"> </w:t>
            </w:r>
            <w:r>
              <w:rPr>
                <w:rFonts w:hint="eastAsia" w:ascii="微软雅黑" w:hAnsi="微软雅黑" w:eastAsia="微软雅黑" w:cs="微软雅黑"/>
                <w:b/>
                <w:bCs/>
                <w:kern w:val="0"/>
                <w:sz w:val="28"/>
                <w:szCs w:val="28"/>
                <w:lang w:eastAsia="zh-CN"/>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56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rPr>
            </w:pPr>
            <w:r>
              <w:rPr>
                <w:rFonts w:hint="eastAsia" w:ascii="微软雅黑" w:hAnsi="微软雅黑" w:eastAsia="微软雅黑" w:cs="微软雅黑"/>
                <w:sz w:val="21"/>
                <w:szCs w:val="21"/>
                <w:lang w:val="en-US" w:eastAsia="zh-CN"/>
              </w:rPr>
              <w:t>医用液氧和普通气体</w:t>
            </w:r>
          </w:p>
        </w:tc>
        <w:tc>
          <w:tcPr>
            <w:tcW w:w="106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3年</w:t>
            </w:r>
          </w:p>
        </w:tc>
        <w:tc>
          <w:tcPr>
            <w:tcW w:w="136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bookmarkEnd w:id="82"/>
      <w:bookmarkEnd w:id="83"/>
      <w:bookmarkEnd w:id="84"/>
    </w:tbl>
    <w:p>
      <w:pPr>
        <w:numPr>
          <w:ilvl w:val="0"/>
          <w:numId w:val="0"/>
        </w:numPr>
        <w:spacing w:line="400" w:lineRule="exact"/>
        <w:ind w:firstLine="480" w:firstLineChars="200"/>
        <w:rPr>
          <w:rFonts w:hint="eastAsia"/>
          <w:lang w:val="en-US" w:eastAsia="zh-CN"/>
        </w:rPr>
      </w:pPr>
      <w:r>
        <w:rPr>
          <w:rFonts w:hint="eastAsia" w:ascii="微软雅黑" w:hAnsi="微软雅黑" w:eastAsia="微软雅黑" w:cs="微软雅黑"/>
          <w:b/>
          <w:bCs/>
          <w:sz w:val="24"/>
          <w:szCs w:val="24"/>
          <w:lang w:val="en-US" w:eastAsia="zh-CN"/>
        </w:rPr>
        <w:t>二、项目内容及要求</w:t>
      </w:r>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85" w:name="_Toc19917"/>
      <w:r>
        <w:rPr>
          <w:rFonts w:hint="eastAsia" w:ascii="微软雅黑" w:hAnsi="微软雅黑" w:eastAsia="微软雅黑" w:cs="微软雅黑"/>
          <w:sz w:val="24"/>
          <w:szCs w:val="24"/>
          <w:lang w:val="en-US" w:eastAsia="zh-CN"/>
        </w:rPr>
        <w:t>（一）项目范围</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1.负责采购人各类原有自购气瓶及新瓶的处理，以及检验期后的校验等。</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2.负责为采购人提供各类气瓶，包含应急备用气瓶（汇流排用），气瓶的维护保养、检测校验、报废处理等均由投标人负责，且所有费用由投标人负责。</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3.为满足气瓶安全管理要求，投标人为采购人提供的各类气瓶需要提供气瓶质量追溯系统，提供二维码扫描功能，数据类型可追溯以下信息：</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（1）气瓶基本信息：（标签编号、出厂编号、内部编号、气瓶状态、气瓶种类、充装介质、纯度、容积、皮重量、工作压力、设计壁厚、使用年限）；</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（2）制造使用信息：（制造日期、制造单位、使用单位）；</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（3）充装使用信息：（充气单位、最近一次充气日期、气体有效期、气瓶检验日期、气瓶下次检验日期、气瓶报废日期）；</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（4）气体安全使用管理信息。</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（5）气瓶操作追溯信息。投标单位需提供追溯系统截图，截图内容需满足上述要求。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4.负责采购人渝中和两江院区液氧的供应及液氧储罐的管理、保养、维修、校验、应急抢险等工作，负责液氧站范围内的所有设施设备的维护管理及检测工作，且所有费用由投标人负责。</w:t>
      </w:r>
    </w:p>
    <w:p>
      <w:pPr>
        <w:snapToGrid w:val="0"/>
        <w:spacing w:line="400" w:lineRule="exact"/>
        <w:ind w:firstLine="480" w:firstLineChars="200"/>
        <w:rPr>
          <w:rFonts w:hint="eastAsia" w:ascii="微软雅黑" w:hAnsi="微软雅黑" w:eastAsia="微软雅黑" w:cs="微软雅黑"/>
          <w:color w:val="FF0000"/>
          <w:sz w:val="24"/>
          <w:szCs w:val="24"/>
          <w:highlight w:val="none"/>
          <w:shd w:val="clear" w:color="FFFFFF" w:fill="D9D9D9"/>
          <w:lang w:val="en-US" w:eastAsia="zh-CN"/>
        </w:rPr>
      </w:pPr>
      <w:r>
        <w:rPr>
          <w:rFonts w:hint="eastAsia" w:ascii="微软雅黑" w:hAnsi="微软雅黑" w:eastAsia="微软雅黑" w:cs="微软雅黑"/>
          <w:color w:val="FF0000"/>
          <w:sz w:val="24"/>
          <w:szCs w:val="24"/>
          <w:highlight w:val="none"/>
          <w:shd w:val="clear" w:color="FFFFFF" w:fill="D9D9D9"/>
          <w:lang w:val="en-US" w:eastAsia="zh-CN"/>
        </w:rPr>
        <w:t>5.由于液氧站内所有设施设备为原供应商提供，非原供应商中标的中标人需负责提供两个院区液氧站内所有设施设备（包括液氧储罐、汽化器等站内各种设施设备）的免费投入，并免费提供液氧站内各种数据的远程监控系统（包括液氧储罐的压力、液位等），保证数据能接入到我院后勤信息管理平台。站内设备更换中不得影响医院正常运行。投标人需在投标文件中提供站内设备更换方案，并由采购人根据实际情况评估。</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color w:val="FF0000"/>
          <w:sz w:val="24"/>
          <w:szCs w:val="24"/>
          <w:highlight w:val="none"/>
          <w:shd w:val="clear" w:color="FFFFFF" w:fill="D9D9D9"/>
          <w:lang w:val="en-US" w:eastAsia="zh-CN"/>
        </w:rPr>
        <w:t xml:space="preserve">6.中标人承担液氧站的所有安全管理责任，液氧站在使用过程中发生的所有非采购人原因造成的安全事故均由中标人承担。 </w:t>
      </w:r>
      <w:r>
        <w:rPr>
          <w:rFonts w:hint="eastAsia" w:ascii="微软雅黑" w:hAnsi="微软雅黑" w:eastAsia="微软雅黑" w:cs="微软雅黑"/>
          <w:sz w:val="24"/>
          <w:szCs w:val="24"/>
          <w:lang w:val="en-US" w:eastAsia="zh-CN"/>
        </w:rPr>
        <w:t xml:space="preserve">                                                                                            </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7.投用的液氧站需具备应急供应能力，在储罐出现意外事件时，能直接通过汽化器对用气部位紧急供气。</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8.液氧站设备更换须在中标通知书发出后10天内完成。</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9.所需瓶装气体各类气瓶数量及液氧站内设施设备见附件清单。</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（二）供货要求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供货时间：常规瓶装气体，采购人提前1天通知投标人需货要求；配方气体，采购人提前2天通知投标人需货要求。供、需双方计划如有变化，双方均应提前24小时与对方取得联系，协商保供事宜。液氧根据用气情况进行供货，保证储罐内液体液位不得低于1立方米。</w:t>
      </w:r>
    </w:p>
    <w:p>
      <w:pPr>
        <w:snapToGrid w:val="0"/>
        <w:spacing w:line="400" w:lineRule="exact"/>
        <w:ind w:firstLine="480" w:firstLineChars="200"/>
        <w:rPr>
          <w:rFonts w:hint="eastAsia" w:ascii="微软雅黑" w:hAnsi="微软雅黑" w:eastAsia="微软雅黑" w:cs="微软雅黑"/>
          <w:color w:val="FF0000"/>
          <w:sz w:val="24"/>
          <w:szCs w:val="24"/>
          <w:lang w:val="en-US" w:eastAsia="zh-CN"/>
        </w:rPr>
      </w:pPr>
      <w:r>
        <w:rPr>
          <w:rFonts w:hint="eastAsia" w:ascii="微软雅黑" w:hAnsi="微软雅黑" w:eastAsia="微软雅黑" w:cs="微软雅黑"/>
          <w:color w:val="FF0000"/>
          <w:sz w:val="24"/>
          <w:szCs w:val="24"/>
          <w:lang w:val="en-US" w:eastAsia="zh-CN"/>
        </w:rPr>
        <w:t>2.应急供货：当采购人因特殊原因必须进行紧急供货时，投标人必须第一时间采用紧急渠道进行供货，供货时间不得超过2小时（含液氧及瓶装氧气），投标人需在投标文件中提供紧急供气的保障方案，并由采购人根据实际情况评估。</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3.供货方式：投标人送货至院区内指定地点。</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4.供货质量：投标人所供气体必须符合国家标准规定，并随产品提供由获取国家主管部门检验资质单位的检验合格证。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瓶装气体按瓶数计量，氧气瓶气体压力不得低于13Mpa。其他气瓶不得低于国家要求的额定压力。液氧计量需选择由甲乙双方共同确认的具有国家相关部门授权计量资质的第三方计量单位，以过磅称重值进行计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（三）液氧站管理要求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1.投标人全面负责渝中、两江院区液氧站站内设施设备、消防器材维护保养及维修，并符合中华人民共和国《特种设备安全监测条例》。</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2.投标人负责液氧站站内设施设备检修和管理。</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3.投标人每年对其液氧站设备正常检修一次。其间瓶装医用氧由投标人提供，所提供的瓶装医用氧价格按双方所签《气体产品供应合同》规定执行。</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4.使用中若因投标人原因造成设备故障或设备自身故障，检修费用由投标人承担；检修期间投标人提供瓶装医用氧价格按双方所签《气体产品供应合同》规定执行。</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5.投标人槽车到达充填现场应通知采购人工作人员，待工作人员到达现场后方可进行充填。</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6.投标人每月安排专门的售后服务人员到液氧站现场巡检各设备运行情况，如有问题应马上处理，若需采购材料的，投标人需向采购人上报合理的材料采购时间，所有维修维护均不能影响采购人正常供气。</w:t>
      </w:r>
    </w:p>
    <w:p>
      <w:pPr>
        <w:snapToGrid w:val="0"/>
        <w:spacing w:line="400" w:lineRule="exact"/>
        <w:ind w:firstLine="480" w:firstLineChars="200"/>
        <w:rPr>
          <w:rFonts w:hint="eastAsia" w:ascii="微软雅黑" w:hAnsi="微软雅黑" w:eastAsia="微软雅黑" w:cs="微软雅黑"/>
          <w:color w:val="FF0000"/>
          <w:sz w:val="24"/>
          <w:szCs w:val="24"/>
          <w:lang w:val="en-US" w:eastAsia="zh-CN"/>
        </w:rPr>
      </w:pPr>
      <w:r>
        <w:rPr>
          <w:rFonts w:hint="eastAsia" w:ascii="微软雅黑" w:hAnsi="微软雅黑" w:eastAsia="微软雅黑" w:cs="微软雅黑"/>
          <w:sz w:val="24"/>
          <w:szCs w:val="24"/>
          <w:lang w:val="en-US" w:eastAsia="zh-CN"/>
        </w:rPr>
        <w:t>7.使用中若设备储槽及液氧站其它设备出现故障，投标人应在接到采购人电话通知2小时内到场处理。</w:t>
      </w:r>
      <w:r>
        <w:rPr>
          <w:rFonts w:hint="eastAsia" w:ascii="微软雅黑" w:hAnsi="微软雅黑" w:eastAsia="微软雅黑" w:cs="微软雅黑"/>
          <w:color w:val="FF0000"/>
          <w:sz w:val="24"/>
          <w:szCs w:val="24"/>
          <w:lang w:val="en-US" w:eastAsia="zh-CN"/>
        </w:rPr>
        <w:t>紧急事件应在保障安全的情况下指导采购人现场工作人员进行应急处理，尽最大可能保障气体供应。</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8.为保证医院用氧的安全，发现故障时，投标人应第一时间将故障情况通知采购人，并在必要的情况下向采购人要求启动应急预案。</w:t>
      </w:r>
      <w:r>
        <w:rPr>
          <w:rFonts w:hint="eastAsia" w:ascii="微软雅黑" w:hAnsi="微软雅黑" w:eastAsia="微软雅黑" w:cs="微软雅黑"/>
          <w:sz w:val="24"/>
          <w:szCs w:val="24"/>
        </w:rPr>
        <w:br w:type="page"/>
      </w:r>
    </w:p>
    <w:p>
      <w:pPr>
        <w:pStyle w:val="5"/>
        <w:spacing w:before="200" w:after="200" w:line="240" w:lineRule="auto"/>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79"/>
      <w:bookmarkEnd w:id="80"/>
      <w:bookmarkEnd w:id="81"/>
      <w:bookmarkEnd w:id="85"/>
    </w:p>
    <w:tbl>
      <w:tblPr>
        <w:tblStyle w:val="59"/>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服务期限、服务地点及考核方式</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服务期限：三年</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供货地点：重庆医科大学附属儿童医院渝中院区和两江院区</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验收方式：液氧计量需选择由甲乙双方共同确认的具有国家相关部门授权计量资质的第三方计量单位的过磅称重值，与现场计量表计量值相比较，取较低值进行计量。瓶装气体按瓶数计量，气体压力和重量不得低于国家规范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质量保证：供方所供气体必须符合国家标准规定，并随产品提供由具有国家主管部门检验资质的单位出具的检验合格证。</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售后服务：供方提供的产品如发现容量不足、压力达不到国家规范要求，必须立即进行更换。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eastAsia="zh-CN"/>
              </w:rPr>
            </w:pPr>
            <w:r>
              <w:rPr>
                <w:rFonts w:hint="eastAsia" w:ascii="微软雅黑" w:hAnsi="微软雅黑" w:eastAsia="微软雅黑" w:cs="微软雅黑"/>
                <w:color w:val="333333"/>
                <w:kern w:val="0"/>
                <w:sz w:val="21"/>
                <w:szCs w:val="21"/>
                <w:lang w:val="en-US" w:eastAsia="zh-CN"/>
              </w:rPr>
              <w:t>该项目为一次性报价，最终报价以响应文件上的报价为准，现场不再议价。</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供、需双方按当月确认的实际用量进行结算，每月结算一次，成交供应商每月向采购人开具上月采购金额发票并提交相关资料，采购人收到发票和相关资料后2个月内以转账方式向成交供应商支付。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rPr>
            </w:pPr>
            <w:r>
              <w:rPr>
                <w:rFonts w:hint="eastAsia" w:ascii="微软雅黑" w:hAnsi="微软雅黑" w:eastAsia="微软雅黑" w:cs="微软雅黑"/>
                <w:color w:val="333333"/>
                <w:kern w:val="0"/>
                <w:sz w:val="21"/>
                <w:szCs w:val="21"/>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1.合同签订周期为3年，3年期间内液氧站全部管理责任、维护、维修、检验、供气、审验和特种设备报审年检等均由供方负责。</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2.供、需双方均应确保进入供货提货现场的道路安全畅通。</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3.供、需双方生产、充装、运输、使用气体产品过程中必须遵守国家相关规定，不得对环境造成污染，杜绝安全事故发生。</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4.供方操作人员必须具有国家相关资质。</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5.合同期内供方不得上调价格，若供货单位的液氧在重庆市场价格下调时，液氧合同价格需同步下调。</w:t>
            </w:r>
          </w:p>
        </w:tc>
      </w:tr>
    </w:tbl>
    <w:p>
      <w:pPr>
        <w:rPr>
          <w:rFonts w:hint="eastAsia" w:ascii="微软雅黑" w:hAnsi="微软雅黑" w:eastAsia="微软雅黑" w:cs="微软雅黑"/>
          <w:b/>
          <w:sz w:val="44"/>
          <w:szCs w:val="20"/>
        </w:rPr>
      </w:pPr>
      <w:bookmarkStart w:id="86" w:name="_Toc76462332"/>
      <w:bookmarkStart w:id="87" w:name="_Toc6692"/>
      <w:bookmarkStart w:id="88" w:name="_Toc106030887"/>
      <w:r>
        <w:rPr>
          <w:rFonts w:hint="eastAsia" w:ascii="微软雅黑" w:hAnsi="微软雅黑" w:eastAsia="微软雅黑" w:cs="微软雅黑"/>
          <w:b/>
          <w:sz w:val="44"/>
          <w:szCs w:val="20"/>
        </w:rPr>
        <w:br w:type="page"/>
      </w:r>
    </w:p>
    <w:bookmarkEnd w:id="86"/>
    <w:bookmarkEnd w:id="87"/>
    <w:bookmarkEnd w:id="88"/>
    <w:p>
      <w:pPr>
        <w:pStyle w:val="5"/>
        <w:pageBreakBefore w:val="0"/>
        <w:spacing w:before="200" w:after="200" w:line="240" w:lineRule="auto"/>
        <w:jc w:val="center"/>
        <w:rPr>
          <w:rFonts w:hint="eastAsia" w:ascii="微软雅黑" w:hAnsi="微软雅黑" w:eastAsia="微软雅黑" w:cs="微软雅黑"/>
          <w:b/>
          <w:sz w:val="44"/>
          <w:szCs w:val="20"/>
        </w:rPr>
      </w:pPr>
      <w:bookmarkStart w:id="89" w:name="_Toc32163"/>
      <w:bookmarkStart w:id="90" w:name="_Toc641"/>
      <w:bookmarkStart w:id="91" w:name="_Toc16738"/>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9"/>
      <w:bookmarkEnd w:id="90"/>
      <w:bookmarkEnd w:id="91"/>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92" w:name="_Toc5379"/>
      <w:bookmarkStart w:id="93" w:name="_Toc5181"/>
      <w:bookmarkStart w:id="94" w:name="_Toc14958"/>
      <w:bookmarkStart w:id="95" w:name="_Toc76462333"/>
      <w:bookmarkStart w:id="96" w:name="_Toc106030888"/>
      <w:bookmarkStart w:id="97" w:name="_Toc2669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2"/>
      <w:bookmarkEnd w:id="93"/>
      <w:bookmarkEnd w:id="94"/>
      <w:bookmarkEnd w:id="95"/>
      <w:bookmarkEnd w:id="96"/>
      <w:bookmarkEnd w:id="9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w:t>
      </w:r>
      <w:r>
        <w:rPr>
          <w:rFonts w:hint="eastAsia" w:ascii="微软雅黑" w:hAnsi="微软雅黑" w:eastAsia="微软雅黑" w:cs="微软雅黑"/>
          <w:sz w:val="24"/>
          <w:szCs w:val="24"/>
          <w:lang w:eastAsia="zh-CN"/>
        </w:rPr>
        <w:t>单位负责人</w:t>
      </w:r>
      <w:r>
        <w:rPr>
          <w:rFonts w:hint="eastAsia" w:ascii="微软雅黑" w:hAnsi="微软雅黑" w:eastAsia="微软雅黑" w:cs="微软雅黑"/>
          <w:sz w:val="24"/>
          <w:szCs w:val="24"/>
        </w:rPr>
        <w:t>（或其授权代表）或自然人参加。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按“第一篇三、</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98" w:name="_Toc27374"/>
      <w:r>
        <w:rPr>
          <w:rFonts w:hint="eastAsia" w:ascii="微软雅黑" w:hAnsi="微软雅黑" w:eastAsia="微软雅黑" w:cs="微软雅黑"/>
          <w:sz w:val="24"/>
        </w:rPr>
        <w:t>二、评标方法</w:t>
      </w:r>
      <w:bookmarkEnd w:id="9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sz w:val="24"/>
          <w:szCs w:val="24"/>
        </w:rPr>
      </w:pPr>
      <w:bookmarkStart w:id="99" w:name="_Toc76462334"/>
      <w:bookmarkStart w:id="100" w:name="_Toc30944"/>
      <w:bookmarkStart w:id="101" w:name="_Toc24315"/>
      <w:bookmarkStart w:id="102" w:name="_Toc106030889"/>
      <w:bookmarkStart w:id="103" w:name="_Toc102227320"/>
      <w:bookmarkStart w:id="104" w:name="_Toc342913394"/>
      <w:r>
        <w:rPr>
          <w:rFonts w:hint="eastAsia" w:ascii="微软雅黑" w:hAnsi="微软雅黑" w:eastAsia="微软雅黑" w:cs="微软雅黑"/>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评标结果按投标报价由低到高顺序排列，若投标报价相同的由评标小组推荐中标候选人。</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u w:val="single"/>
          <w:lang w:eastAsia="zh-CN"/>
        </w:rPr>
      </w:pPr>
      <w:r>
        <w:rPr>
          <w:rFonts w:hint="eastAsia" w:ascii="微软雅黑" w:hAnsi="微软雅黑" w:eastAsia="微软雅黑" w:cs="微软雅黑"/>
          <w:sz w:val="24"/>
          <w:szCs w:val="24"/>
          <w:u w:val="none"/>
          <w:lang w:val="en-US" w:eastAsia="zh-CN"/>
        </w:rPr>
        <w:t>该项目为一次性报价，最终报价以响应文件上的报价为准，现场不再议价。</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99"/>
      <w:bookmarkEnd w:id="100"/>
      <w:bookmarkEnd w:id="101"/>
      <w:bookmarkEnd w:id="102"/>
    </w:p>
    <w:p>
      <w:pPr>
        <w:snapToGrid w:val="0"/>
        <w:spacing w:line="400" w:lineRule="exact"/>
        <w:ind w:firstLine="480" w:firstLineChars="200"/>
        <w:rPr>
          <w:rFonts w:hint="eastAsia" w:ascii="微软雅黑" w:hAnsi="微软雅黑" w:eastAsia="微软雅黑" w:cs="微软雅黑"/>
          <w:sz w:val="24"/>
          <w:szCs w:val="24"/>
        </w:rPr>
      </w:pPr>
      <w:bookmarkStart w:id="105" w:name="_Toc106030890"/>
      <w:bookmarkStart w:id="106" w:name="_Toc31497"/>
      <w:bookmarkStart w:id="107" w:name="_Toc76462335"/>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08" w:name="_Toc17606"/>
      <w:r>
        <w:rPr>
          <w:rFonts w:hint="eastAsia" w:ascii="微软雅黑" w:hAnsi="微软雅黑" w:eastAsia="微软雅黑" w:cs="微软雅黑"/>
          <w:sz w:val="24"/>
        </w:rPr>
        <w:t>四、无效响应</w:t>
      </w:r>
      <w:bookmarkEnd w:id="105"/>
      <w:bookmarkEnd w:id="106"/>
      <w:bookmarkEnd w:id="107"/>
      <w:bookmarkEnd w:id="10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09" w:name="_Toc106030891"/>
      <w:bookmarkStart w:id="110" w:name="_Toc76462336"/>
      <w:bookmarkStart w:id="111" w:name="_Toc12222"/>
      <w:bookmarkStart w:id="112" w:name="_Toc10687"/>
      <w:r>
        <w:rPr>
          <w:rFonts w:hint="eastAsia" w:ascii="微软雅黑" w:hAnsi="微软雅黑" w:eastAsia="微软雅黑" w:cs="微软雅黑"/>
          <w:sz w:val="24"/>
        </w:rPr>
        <w:t>五、</w:t>
      </w:r>
      <w:bookmarkEnd w:id="103"/>
      <w:bookmarkEnd w:id="104"/>
      <w:bookmarkEnd w:id="109"/>
      <w:bookmarkEnd w:id="110"/>
      <w:bookmarkEnd w:id="111"/>
      <w:bookmarkEnd w:id="11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5"/>
        <w:pageBreakBefore w:val="0"/>
        <w:spacing w:before="200" w:after="200" w:line="240" w:lineRule="auto"/>
        <w:jc w:val="center"/>
        <w:rPr>
          <w:rFonts w:hint="eastAsia" w:ascii="微软雅黑" w:hAnsi="微软雅黑" w:eastAsia="微软雅黑" w:cs="微软雅黑"/>
          <w:b/>
          <w:bCs w:val="0"/>
          <w:sz w:val="44"/>
          <w:szCs w:val="20"/>
        </w:rPr>
      </w:pPr>
      <w:bookmarkStart w:id="113" w:name="_Toc102227313"/>
      <w:bookmarkStart w:id="114" w:name="_Toc76462337"/>
      <w:bookmarkStart w:id="115" w:name="_Toc29948"/>
      <w:bookmarkStart w:id="116" w:name="_Toc106030892"/>
      <w:bookmarkStart w:id="117" w:name="_Toc12066"/>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13"/>
      <w:bookmarkEnd w:id="114"/>
      <w:bookmarkEnd w:id="115"/>
      <w:bookmarkEnd w:id="116"/>
      <w:bookmarkEnd w:id="117"/>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106030893"/>
      <w:bookmarkStart w:id="119" w:name="_Toc16988"/>
      <w:bookmarkStart w:id="120" w:name="_Toc26717"/>
      <w:bookmarkStart w:id="121" w:name="_Toc342913389"/>
      <w:bookmarkStart w:id="122" w:name="_Toc7646233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18"/>
      <w:bookmarkEnd w:id="119"/>
      <w:bookmarkEnd w:id="120"/>
      <w:bookmarkEnd w:id="121"/>
      <w:bookmarkEnd w:id="122"/>
    </w:p>
    <w:p>
      <w:pPr>
        <w:pStyle w:val="143"/>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23" w:name="_Toc15712"/>
      <w:bookmarkStart w:id="124" w:name="_Toc31408"/>
      <w:bookmarkStart w:id="125" w:name="_Toc106030894"/>
      <w:bookmarkStart w:id="126" w:name="_Toc76462339"/>
      <w:bookmarkStart w:id="127" w:name="_Toc342913391"/>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23"/>
      <w:bookmarkEnd w:id="124"/>
      <w:bookmarkEnd w:id="125"/>
      <w:bookmarkEnd w:id="126"/>
      <w:bookmarkEnd w:id="12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28" w:name="_Toc318159780"/>
      <w:bookmarkStart w:id="129" w:name="_Toc318159160"/>
      <w:bookmarkStart w:id="130" w:name="_Toc318166429"/>
      <w:bookmarkStart w:id="131" w:name="_Toc318159349"/>
    </w:p>
    <w:bookmarkEnd w:id="128"/>
    <w:bookmarkEnd w:id="129"/>
    <w:bookmarkEnd w:id="130"/>
    <w:bookmarkEnd w:id="131"/>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342913392"/>
      <w:bookmarkStart w:id="133" w:name="_Toc26007"/>
      <w:bookmarkStart w:id="134" w:name="_Toc7643"/>
      <w:bookmarkStart w:id="135" w:name="_Toc76462340"/>
      <w:bookmarkStart w:id="136" w:name="_Toc106030895"/>
      <w:bookmarkStart w:id="137" w:name="_Toc102227318"/>
      <w:bookmarkStart w:id="138" w:name="_Toc179714297"/>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32"/>
      <w:bookmarkEnd w:id="133"/>
      <w:bookmarkEnd w:id="134"/>
      <w:bookmarkEnd w:id="135"/>
      <w:bookmarkEnd w:id="136"/>
      <w:bookmarkEnd w:id="137"/>
      <w:bookmarkEnd w:id="13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2"/>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kern w:val="2"/>
          <w:sz w:val="24"/>
          <w:szCs w:val="20"/>
          <w:lang w:val="en-US" w:eastAsia="zh-CN" w:bidi="ar"/>
        </w:rPr>
        <w:t>1.响应文件一式六份，其中正本一份，副本五份，电子文档一份</w:t>
      </w:r>
      <w:r>
        <w:rPr>
          <w:rFonts w:hint="eastAsia" w:ascii="微软雅黑" w:hAnsi="微软雅黑" w:eastAsia="微软雅黑" w:cs="微软雅黑"/>
          <w:sz w:val="24"/>
          <w:szCs w:val="24"/>
        </w:rPr>
        <w:t>（</w:t>
      </w:r>
      <w:r>
        <w:rPr>
          <w:rFonts w:hint="eastAsia" w:ascii="微软雅黑" w:hAnsi="微软雅黑" w:eastAsia="微软雅黑" w:cs="微软雅黑"/>
          <w:b/>
          <w:bCs/>
          <w:sz w:val="24"/>
          <w:szCs w:val="24"/>
          <w:u w:val="single"/>
          <w:lang w:val="en-US" w:eastAsia="zh-CN"/>
        </w:rPr>
        <w:t>电子文档须将完整的响应文件</w:t>
      </w:r>
      <w:r>
        <w:rPr>
          <w:rFonts w:hint="eastAsia" w:ascii="微软雅黑" w:hAnsi="微软雅黑" w:eastAsia="微软雅黑" w:cs="微软雅黑"/>
          <w:b/>
          <w:bCs/>
          <w:sz w:val="24"/>
          <w:szCs w:val="24"/>
          <w:u w:val="single"/>
        </w:rPr>
        <w:t>正本PDF版上传到电子招投标平台</w:t>
      </w:r>
      <w:r>
        <w:rPr>
          <w:rFonts w:hint="eastAsia" w:ascii="微软雅黑" w:hAnsi="微软雅黑" w:eastAsia="微软雅黑" w:cs="微软雅黑"/>
          <w:b/>
          <w:bCs/>
          <w:sz w:val="24"/>
          <w:szCs w:val="24"/>
          <w:u w:val="single"/>
          <w:lang w:eastAsia="zh-CN"/>
        </w:rPr>
        <w:t>，</w:t>
      </w:r>
      <w:r>
        <w:rPr>
          <w:rFonts w:hint="eastAsia" w:ascii="微软雅黑" w:hAnsi="微软雅黑" w:eastAsia="微软雅黑" w:cs="微软雅黑"/>
          <w:b/>
          <w:bCs/>
          <w:sz w:val="24"/>
          <w:szCs w:val="24"/>
          <w:u w:val="single"/>
          <w:lang w:val="en-US" w:eastAsia="zh-CN"/>
        </w:rPr>
        <w:t>如电子文档与纸质响应文件的实质性内容出现差异，则视为未报名成功</w:t>
      </w:r>
      <w:r>
        <w:rPr>
          <w:rFonts w:hint="eastAsia" w:ascii="微软雅黑" w:hAnsi="微软雅黑" w:eastAsia="微软雅黑" w:cs="微软雅黑"/>
          <w:sz w:val="24"/>
          <w:szCs w:val="24"/>
        </w:rPr>
        <w:t>）</w:t>
      </w:r>
      <w:r>
        <w:rPr>
          <w:rFonts w:hint="eastAsia" w:ascii="微软雅黑" w:hAnsi="微软雅黑" w:eastAsia="微软雅黑" w:cs="微软雅黑"/>
          <w:kern w:val="2"/>
          <w:sz w:val="24"/>
          <w:szCs w:val="20"/>
          <w:lang w:val="en-US" w:eastAsia="zh-CN" w:bidi="ar"/>
        </w:rPr>
        <w:t>；</w:t>
      </w:r>
      <w:r>
        <w:rPr>
          <w:rFonts w:hint="eastAsia" w:ascii="微软雅黑" w:hAnsi="微软雅黑" w:eastAsia="微软雅黑" w:cs="微软雅黑"/>
          <w:sz w:val="24"/>
          <w:szCs w:val="24"/>
        </w:rPr>
        <w:t>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2"/>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39" w:name="_Toc6435"/>
      <w:bookmarkStart w:id="140" w:name="_Toc76462341"/>
      <w:bookmarkStart w:id="141" w:name="_Toc10580"/>
      <w:bookmarkStart w:id="142" w:name="_Toc10603089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39"/>
      <w:bookmarkEnd w:id="140"/>
      <w:bookmarkEnd w:id="141"/>
      <w:bookmarkEnd w:id="142"/>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21532"/>
      <w:bookmarkStart w:id="144" w:name="_Toc102227321"/>
      <w:bookmarkStart w:id="145" w:name="_Toc76462342"/>
      <w:bookmarkStart w:id="146" w:name="_Toc342913395"/>
      <w:bookmarkStart w:id="147" w:name="_Toc23469"/>
      <w:bookmarkStart w:id="148" w:name="_Toc106030897"/>
      <w:r>
        <w:rPr>
          <w:rFonts w:hint="eastAsia" w:ascii="微软雅黑" w:hAnsi="微软雅黑" w:eastAsia="微软雅黑" w:cs="微软雅黑"/>
          <w:sz w:val="24"/>
        </w:rPr>
        <w:t>五、成交通知</w:t>
      </w:r>
      <w:bookmarkEnd w:id="143"/>
      <w:bookmarkEnd w:id="144"/>
      <w:bookmarkEnd w:id="145"/>
      <w:bookmarkEnd w:id="146"/>
      <w:bookmarkEnd w:id="147"/>
      <w:bookmarkEnd w:id="14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采购管理处公室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5"/>
        <w:adjustRightInd w:val="0"/>
        <w:snapToGrid w:val="0"/>
        <w:spacing w:before="0" w:after="0" w:line="400" w:lineRule="exact"/>
        <w:ind w:firstLine="480" w:firstLineChars="200"/>
        <w:rPr>
          <w:rFonts w:hint="eastAsia" w:ascii="微软雅黑" w:hAnsi="微软雅黑" w:eastAsia="微软雅黑" w:cs="微软雅黑"/>
          <w:sz w:val="24"/>
        </w:rPr>
      </w:pPr>
      <w:bookmarkStart w:id="149" w:name="_Toc21448"/>
      <w:bookmarkStart w:id="150" w:name="_Toc27460"/>
      <w:bookmarkStart w:id="151" w:name="_Toc106030898"/>
      <w:bookmarkStart w:id="152" w:name="_Toc76462343"/>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49"/>
      <w:bookmarkEnd w:id="150"/>
      <w:bookmarkEnd w:id="151"/>
      <w:bookmarkEnd w:id="15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53" w:name="_Toc28334"/>
      <w:bookmarkStart w:id="154" w:name="_Toc76462344"/>
      <w:bookmarkStart w:id="155" w:name="_Toc106030899"/>
    </w:p>
    <w:p>
      <w:pPr>
        <w:pStyle w:val="5"/>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6" w:name="_Toc6600"/>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53"/>
      <w:bookmarkEnd w:id="154"/>
      <w:bookmarkEnd w:id="155"/>
      <w:bookmarkStart w:id="157" w:name="_Toc102227322"/>
      <w:bookmarkStart w:id="158" w:name="_Toc106030901"/>
      <w:bookmarkStart w:id="159" w:name="_Toc76462346"/>
      <w:bookmarkStart w:id="160" w:name="_Toc3372"/>
      <w:bookmarkStart w:id="161" w:name="_Toc342913396"/>
      <w:bookmarkStart w:id="162" w:name="_Toc12789059"/>
      <w:bookmarkStart w:id="163" w:name="_Toc11641055"/>
      <w:r>
        <w:rPr>
          <w:rFonts w:hint="eastAsia" w:ascii="微软雅黑" w:hAnsi="微软雅黑" w:eastAsia="微软雅黑" w:cs="微软雅黑"/>
          <w:color w:val="auto"/>
          <w:sz w:val="24"/>
        </w:rPr>
        <w:t>签订</w:t>
      </w:r>
      <w:bookmarkEnd w:id="157"/>
      <w:r>
        <w:rPr>
          <w:rFonts w:hint="eastAsia" w:ascii="微软雅黑" w:hAnsi="微软雅黑" w:eastAsia="微软雅黑" w:cs="微软雅黑"/>
          <w:color w:val="auto"/>
          <w:sz w:val="24"/>
        </w:rPr>
        <w:t>合同</w:t>
      </w:r>
      <w:bookmarkEnd w:id="156"/>
      <w:bookmarkEnd w:id="158"/>
      <w:bookmarkEnd w:id="159"/>
      <w:bookmarkEnd w:id="160"/>
      <w:bookmarkEnd w:id="161"/>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62"/>
      <w:bookmarkEnd w:id="163"/>
    </w:p>
    <w:p>
      <w:pPr>
        <w:pStyle w:val="5"/>
        <w:spacing w:before="200" w:after="200" w:line="240" w:lineRule="auto"/>
        <w:jc w:val="center"/>
        <w:rPr>
          <w:rFonts w:hint="eastAsia" w:ascii="微软雅黑" w:hAnsi="微软雅黑" w:eastAsia="微软雅黑" w:cs="微软雅黑"/>
          <w:b/>
          <w:sz w:val="44"/>
          <w:szCs w:val="20"/>
        </w:rPr>
      </w:pPr>
      <w:bookmarkStart w:id="164" w:name="_Hlt41879464"/>
      <w:bookmarkEnd w:id="164"/>
      <w:bookmarkStart w:id="165" w:name="_Toc17106"/>
      <w:bookmarkStart w:id="166" w:name="_Toc106030905"/>
      <w:bookmarkStart w:id="167" w:name="_Toc76462349"/>
      <w:bookmarkStart w:id="168" w:name="_Toc27984"/>
      <w:r>
        <w:rPr>
          <w:rFonts w:hint="eastAsia" w:ascii="微软雅黑" w:hAnsi="微软雅黑" w:eastAsia="微软雅黑" w:cs="微软雅黑"/>
          <w:b/>
          <w:sz w:val="44"/>
          <w:szCs w:val="20"/>
        </w:rPr>
        <w:t>第六篇  响应文件编制要求</w:t>
      </w:r>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（二）明细报价表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技术响应承诺</w:t>
      </w:r>
      <w:r>
        <w:rPr>
          <w:rFonts w:hint="eastAsia" w:ascii="微软雅黑" w:hAnsi="微软雅黑" w:eastAsia="微软雅黑" w:cs="微软雅黑"/>
          <w:sz w:val="24"/>
          <w:szCs w:val="24"/>
        </w:rPr>
        <w:t>（格式自定）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商务响应</w:t>
      </w:r>
      <w:r>
        <w:rPr>
          <w:rFonts w:hint="eastAsia" w:ascii="微软雅黑" w:hAnsi="微软雅黑" w:eastAsia="微软雅黑" w:cs="微软雅黑"/>
          <w:sz w:val="24"/>
          <w:szCs w:val="24"/>
        </w:rPr>
        <w:t>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五、其他资料</w:t>
      </w:r>
    </w:p>
    <w:p>
      <w:pPr>
        <w:spacing w:line="360" w:lineRule="auto"/>
        <w:jc w:val="both"/>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3"/>
        <w:rFonts w:hint="eastAsia" w:ascii="宋体"/>
        <w:sz w:val="21"/>
        <w:szCs w:val="21"/>
      </w:rPr>
    </w:pPr>
    <w:r>
      <w:rPr>
        <w:rFonts w:ascii="宋体"/>
        <w:sz w:val="21"/>
        <w:szCs w:val="21"/>
      </w:rPr>
      <w:fldChar w:fldCharType="begin"/>
    </w:r>
    <w:r>
      <w:rPr>
        <w:rStyle w:val="63"/>
        <w:rFonts w:ascii="宋体"/>
        <w:sz w:val="21"/>
        <w:szCs w:val="21"/>
      </w:rPr>
      <w:instrText xml:space="preserve">PAGE  </w:instrText>
    </w:r>
    <w:r>
      <w:rPr>
        <w:rFonts w:ascii="宋体"/>
        <w:sz w:val="21"/>
        <w:szCs w:val="21"/>
      </w:rPr>
      <w:fldChar w:fldCharType="separate"/>
    </w:r>
    <w:r>
      <w:rPr>
        <w:rStyle w:val="63"/>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p>
  <w:p>
    <w:pPr>
      <w:pStyle w:val="37"/>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3"/>
        <w:rFonts w:ascii="宋体" w:hAnsi="宋体"/>
        <w:sz w:val="21"/>
        <w:szCs w:val="21"/>
      </w:rPr>
      <w:instrText xml:space="preserve"> PAGE </w:instrText>
    </w:r>
    <w:r>
      <w:rPr>
        <w:rFonts w:ascii="宋体" w:hAnsi="宋体"/>
        <w:sz w:val="21"/>
        <w:szCs w:val="21"/>
      </w:rPr>
      <w:fldChar w:fldCharType="separate"/>
    </w:r>
    <w:r>
      <w:rPr>
        <w:rStyle w:val="63"/>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3"/>
        <w:rFonts w:ascii="宋体" w:hAnsi="宋体"/>
        <w:sz w:val="21"/>
        <w:szCs w:val="21"/>
      </w:rPr>
      <w:instrText xml:space="preserve"> PAGE </w:instrText>
    </w:r>
    <w:r>
      <w:rPr>
        <w:rFonts w:ascii="宋体" w:hAnsi="宋体"/>
        <w:sz w:val="21"/>
        <w:szCs w:val="21"/>
      </w:rPr>
      <w:fldChar w:fldCharType="separate"/>
    </w:r>
    <w:r>
      <w:rPr>
        <w:rStyle w:val="63"/>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3"/>
      </w:rPr>
    </w:pPr>
    <w:r>
      <w:fldChar w:fldCharType="begin"/>
    </w:r>
    <w:r>
      <w:rPr>
        <w:rStyle w:val="63"/>
      </w:rPr>
      <w:instrText xml:space="preserve">PAGE  </w:instrText>
    </w:r>
    <w:r>
      <w:fldChar w:fldCharType="separate"/>
    </w:r>
    <w:r>
      <w:rPr>
        <w:rStyle w:val="63"/>
      </w:rPr>
      <w:t>- 14 -</w:t>
    </w:r>
    <w:r>
      <w:fldChar w:fldCharType="end"/>
    </w:r>
  </w:p>
  <w:p>
    <w:pPr>
      <w:pStyle w:val="37"/>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3"/>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5"/>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9"/>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2"/>
  </w:num>
  <w:num w:numId="2">
    <w:abstractNumId w:val="8"/>
  </w:num>
  <w:num w:numId="3">
    <w:abstractNumId w:val="5"/>
  </w:num>
  <w:num w:numId="4">
    <w:abstractNumId w:val="3"/>
  </w:num>
  <w:num w:numId="5">
    <w:abstractNumId w:val="9"/>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3206CC"/>
    <w:rsid w:val="04FC5D6D"/>
    <w:rsid w:val="079B568B"/>
    <w:rsid w:val="07F103E0"/>
    <w:rsid w:val="092E6FC0"/>
    <w:rsid w:val="0A823A37"/>
    <w:rsid w:val="0AC159DE"/>
    <w:rsid w:val="0B264DAA"/>
    <w:rsid w:val="0B4077B6"/>
    <w:rsid w:val="0BB87E47"/>
    <w:rsid w:val="0BC54681"/>
    <w:rsid w:val="0D1F249B"/>
    <w:rsid w:val="0E727B5D"/>
    <w:rsid w:val="11EB1626"/>
    <w:rsid w:val="147A5E14"/>
    <w:rsid w:val="14D956BC"/>
    <w:rsid w:val="15935DB5"/>
    <w:rsid w:val="15BB3449"/>
    <w:rsid w:val="17351C20"/>
    <w:rsid w:val="178B1D79"/>
    <w:rsid w:val="17A1211B"/>
    <w:rsid w:val="18ED7A84"/>
    <w:rsid w:val="19255AF5"/>
    <w:rsid w:val="193B151F"/>
    <w:rsid w:val="198C43BA"/>
    <w:rsid w:val="1A7E6296"/>
    <w:rsid w:val="1C5F6A76"/>
    <w:rsid w:val="1D004156"/>
    <w:rsid w:val="1F0D01CA"/>
    <w:rsid w:val="1FB23339"/>
    <w:rsid w:val="20FD7945"/>
    <w:rsid w:val="210746C9"/>
    <w:rsid w:val="21864056"/>
    <w:rsid w:val="21F05643"/>
    <w:rsid w:val="224815AE"/>
    <w:rsid w:val="2486441F"/>
    <w:rsid w:val="25707285"/>
    <w:rsid w:val="29D52E74"/>
    <w:rsid w:val="2A7C79AC"/>
    <w:rsid w:val="2AA01F44"/>
    <w:rsid w:val="2E2D3EDF"/>
    <w:rsid w:val="300C58E0"/>
    <w:rsid w:val="30B221E5"/>
    <w:rsid w:val="31ED6DCC"/>
    <w:rsid w:val="332D1E43"/>
    <w:rsid w:val="33564527"/>
    <w:rsid w:val="34CF6884"/>
    <w:rsid w:val="35397720"/>
    <w:rsid w:val="359927BC"/>
    <w:rsid w:val="38141CAD"/>
    <w:rsid w:val="39AA75C6"/>
    <w:rsid w:val="39C353F8"/>
    <w:rsid w:val="3AC32089"/>
    <w:rsid w:val="3ACE5D4F"/>
    <w:rsid w:val="3C045DD1"/>
    <w:rsid w:val="3C55524B"/>
    <w:rsid w:val="3CD2331B"/>
    <w:rsid w:val="3D525F31"/>
    <w:rsid w:val="3DF6488D"/>
    <w:rsid w:val="3E3B40E7"/>
    <w:rsid w:val="3EEC6CD3"/>
    <w:rsid w:val="3F120674"/>
    <w:rsid w:val="3F1C71CA"/>
    <w:rsid w:val="3FD26D34"/>
    <w:rsid w:val="3FDB0AF9"/>
    <w:rsid w:val="3FEA6A0B"/>
    <w:rsid w:val="406334F2"/>
    <w:rsid w:val="409F14A1"/>
    <w:rsid w:val="415F6EA3"/>
    <w:rsid w:val="41B20BF4"/>
    <w:rsid w:val="42395B6E"/>
    <w:rsid w:val="423A7D1B"/>
    <w:rsid w:val="452C7897"/>
    <w:rsid w:val="45C76B65"/>
    <w:rsid w:val="479F10AA"/>
    <w:rsid w:val="48794403"/>
    <w:rsid w:val="487A6880"/>
    <w:rsid w:val="48CC3872"/>
    <w:rsid w:val="494B5EE6"/>
    <w:rsid w:val="494C6B8D"/>
    <w:rsid w:val="497B7CB3"/>
    <w:rsid w:val="49DD37B6"/>
    <w:rsid w:val="4B2D12E0"/>
    <w:rsid w:val="4B303151"/>
    <w:rsid w:val="4BEB6B31"/>
    <w:rsid w:val="4D4E307F"/>
    <w:rsid w:val="4DD36371"/>
    <w:rsid w:val="4F070047"/>
    <w:rsid w:val="4F3C244F"/>
    <w:rsid w:val="50F458C0"/>
    <w:rsid w:val="5115115D"/>
    <w:rsid w:val="521E4A24"/>
    <w:rsid w:val="52D92ACB"/>
    <w:rsid w:val="52D93D20"/>
    <w:rsid w:val="53B4776F"/>
    <w:rsid w:val="53DF1E3A"/>
    <w:rsid w:val="558E730F"/>
    <w:rsid w:val="568C5652"/>
    <w:rsid w:val="56A55E74"/>
    <w:rsid w:val="57857077"/>
    <w:rsid w:val="57EF5962"/>
    <w:rsid w:val="596B5247"/>
    <w:rsid w:val="59C34BA9"/>
    <w:rsid w:val="5B9C3E91"/>
    <w:rsid w:val="5CA67F0E"/>
    <w:rsid w:val="600122C5"/>
    <w:rsid w:val="60E05AE3"/>
    <w:rsid w:val="614516F9"/>
    <w:rsid w:val="61625D90"/>
    <w:rsid w:val="63771B5C"/>
    <w:rsid w:val="639D20F7"/>
    <w:rsid w:val="65C328F3"/>
    <w:rsid w:val="66246E50"/>
    <w:rsid w:val="67A04914"/>
    <w:rsid w:val="68BD663A"/>
    <w:rsid w:val="692F74C0"/>
    <w:rsid w:val="69537A0E"/>
    <w:rsid w:val="696405DD"/>
    <w:rsid w:val="6B26444A"/>
    <w:rsid w:val="6B2E5407"/>
    <w:rsid w:val="6E5D2906"/>
    <w:rsid w:val="6F4859CD"/>
    <w:rsid w:val="6FE969BF"/>
    <w:rsid w:val="70003319"/>
    <w:rsid w:val="701245F9"/>
    <w:rsid w:val="71175C34"/>
    <w:rsid w:val="71342D51"/>
    <w:rsid w:val="718F7C4F"/>
    <w:rsid w:val="7462627B"/>
    <w:rsid w:val="747D277F"/>
    <w:rsid w:val="74D70DF7"/>
    <w:rsid w:val="750950F5"/>
    <w:rsid w:val="750D16CF"/>
    <w:rsid w:val="77557570"/>
    <w:rsid w:val="789F3DA6"/>
    <w:rsid w:val="78A52377"/>
    <w:rsid w:val="78EF15F1"/>
    <w:rsid w:val="79082185"/>
    <w:rsid w:val="7A6F77AB"/>
    <w:rsid w:val="7A98155F"/>
    <w:rsid w:val="7AAC4823"/>
    <w:rsid w:val="7B5B7497"/>
    <w:rsid w:val="7BEF5F10"/>
    <w:rsid w:val="7DF1049E"/>
    <w:rsid w:val="7E2157DA"/>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4">
    <w:name w:val="heading 1"/>
    <w:basedOn w:val="1"/>
    <w:next w:val="1"/>
    <w:qFormat/>
    <w:uiPriority w:val="0"/>
    <w:pPr>
      <w:keepNext/>
      <w:snapToGrid w:val="0"/>
      <w:spacing w:line="360" w:lineRule="atLeast"/>
      <w:outlineLvl w:val="0"/>
    </w:pPr>
    <w:rPr>
      <w:rFonts w:ascii="宋体"/>
    </w:rPr>
  </w:style>
  <w:style w:type="paragraph" w:styleId="5">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8">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9">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10">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1">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2">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1">
    <w:name w:val="Default Paragraph Font"/>
    <w:qFormat/>
    <w:uiPriority w:val="0"/>
  </w:style>
  <w:style w:type="table" w:default="1" w:styleId="5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13">
    <w:name w:val="List 3"/>
    <w:basedOn w:val="1"/>
    <w:qFormat/>
    <w:uiPriority w:val="0"/>
    <w:pPr>
      <w:adjustRightInd w:val="0"/>
      <w:snapToGrid w:val="0"/>
      <w:spacing w:line="360" w:lineRule="auto"/>
      <w:ind w:left="100" w:leftChars="400" w:hanging="200" w:hangingChars="200"/>
    </w:pPr>
    <w:rPr>
      <w:sz w:val="24"/>
    </w:rPr>
  </w:style>
  <w:style w:type="paragraph" w:styleId="14">
    <w:name w:val="toc 7"/>
    <w:basedOn w:val="1"/>
    <w:next w:val="1"/>
    <w:qFormat/>
    <w:uiPriority w:val="0"/>
    <w:pPr>
      <w:ind w:left="2520" w:leftChars="1200"/>
    </w:pPr>
  </w:style>
  <w:style w:type="paragraph" w:styleId="15">
    <w:name w:val="List Number 2"/>
    <w:basedOn w:val="1"/>
    <w:qFormat/>
    <w:uiPriority w:val="0"/>
    <w:pPr>
      <w:numPr>
        <w:ilvl w:val="0"/>
        <w:numId w:val="2"/>
      </w:numPr>
      <w:tabs>
        <w:tab w:val="left" w:pos="780"/>
        <w:tab w:val="clear" w:pos="425"/>
      </w:tabs>
      <w:spacing w:line="360" w:lineRule="auto"/>
    </w:pPr>
    <w:rPr>
      <w:sz w:val="24"/>
    </w:rPr>
  </w:style>
  <w:style w:type="paragraph" w:styleId="16">
    <w:name w:val="List Bullet 4"/>
    <w:basedOn w:val="1"/>
    <w:qFormat/>
    <w:uiPriority w:val="0"/>
    <w:pPr>
      <w:widowControl/>
      <w:numPr>
        <w:ilvl w:val="0"/>
        <w:numId w:val="3"/>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7">
    <w:name w:val="Normal Indent"/>
    <w:basedOn w:val="1"/>
    <w:qFormat/>
    <w:uiPriority w:val="0"/>
    <w:pPr>
      <w:adjustRightInd w:val="0"/>
      <w:snapToGrid w:val="0"/>
      <w:spacing w:line="360" w:lineRule="auto"/>
      <w:ind w:firstLine="420"/>
    </w:pPr>
    <w:rPr>
      <w:sz w:val="24"/>
    </w:rPr>
  </w:style>
  <w:style w:type="paragraph" w:styleId="18">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9">
    <w:name w:val="Document Map"/>
    <w:basedOn w:val="1"/>
    <w:qFormat/>
    <w:uiPriority w:val="0"/>
    <w:pPr>
      <w:shd w:val="clear" w:color="auto" w:fill="000080"/>
    </w:pPr>
  </w:style>
  <w:style w:type="paragraph" w:styleId="20">
    <w:name w:val="toa heading"/>
    <w:basedOn w:val="1"/>
    <w:next w:val="1"/>
    <w:qFormat/>
    <w:uiPriority w:val="0"/>
    <w:pPr>
      <w:spacing w:before="120" w:beforeLines="0"/>
    </w:pPr>
    <w:rPr>
      <w:rFonts w:ascii="Arial" w:hAnsi="Arial"/>
      <w:sz w:val="24"/>
    </w:rPr>
  </w:style>
  <w:style w:type="paragraph" w:styleId="21">
    <w:name w:val="annotation text"/>
    <w:basedOn w:val="1"/>
    <w:link w:val="72"/>
    <w:qFormat/>
    <w:uiPriority w:val="0"/>
    <w:pPr>
      <w:adjustRightInd w:val="0"/>
      <w:spacing w:line="360" w:lineRule="atLeast"/>
      <w:jc w:val="left"/>
      <w:textAlignment w:val="baseline"/>
    </w:pPr>
    <w:rPr>
      <w:kern w:val="0"/>
      <w:sz w:val="24"/>
    </w:rPr>
  </w:style>
  <w:style w:type="paragraph" w:styleId="22">
    <w:name w:val="Body Text 3"/>
    <w:basedOn w:val="1"/>
    <w:qFormat/>
    <w:uiPriority w:val="0"/>
    <w:pPr>
      <w:adjustRightInd w:val="0"/>
      <w:snapToGrid w:val="0"/>
      <w:spacing w:after="120" w:afterLines="0" w:afterAutospacing="0" w:line="360" w:lineRule="auto"/>
    </w:pPr>
    <w:rPr>
      <w:sz w:val="16"/>
    </w:rPr>
  </w:style>
  <w:style w:type="paragraph" w:styleId="23">
    <w:name w:val="List Bullet 3"/>
    <w:basedOn w:val="1"/>
    <w:qFormat/>
    <w:uiPriority w:val="0"/>
    <w:pPr>
      <w:numPr>
        <w:ilvl w:val="0"/>
        <w:numId w:val="4"/>
      </w:numPr>
      <w:adjustRightInd w:val="0"/>
      <w:snapToGrid w:val="0"/>
      <w:spacing w:line="360" w:lineRule="auto"/>
    </w:pPr>
    <w:rPr>
      <w:sz w:val="24"/>
    </w:rPr>
  </w:style>
  <w:style w:type="paragraph" w:styleId="24">
    <w:name w:val="Body Text"/>
    <w:basedOn w:val="1"/>
    <w:next w:val="1"/>
    <w:qFormat/>
    <w:uiPriority w:val="0"/>
    <w:rPr>
      <w:rFonts w:ascii="仿宋_GB2312" w:eastAsia="仿宋_GB2312"/>
      <w:sz w:val="32"/>
    </w:rPr>
  </w:style>
  <w:style w:type="paragraph" w:styleId="25">
    <w:name w:val="Body Text Indent"/>
    <w:basedOn w:val="1"/>
    <w:link w:val="73"/>
    <w:qFormat/>
    <w:uiPriority w:val="0"/>
    <w:pPr>
      <w:spacing w:line="700" w:lineRule="exact"/>
      <w:ind w:left="960"/>
    </w:pPr>
    <w:rPr>
      <w:sz w:val="44"/>
    </w:rPr>
  </w:style>
  <w:style w:type="paragraph" w:styleId="26">
    <w:name w:val="List Number 3"/>
    <w:basedOn w:val="1"/>
    <w:qFormat/>
    <w:uiPriority w:val="0"/>
    <w:pPr>
      <w:tabs>
        <w:tab w:val="left" w:pos="2120"/>
      </w:tabs>
      <w:adjustRightInd w:val="0"/>
      <w:snapToGrid w:val="0"/>
      <w:spacing w:line="360" w:lineRule="auto"/>
      <w:ind w:left="2120" w:hanging="720"/>
    </w:pPr>
    <w:rPr>
      <w:sz w:val="24"/>
    </w:rPr>
  </w:style>
  <w:style w:type="paragraph" w:styleId="27">
    <w:name w:val="List 2"/>
    <w:basedOn w:val="1"/>
    <w:qFormat/>
    <w:uiPriority w:val="0"/>
    <w:pPr>
      <w:adjustRightInd w:val="0"/>
      <w:snapToGrid w:val="0"/>
      <w:spacing w:line="360" w:lineRule="auto"/>
      <w:ind w:left="100" w:leftChars="200" w:hanging="200" w:hangingChars="200"/>
    </w:pPr>
    <w:rPr>
      <w:sz w:val="24"/>
    </w:rPr>
  </w:style>
  <w:style w:type="paragraph" w:styleId="28">
    <w:name w:val="List Continue"/>
    <w:basedOn w:val="1"/>
    <w:qFormat/>
    <w:uiPriority w:val="0"/>
    <w:pPr>
      <w:adjustRightInd w:val="0"/>
      <w:snapToGrid w:val="0"/>
      <w:spacing w:after="120" w:afterLines="0" w:afterAutospacing="0" w:line="360" w:lineRule="auto"/>
      <w:ind w:left="420" w:leftChars="200"/>
    </w:pPr>
    <w:rPr>
      <w:sz w:val="24"/>
    </w:rPr>
  </w:style>
  <w:style w:type="paragraph" w:styleId="29">
    <w:name w:val="List Bullet 2"/>
    <w:basedOn w:val="1"/>
    <w:qFormat/>
    <w:uiPriority w:val="0"/>
    <w:pPr>
      <w:numPr>
        <w:ilvl w:val="0"/>
        <w:numId w:val="5"/>
      </w:numPr>
      <w:adjustRightInd w:val="0"/>
      <w:snapToGrid w:val="0"/>
      <w:spacing w:line="360" w:lineRule="auto"/>
    </w:pPr>
    <w:rPr>
      <w:sz w:val="24"/>
    </w:r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0"/>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4"/>
    <w:qFormat/>
    <w:uiPriority w:val="0"/>
  </w:style>
  <w:style w:type="paragraph" w:styleId="35">
    <w:name w:val="Body Text Indent 2"/>
    <w:basedOn w:val="1"/>
    <w:link w:val="75"/>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8"/>
    <w:qFormat/>
    <w:uiPriority w:val="0"/>
    <w:pPr>
      <w:pBdr>
        <w:bottom w:val="single" w:color="auto" w:sz="6" w:space="1"/>
      </w:pBdr>
      <w:tabs>
        <w:tab w:val="center" w:pos="4153"/>
        <w:tab w:val="right" w:pos="8306"/>
      </w:tabs>
      <w:snapToGrid w:val="0"/>
      <w:jc w:val="center"/>
    </w:pPr>
    <w:rPr>
      <w:sz w:val="18"/>
    </w:rPr>
  </w:style>
  <w:style w:type="paragraph" w:styleId="39">
    <w:name w:val="toc 1"/>
    <w:basedOn w:val="1"/>
    <w:next w:val="1"/>
    <w:qFormat/>
    <w:uiPriority w:val="0"/>
    <w:pPr>
      <w:spacing w:line="180" w:lineRule="auto"/>
      <w:jc w:val="center"/>
    </w:pPr>
    <w:rPr>
      <w:sz w:val="30"/>
    </w:rPr>
  </w:style>
  <w:style w:type="paragraph" w:styleId="40">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1">
    <w:name w:val="toc 4"/>
    <w:basedOn w:val="1"/>
    <w:next w:val="1"/>
    <w:qFormat/>
    <w:uiPriority w:val="0"/>
    <w:pPr>
      <w:ind w:left="1260" w:leftChars="600"/>
    </w:pPr>
  </w:style>
  <w:style w:type="paragraph" w:styleId="42">
    <w:name w:val="footnote text"/>
    <w:basedOn w:val="1"/>
    <w:link w:val="76"/>
    <w:qFormat/>
    <w:uiPriority w:val="0"/>
    <w:pPr>
      <w:spacing w:line="360" w:lineRule="auto"/>
    </w:pPr>
    <w:rPr>
      <w:sz w:val="18"/>
    </w:rPr>
  </w:style>
  <w:style w:type="paragraph" w:styleId="43">
    <w:name w:val="toc 6"/>
    <w:basedOn w:val="1"/>
    <w:next w:val="1"/>
    <w:qFormat/>
    <w:uiPriority w:val="0"/>
    <w:pPr>
      <w:ind w:left="2100" w:leftChars="1000"/>
    </w:pPr>
  </w:style>
  <w:style w:type="paragraph" w:styleId="44">
    <w:name w:val="List 5"/>
    <w:basedOn w:val="1"/>
    <w:qFormat/>
    <w:uiPriority w:val="0"/>
    <w:pPr>
      <w:adjustRightInd w:val="0"/>
      <w:snapToGrid w:val="0"/>
      <w:spacing w:line="360" w:lineRule="auto"/>
      <w:ind w:left="100" w:leftChars="800" w:hanging="200" w:hangingChars="200"/>
    </w:pPr>
    <w:rPr>
      <w:sz w:val="24"/>
    </w:rPr>
  </w:style>
  <w:style w:type="paragraph" w:styleId="45">
    <w:name w:val="Body Text Indent 3"/>
    <w:basedOn w:val="1"/>
    <w:qFormat/>
    <w:uiPriority w:val="0"/>
    <w:pPr>
      <w:spacing w:line="360" w:lineRule="auto"/>
      <w:ind w:firstLine="632"/>
    </w:pPr>
    <w:rPr>
      <w:rFonts w:ascii="黑体" w:eastAsia="黑体"/>
    </w:rPr>
  </w:style>
  <w:style w:type="paragraph" w:styleId="46">
    <w:name w:val="table of figures"/>
    <w:basedOn w:val="1"/>
    <w:next w:val="1"/>
    <w:qFormat/>
    <w:uiPriority w:val="0"/>
    <w:pPr>
      <w:tabs>
        <w:tab w:val="right" w:leader="dot" w:pos="8640"/>
      </w:tabs>
      <w:spacing w:line="360" w:lineRule="auto"/>
      <w:ind w:left="400" w:hanging="400"/>
    </w:pPr>
    <w:rPr>
      <w:sz w:val="24"/>
    </w:rPr>
  </w:style>
  <w:style w:type="paragraph" w:styleId="47">
    <w:name w:val="toc 2"/>
    <w:basedOn w:val="1"/>
    <w:next w:val="1"/>
    <w:qFormat/>
    <w:uiPriority w:val="39"/>
    <w:pPr>
      <w:ind w:left="420" w:leftChars="200"/>
    </w:pPr>
  </w:style>
  <w:style w:type="paragraph" w:styleId="48">
    <w:name w:val="toc 9"/>
    <w:basedOn w:val="1"/>
    <w:next w:val="1"/>
    <w:qFormat/>
    <w:uiPriority w:val="0"/>
    <w:pPr>
      <w:ind w:left="3360" w:leftChars="1600"/>
    </w:pPr>
  </w:style>
  <w:style w:type="paragraph" w:styleId="49">
    <w:name w:val="Body Text 2"/>
    <w:basedOn w:val="1"/>
    <w:qFormat/>
    <w:uiPriority w:val="0"/>
    <w:pPr>
      <w:adjustRightInd w:val="0"/>
      <w:snapToGrid w:val="0"/>
      <w:spacing w:after="120" w:afterLines="0" w:afterAutospacing="0" w:line="480" w:lineRule="auto"/>
    </w:pPr>
    <w:rPr>
      <w:sz w:val="24"/>
    </w:rPr>
  </w:style>
  <w:style w:type="paragraph" w:styleId="50">
    <w:name w:val="List 4"/>
    <w:basedOn w:val="1"/>
    <w:qFormat/>
    <w:uiPriority w:val="0"/>
    <w:pPr>
      <w:adjustRightInd w:val="0"/>
      <w:snapToGrid w:val="0"/>
      <w:spacing w:line="360" w:lineRule="auto"/>
      <w:ind w:left="100" w:leftChars="600" w:hanging="200" w:hangingChars="200"/>
    </w:pPr>
    <w:rPr>
      <w:sz w:val="24"/>
    </w:rPr>
  </w:style>
  <w:style w:type="paragraph" w:styleId="51">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2">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3">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4">
    <w:name w:val="index 1"/>
    <w:basedOn w:val="1"/>
    <w:next w:val="1"/>
    <w:qFormat/>
    <w:uiPriority w:val="0"/>
    <w:pPr>
      <w:adjustRightInd w:val="0"/>
      <w:spacing w:line="240" w:lineRule="atLeast"/>
      <w:textAlignment w:val="baseline"/>
    </w:pPr>
    <w:rPr>
      <w:rFonts w:ascii="宋体"/>
      <w:kern w:val="0"/>
      <w:sz w:val="21"/>
    </w:rPr>
  </w:style>
  <w:style w:type="paragraph" w:styleId="55">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6">
    <w:name w:val="annotation subject"/>
    <w:basedOn w:val="21"/>
    <w:next w:val="21"/>
    <w:link w:val="77"/>
    <w:qFormat/>
    <w:uiPriority w:val="0"/>
    <w:pPr>
      <w:adjustRightInd/>
      <w:spacing w:line="240" w:lineRule="auto"/>
      <w:textAlignment w:val="auto"/>
    </w:pPr>
  </w:style>
  <w:style w:type="paragraph" w:styleId="57">
    <w:name w:val="Body Text First Indent"/>
    <w:basedOn w:val="1"/>
    <w:next w:val="1"/>
    <w:qFormat/>
    <w:uiPriority w:val="0"/>
    <w:pPr>
      <w:spacing w:line="360" w:lineRule="auto"/>
      <w:ind w:firstLine="420"/>
    </w:pPr>
    <w:rPr>
      <w:rFonts w:ascii="宋体" w:hAnsi="宋体"/>
      <w:sz w:val="24"/>
    </w:rPr>
  </w:style>
  <w:style w:type="paragraph" w:styleId="58">
    <w:name w:val="Body Text First Indent 2"/>
    <w:basedOn w:val="25"/>
    <w:link w:val="78"/>
    <w:qFormat/>
    <w:uiPriority w:val="0"/>
    <w:pPr>
      <w:spacing w:after="120" w:afterLines="0" w:line="240" w:lineRule="auto"/>
      <w:ind w:left="420" w:leftChars="200" w:firstLine="420" w:firstLineChars="200"/>
    </w:pPr>
  </w:style>
  <w:style w:type="table" w:styleId="60">
    <w:name w:val="Table Grid"/>
    <w:basedOn w:val="5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22"/>
    <w:rPr>
      <w:b/>
    </w:rPr>
  </w:style>
  <w:style w:type="character" w:styleId="63">
    <w:name w:val="page number"/>
    <w:qFormat/>
    <w:uiPriority w:val="0"/>
  </w:style>
  <w:style w:type="character" w:styleId="64">
    <w:name w:val="FollowedHyperlink"/>
    <w:qFormat/>
    <w:uiPriority w:val="0"/>
    <w:rPr>
      <w:color w:val="800080"/>
      <w:u w:val="single"/>
    </w:rPr>
  </w:style>
  <w:style w:type="character" w:styleId="65">
    <w:name w:val="Emphasis"/>
    <w:basedOn w:val="61"/>
    <w:qFormat/>
    <w:uiPriority w:val="0"/>
    <w:rPr>
      <w:i/>
    </w:rPr>
  </w:style>
  <w:style w:type="character" w:styleId="66">
    <w:name w:val="Hyperlink"/>
    <w:qFormat/>
    <w:uiPriority w:val="99"/>
    <w:rPr>
      <w:color w:val="0000FF"/>
      <w:u w:val="single"/>
    </w:rPr>
  </w:style>
  <w:style w:type="character" w:styleId="67">
    <w:name w:val="annotation reference"/>
    <w:qFormat/>
    <w:uiPriority w:val="0"/>
    <w:rPr>
      <w:sz w:val="21"/>
      <w:szCs w:val="21"/>
    </w:rPr>
  </w:style>
  <w:style w:type="character" w:styleId="68">
    <w:name w:val="footnote reference"/>
    <w:qFormat/>
    <w:uiPriority w:val="0"/>
    <w:rPr>
      <w:position w:val="6"/>
      <w:sz w:val="14"/>
      <w:vertAlign w:val="superscript"/>
    </w:rPr>
  </w:style>
  <w:style w:type="paragraph" w:customStyle="1" w:styleId="69">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70">
    <w:name w:val="标题 2 Char"/>
    <w:link w:val="5"/>
    <w:qFormat/>
    <w:uiPriority w:val="0"/>
    <w:rPr>
      <w:rFonts w:ascii="Arial" w:hAnsi="Arial" w:eastAsia="黑体"/>
      <w:b/>
      <w:kern w:val="2"/>
      <w:sz w:val="32"/>
    </w:rPr>
  </w:style>
  <w:style w:type="character" w:customStyle="1" w:styleId="71">
    <w:name w:val="标题 3 Char"/>
    <w:link w:val="6"/>
    <w:qFormat/>
    <w:uiPriority w:val="0"/>
    <w:rPr>
      <w:rFonts w:eastAsia="宋体"/>
      <w:b/>
      <w:kern w:val="2"/>
      <w:sz w:val="32"/>
      <w:lang w:val="en-US" w:eastAsia="zh-CN"/>
    </w:rPr>
  </w:style>
  <w:style w:type="character" w:customStyle="1" w:styleId="72">
    <w:name w:val="批注文字 Char"/>
    <w:link w:val="21"/>
    <w:qFormat/>
    <w:uiPriority w:val="0"/>
    <w:rPr>
      <w:sz w:val="24"/>
    </w:rPr>
  </w:style>
  <w:style w:type="character" w:customStyle="1" w:styleId="73">
    <w:name w:val="正文文本缩进 Char"/>
    <w:link w:val="25"/>
    <w:qFormat/>
    <w:uiPriority w:val="0"/>
    <w:rPr>
      <w:kern w:val="2"/>
      <w:sz w:val="44"/>
    </w:rPr>
  </w:style>
  <w:style w:type="character" w:customStyle="1" w:styleId="74">
    <w:name w:val="日期 Char"/>
    <w:link w:val="34"/>
    <w:qFormat/>
    <w:uiPriority w:val="0"/>
    <w:rPr>
      <w:kern w:val="2"/>
      <w:sz w:val="28"/>
    </w:rPr>
  </w:style>
  <w:style w:type="character" w:customStyle="1" w:styleId="75">
    <w:name w:val="正文文本缩进 2 Char"/>
    <w:link w:val="35"/>
    <w:qFormat/>
    <w:uiPriority w:val="0"/>
    <w:rPr>
      <w:kern w:val="2"/>
      <w:sz w:val="28"/>
    </w:rPr>
  </w:style>
  <w:style w:type="character" w:customStyle="1" w:styleId="76">
    <w:name w:val="脚注文本 Char"/>
    <w:link w:val="42"/>
    <w:qFormat/>
    <w:uiPriority w:val="0"/>
    <w:rPr>
      <w:kern w:val="2"/>
      <w:sz w:val="18"/>
    </w:rPr>
  </w:style>
  <w:style w:type="character" w:customStyle="1" w:styleId="77">
    <w:name w:val="批注主题 Char"/>
    <w:link w:val="56"/>
    <w:qFormat/>
    <w:uiPriority w:val="0"/>
  </w:style>
  <w:style w:type="character" w:customStyle="1" w:styleId="78">
    <w:name w:val="正文首行缩进 2 Char"/>
    <w:link w:val="58"/>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6"/>
    <w:next w:val="57"/>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5"/>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4"/>
    <w:next w:val="4"/>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3"/>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5"/>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4"/>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7"/>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9"/>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2"/>
    <w:qFormat/>
    <w:uiPriority w:val="0"/>
    <w:rPr>
      <w:rFonts w:ascii="宋体" w:hAnsi="Courier New"/>
      <w:sz w:val="21"/>
    </w:rPr>
  </w:style>
  <w:style w:type="paragraph" w:customStyle="1" w:styleId="144">
    <w:name w:val="列表项目"/>
    <w:basedOn w:val="1"/>
    <w:qFormat/>
    <w:uiPriority w:val="0"/>
    <w:pPr>
      <w:numPr>
        <w:ilvl w:val="0"/>
        <w:numId w:val="4"/>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9"/>
    <w:qFormat/>
    <w:uiPriority w:val="0"/>
    <w:rPr>
      <w:rFonts w:ascii="宋体" w:hAnsi="Tahoma"/>
    </w:rPr>
  </w:style>
  <w:style w:type="paragraph" w:customStyle="1" w:styleId="147">
    <w:name w:val="样式 标题 6第五层条 + 三号 段前: 0.5 行"/>
    <w:basedOn w:val="9"/>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5"/>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7"/>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5"/>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6"/>
    <w:qFormat/>
    <w:uiPriority w:val="0"/>
    <w:pPr>
      <w:numPr>
        <w:ilvl w:val="2"/>
        <w:numId w:val="3"/>
      </w:numPr>
      <w:tabs>
        <w:tab w:val="left" w:pos="709"/>
        <w:tab w:val="left" w:pos="1620"/>
      </w:tabs>
      <w:spacing w:line="413" w:lineRule="auto"/>
    </w:pPr>
  </w:style>
  <w:style w:type="paragraph" w:customStyle="1" w:styleId="175">
    <w:name w:val="样式4"/>
    <w:basedOn w:val="7"/>
    <w:qFormat/>
    <w:uiPriority w:val="0"/>
    <w:pPr>
      <w:adjustRightInd w:val="0"/>
      <w:snapToGrid w:val="0"/>
    </w:pPr>
  </w:style>
  <w:style w:type="paragraph" w:customStyle="1" w:styleId="176">
    <w:name w:val="摘要"/>
    <w:basedOn w:val="1"/>
    <w:next w:val="5"/>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4"/>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7"/>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4"/>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4"/>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4"/>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2"/>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4"/>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61"/>
    <w:link w:val="32"/>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4">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5">
    <w:name w:val="p0"/>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7</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李薛龙</cp:lastModifiedBy>
  <cp:lastPrinted>2015-03-25T02:14:00Z</cp:lastPrinted>
  <dcterms:modified xsi:type="dcterms:W3CDTF">2026-05-18T08:07:52Z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6B5EB5377A2141929531074515C26EFD</vt:lpwstr>
  </property>
</Properties>
</file>