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2"/>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3"/>
        <w:rPr>
          <w:rFonts w:hint="eastAsia" w:ascii="微软雅黑" w:hAnsi="微软雅黑" w:eastAsia="微软雅黑" w:cs="微软雅黑"/>
          <w:b w:val="0"/>
          <w:kern w:val="2"/>
          <w:sz w:val="44"/>
          <w:szCs w:val="44"/>
          <w:lang w:val="en-US" w:eastAsia="zh-CN" w:bidi="ar-SA"/>
        </w:rPr>
      </w:pPr>
    </w:p>
    <w:p>
      <w:pPr>
        <w:pStyle w:val="3"/>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YHQ260169</w:t>
      </w:r>
    </w:p>
    <w:p>
      <w:pPr>
        <w:spacing w:line="360" w:lineRule="auto"/>
        <w:ind w:firstLine="144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医院自助充电宝项目</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700" w:lineRule="exact"/>
        <w:jc w:val="both"/>
        <w:rPr>
          <w:rFonts w:hint="eastAsia" w:ascii="微软雅黑" w:hAnsi="微软雅黑" w:eastAsia="微软雅黑" w:cs="微软雅黑"/>
          <w:b/>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_Toc8939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_Toc25568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_Toc25568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_Toc11399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_Toc11399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_Toc7727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_Toc7727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_Toc23501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_Toc19174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_Toc9904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_Toc9904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9"/>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_Toc30018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_Toc30018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_Toc1592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_Toc18343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_Toc28885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_Toc30792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sz w:val="24"/>
          <w:szCs w:val="24"/>
        </w:rPr>
        <w:tab/>
      </w:r>
      <w:r>
        <w:rPr>
          <w:sz w:val="24"/>
          <w:szCs w:val="24"/>
        </w:rPr>
        <w:fldChar w:fldCharType="begin"/>
      </w:r>
      <w:r>
        <w:rPr>
          <w:sz w:val="24"/>
          <w:szCs w:val="24"/>
        </w:rPr>
        <w:instrText xml:space="preserve"> PAGEREF _Toc30792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_Toc9278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_Toc11400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_Toc11400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_Toc32522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_Toc27153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_Toc21319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_Toc25328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_Toc13193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_Toc24243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_Toc29505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_Toc29505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_Toc27809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_Toc27809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_Toc12243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_Toc12243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_Toc6908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_Toc13112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_Toc13708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_Toc1257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_Toc11635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_Toc11635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_Toc25318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_Toc7308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5"/>
        <w:spacing w:before="200" w:after="200" w:line="240" w:lineRule="auto"/>
        <w:jc w:val="center"/>
        <w:rPr>
          <w:rFonts w:hint="eastAsia" w:ascii="微软雅黑" w:hAnsi="微软雅黑" w:eastAsia="微软雅黑" w:cs="微软雅黑"/>
          <w:b/>
          <w:sz w:val="44"/>
          <w:szCs w:val="20"/>
        </w:rPr>
      </w:pPr>
      <w:bookmarkStart w:id="0" w:name="_Toc8939"/>
      <w:bookmarkStart w:id="1" w:name="_Toc12789052"/>
      <w:bookmarkStart w:id="2" w:name="_Toc76462316"/>
      <w:bookmarkStart w:id="3" w:name="_Toc24037"/>
      <w:bookmarkStart w:id="4" w:name="_Toc11641050"/>
      <w:bookmarkStart w:id="5" w:name="_Toc106030870"/>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医院自助充电宝项目</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856"/>
      <w:bookmarkStart w:id="7" w:name="_Toc313893526"/>
      <w:bookmarkStart w:id="8" w:name="_Toc76462317"/>
      <w:bookmarkStart w:id="9" w:name="_Toc317775175"/>
      <w:bookmarkStart w:id="10" w:name="_Toc106030871"/>
      <w:bookmarkStart w:id="11" w:name="_Toc2556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9"/>
        <w:tblW w:w="40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988"/>
        <w:gridCol w:w="1155"/>
        <w:gridCol w:w="1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5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999"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7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74"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5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YHQ260169</w:t>
            </w:r>
          </w:p>
        </w:tc>
        <w:tc>
          <w:tcPr>
            <w:tcW w:w="1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kern w:val="0"/>
                <w:sz w:val="21"/>
                <w:szCs w:val="24"/>
                <w:lang w:val="en-US" w:eastAsia="zh-CN"/>
              </w:rPr>
              <w:t>医院自助充电宝项目</w:t>
            </w:r>
          </w:p>
        </w:tc>
        <w:tc>
          <w:tcPr>
            <w:tcW w:w="77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12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1399"/>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w:t>
      </w:r>
    </w:p>
    <w:bookmarkEnd w:id="14"/>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21" w:name="_Toc12821"/>
      <w:bookmarkStart w:id="22" w:name="_Toc27954"/>
      <w:bookmarkStart w:id="23" w:name="_Toc76462320"/>
      <w:bookmarkStart w:id="24" w:name="_Toc106030874"/>
      <w:r>
        <w:rPr>
          <w:rFonts w:hint="eastAsia" w:ascii="微软雅黑" w:hAnsi="微软雅黑" w:eastAsia="微软雅黑" w:cs="微软雅黑"/>
          <w:sz w:val="24"/>
          <w:szCs w:val="24"/>
          <w:lang w:val="en-US" w:eastAsia="zh-CN"/>
        </w:rPr>
        <w:t>1.投标人公司成立时间应在三年以上（营业执照上标明的成立日期在2023年1月1日之前），需具有合法独立法人资格，诚实守信，持有年检合格的营业执照，有与投标项目相关产品的经营资格（投标时需提供复印件盖鲜章）。</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2.投标人具有有效的高新技术企业证书和专精特新中小企业证书（投标时需提供复印件盖鲜章）。</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3.投标人需具有环境管理体系认证证书（ISO14001）、质量管理体系认证证书（ISO9001）和信息安全管理体系认证证书（ISO27001）（投标时需提供复印件盖鲜章）。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4.供应商若为非生产厂家须提供生产厂家授权（投标时需提供复印件盖鲜章）。</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5.若同一品牌代理商，只能一家代理单位参与投标。</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6.信誉要求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（1）具有良好的商业信誉和健全的财务会计制度</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（2）具有履行合同所必需的设备和专业技术能力</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（3）有依法缴纳税收和社会保障金的良好记录</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（4）参加政府采购活动前三年内，在经营活动中没有重大违法记录</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（5）法律、行政法规规定的其他条件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kern w:val="2"/>
          <w:sz w:val="24"/>
          <w:szCs w:val="24"/>
          <w:lang w:val="en-US" w:eastAsia="zh-CN" w:bidi="ar-SA"/>
        </w:rPr>
        <w:t>（</w:t>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12841"/>
      <w:bookmarkStart w:id="27" w:name="_Toc23501"/>
      <w:bookmarkStart w:id="28" w:name="_Toc6178"/>
      <w:bookmarkStart w:id="29" w:name="_Toc525047161"/>
      <w:bookmarkStart w:id="30" w:name="_Toc11956"/>
      <w:bookmarkStart w:id="31" w:name="_Toc521053053"/>
      <w:bookmarkStart w:id="32" w:name="_Toc65660334"/>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5"/>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65660335"/>
      <w:bookmarkStart w:id="35" w:name="_Toc2945"/>
      <w:bookmarkStart w:id="36" w:name="_Toc106034626"/>
      <w:bookmarkStart w:id="37" w:name="_Toc521053054"/>
      <w:bookmarkStart w:id="38" w:name="_Toc525047162"/>
      <w:bookmarkStart w:id="39" w:name="_Toc19174"/>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06034627"/>
      <w:bookmarkStart w:id="42" w:name="_Toc16269"/>
      <w:bookmarkStart w:id="43" w:name="_Toc525047163"/>
      <w:bookmarkStart w:id="44" w:name="_Toc521053055"/>
      <w:bookmarkStart w:id="45" w:name="_Toc65660336"/>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106034628"/>
      <w:bookmarkStart w:id="49" w:name="_Toc521053056"/>
      <w:bookmarkStart w:id="50" w:name="_Toc1733"/>
      <w:bookmarkStart w:id="51" w:name="_Toc24901"/>
      <w:bookmarkStart w:id="52" w:name="_Toc65660337"/>
      <w:bookmarkStart w:id="53" w:name="_Toc9904"/>
      <w:bookmarkStart w:id="54" w:name="_Toc525047164"/>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75793504"/>
      <w:bookmarkStart w:id="56" w:name="_Toc725"/>
      <w:bookmarkStart w:id="57" w:name="_Toc1492"/>
      <w:bookmarkStart w:id="58" w:name="_Toc2422"/>
      <w:bookmarkStart w:id="59" w:name="_Toc1625"/>
      <w:bookmarkStart w:id="60" w:name="_Toc8649"/>
      <w:bookmarkStart w:id="61" w:name="_Toc32686"/>
      <w:bookmarkStart w:id="62" w:name="_Toc19886"/>
      <w:bookmarkStart w:id="63" w:name="_Toc25639"/>
      <w:bookmarkStart w:id="64" w:name="_Toc12959"/>
      <w:bookmarkStart w:id="65" w:name="_Toc11017"/>
      <w:bookmarkStart w:id="66" w:name="_Toc23143"/>
      <w:bookmarkStart w:id="67" w:name="_Toc5461"/>
      <w:bookmarkStart w:id="68" w:name="_Toc26176"/>
      <w:bookmarkStart w:id="69" w:name="_Toc2070"/>
      <w:bookmarkStart w:id="70" w:name="_Toc30018"/>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06030879"/>
      <w:bookmarkStart w:id="74" w:name="_Toc3196"/>
      <w:bookmarkStart w:id="75" w:name="_Toc18470"/>
      <w:bookmarkStart w:id="76" w:name="_Toc1866"/>
      <w:bookmarkStart w:id="77" w:name="_Toc3117"/>
      <w:bookmarkStart w:id="78" w:name="_Toc76462325"/>
      <w:bookmarkStart w:id="79" w:name="_Toc32516"/>
      <w:bookmarkStart w:id="80" w:name="_Toc106030882"/>
      <w:bookmarkStart w:id="81" w:name="_Toc7791"/>
      <w:bookmarkStart w:id="82" w:name="_Toc76462327"/>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p>
    <w:tbl>
      <w:tblPr>
        <w:tblStyle w:val="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8"/>
        <w:gridCol w:w="2671"/>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2481"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387"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合同期限</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医院自助充电宝项目</w:t>
            </w:r>
          </w:p>
        </w:tc>
        <w:tc>
          <w:tcPr>
            <w:tcW w:w="1387"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spacing w:line="400" w:lineRule="exact"/>
        <w:ind w:firstLine="480" w:firstLineChars="200"/>
        <w:rPr>
          <w:rFonts w:hint="eastAsia" w:ascii="微软雅黑" w:hAnsi="微软雅黑" w:eastAsia="微软雅黑" w:cs="微软雅黑"/>
          <w:b/>
          <w:bCs/>
          <w:sz w:val="24"/>
          <w:szCs w:val="24"/>
          <w:lang w:val="en-US" w:eastAsia="zh-CN"/>
        </w:rPr>
      </w:pPr>
      <w:bookmarkStart w:id="83" w:name="_Toc25495"/>
      <w:bookmarkStart w:id="84" w:name="_Toc106030880"/>
      <w:bookmarkStart w:id="85" w:name="_Toc12384"/>
      <w:r>
        <w:rPr>
          <w:rFonts w:hint="eastAsia" w:ascii="微软雅黑" w:hAnsi="微软雅黑" w:eastAsia="微软雅黑" w:cs="微软雅黑"/>
          <w:b/>
          <w:bCs/>
          <w:sz w:val="24"/>
          <w:szCs w:val="24"/>
        </w:rPr>
        <w:t>二、</w:t>
      </w:r>
      <w:bookmarkEnd w:id="83"/>
      <w:bookmarkEnd w:id="84"/>
      <w:bookmarkEnd w:id="85"/>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1.对自助充电设备进行招标，医院按所报的分成比例进行费用收取。</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2.设备摆放位置以采购人按实际需求指定为准。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（二）项目要求</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86" w:name="_Toc1592"/>
      <w:r>
        <w:rPr>
          <w:rFonts w:hint="eastAsia" w:ascii="微软雅黑" w:hAnsi="微软雅黑" w:eastAsia="微软雅黑" w:cs="微软雅黑"/>
          <w:sz w:val="24"/>
          <w:szCs w:val="24"/>
          <w:lang w:val="en-US" w:eastAsia="zh-CN"/>
        </w:rPr>
        <w:t>1.中标人设备必须符合中华人民共和国相关质量标准、制造标准和规范，充电设备具有3C认证、充电站3C认证证书、产品合格证或质量安全证书，具有中国国家强制性产品认证证书或认证试验报告。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2.本次招投标不接受联合体投标，不可转包或分包，即投标人独立自有经营（投标人代理品牌的须提供代理品牌公司的授权委托书）。</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3.为保证收入数据的真实性，中标人应承诺向医院开放设备后台的管理系统，以便随时核查项目收入相关数据。</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4.充电设备收费标准</w:t>
      </w:r>
      <w:r>
        <w:rPr>
          <w:rFonts w:hint="eastAsia" w:ascii="微软雅黑" w:hAnsi="微软雅黑" w:eastAsia="微软雅黑" w:cs="微软雅黑"/>
          <w:sz w:val="24"/>
          <w:szCs w:val="24"/>
          <w:lang w:eastAsia="zh-CN"/>
        </w:rPr>
        <w:t>不得高于</w:t>
      </w:r>
      <w:r>
        <w:rPr>
          <w:rFonts w:hint="eastAsia" w:ascii="微软雅黑" w:hAnsi="微软雅黑" w:eastAsia="微软雅黑" w:cs="微软雅黑"/>
          <w:sz w:val="24"/>
          <w:szCs w:val="24"/>
          <w:lang w:val="en-US" w:eastAsia="zh-CN"/>
        </w:rPr>
        <w:t>市场同类产品</w:t>
      </w:r>
      <w:r>
        <w:rPr>
          <w:rFonts w:hint="eastAsia" w:ascii="微软雅黑" w:hAnsi="微软雅黑" w:eastAsia="微软雅黑" w:cs="微软雅黑"/>
          <w:sz w:val="24"/>
          <w:szCs w:val="24"/>
          <w:lang w:eastAsia="zh-CN"/>
        </w:rPr>
        <w:t>价格</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为保障用户资金安全，中标人所提供产品须使用微信或支付宝信用分进行租借，若产生押金或租金的，租借完成后需按原路径返回至用户原有账户。（若导致使用人财产损失，由中标人承担全部经济赔偿和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6.投标人须在经营场所醒目位置公示营业执照等相关证件。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7.所提供的充电站外观需按照采购人要求进行设计张贴，高品质符合同等质量标准，与医院整体风格相协调，且需</w:t>
      </w:r>
      <w:r>
        <w:rPr>
          <w:rFonts w:hint="eastAsia" w:ascii="微软雅黑" w:hAnsi="微软雅黑" w:eastAsia="微软雅黑" w:cs="微软雅黑"/>
          <w:sz w:val="24"/>
          <w:szCs w:val="24"/>
          <w:lang w:eastAsia="zh-CN"/>
        </w:rPr>
        <w:t>报采购人</w:t>
      </w:r>
      <w:r>
        <w:rPr>
          <w:rFonts w:hint="eastAsia" w:ascii="微软雅黑" w:hAnsi="微软雅黑" w:eastAsia="微软雅黑" w:cs="微软雅黑"/>
          <w:sz w:val="24"/>
          <w:szCs w:val="24"/>
          <w:lang w:val="en-US" w:eastAsia="zh-CN"/>
        </w:rPr>
        <w:t>审核同意后方可实施，设备不得有明显噪声。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8.投标人需对投入的设备进行编号管理，并在系统进行展示，便于采购人进行查阅、核对和监管。</w:t>
      </w:r>
    </w:p>
    <w:p>
      <w:pPr>
        <w:snapToGrid w:val="0"/>
        <w:spacing w:line="400" w:lineRule="exact"/>
        <w:ind w:firstLine="480" w:firstLineChars="200"/>
        <w:rPr>
          <w:rFonts w:hint="eastAsia" w:ascii="微软雅黑" w:hAnsi="微软雅黑" w:eastAsia="微软雅黑" w:cs="微软雅黑"/>
          <w:b/>
          <w:sz w:val="44"/>
          <w:szCs w:val="20"/>
        </w:rPr>
      </w:pPr>
      <w:r>
        <w:rPr>
          <w:rFonts w:hint="eastAsia" w:ascii="微软雅黑" w:hAnsi="微软雅黑" w:eastAsia="微软雅黑" w:cs="微软雅黑"/>
          <w:sz w:val="24"/>
          <w:szCs w:val="24"/>
          <w:lang w:val="en-US" w:eastAsia="zh-CN"/>
        </w:rPr>
        <w:t>9.结合现场实际使用需求，采购人有权要求投标人按照采购人需求进行设备更换或更新，投标人需无条件按照采购人要求提供或更换符合采购人需求的设备。</w:t>
      </w:r>
      <w:r>
        <w:rPr>
          <w:rFonts w:hint="eastAsia" w:ascii="微软雅黑" w:hAnsi="微软雅黑" w:eastAsia="微软雅黑" w:cs="微软雅黑"/>
          <w:b/>
          <w:sz w:val="44"/>
          <w:szCs w:val="20"/>
        </w:rPr>
        <w:br w:type="page"/>
      </w:r>
    </w:p>
    <w:p>
      <w:pPr>
        <w:pStyle w:val="5"/>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0"/>
      <w:bookmarkEnd w:id="81"/>
      <w:bookmarkEnd w:id="82"/>
      <w:bookmarkEnd w:id="86"/>
    </w:p>
    <w:tbl>
      <w:tblPr>
        <w:tblStyle w:val="59"/>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7" w:name="_Toc106030887"/>
            <w:bookmarkStart w:id="88" w:name="_Toc6692"/>
            <w:bookmarkStart w:id="89" w:name="_Toc76462332"/>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合同期限、实施地点及考核方式</w:t>
            </w:r>
          </w:p>
        </w:tc>
        <w:tc>
          <w:tcPr>
            <w:tcW w:w="4271" w:type="pct"/>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right="0"/>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服务期限：自合同签订起3年</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right="0"/>
              <w:textAlignment w:val="auto"/>
              <w:rPr>
                <w:rFonts w:hint="default"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服务地点：重庆医科大学附属儿童医院</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验收标准：合法经营，不得妨碍医院的正常医疗秩序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464" w:type="dxa"/>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w:t>
            </w:r>
          </w:p>
        </w:tc>
        <w:tc>
          <w:tcPr>
            <w:tcW w:w="8590" w:type="dxa"/>
            <w:vAlign w:val="center"/>
          </w:tcPr>
          <w:p>
            <w:pPr>
              <w:pStyle w:val="144"/>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中标人需在签定合同前缴纳10000元作为履约保证金到招标人指定帐户。履约保证金在合同期满，无任何违约和纠纷，将设备设施按合同截止日期清理出场。在招标方验收场地并且解除服务合同后，由投标人提出书面申请，30个工作内无息退还。投标人如有违规，医院有权从保证金中扣除医院及有关人员所受到的经济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该项目为一次性报价，按每月收益分成比例报价，报价应包含电费在内（最终报价以响应文件中的报价为准，开标现场不在议价）。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结算方式：中标人每月5日（如遇休息日、节假日顺延至休息日、节假日结束后的第一个工作日）根据上月整月所产生的收入与职能管理部门核对确认后，将结算款项付款至院方指定账户。未按期付款，招标人有权终止本合同，同时中标人按欠款总金额的0.05%/天向招标人支付违约金。</w:t>
            </w:r>
          </w:p>
          <w:p>
            <w:pPr>
              <w:pStyle w:val="144"/>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付款方式：银行转账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pStyle w:val="144"/>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0" w:lineRule="exact"/>
              <w:ind w:left="0" w:right="0"/>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1.违约责任：</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1）合同履行期间，中标人若违反国家法律、法规及合同约定，情节轻微的，发生一次扣罚1000元违约金，对采购人造成较大负面影响的，采购人有权单方面终止合同，没收全部履约保证金，由此产生的一切经济损失和法律责任由投标人全部承担，并将中标人纳入后续合作的黑名单。</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2）合同履行期间，中标人所发生的所有安全问题（如消防、治安、质量、食品、人身及财产安全等）由中标人承担由此造成的一切经济损失和法律责任，采购人有权单方面终止合同，没收全部履约保证金，并将中标人纳入后续合作的黑名单。</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3）中标人利用承租场地进行违法活动的，采购人有权单方面终止合同，并提前收回出租场地，没收全部履约保证金，同时对除违约金以外的实际损失进行赔偿。由此所产生的所有经济损失和法律责任由中标人全部承担</w:t>
            </w:r>
            <w:bookmarkStart w:id="90" w:name="OLE_LINK1"/>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，并将中标人纳入后续合作的黑名单</w:t>
            </w:r>
            <w:bookmarkEnd w:id="90"/>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0" w:lineRule="exact"/>
              <w:ind w:left="0" w:right="0" w:firstLine="420" w:firstLineChars="200"/>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4）中标人在履行本合同过程中发生的侵害采购人或第三人人身损害及财产损失的，由中标人承担一切经济损失和法律责任，并负责解决。若造成较大影响或给采购人及第三方造成重大经济损失的，采购人有权单方面终止合同，没收全部履约保证金，并将中标人纳入后续合作的黑名单。</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0" w:lineRule="exact"/>
              <w:ind w:left="0" w:right="0" w:firstLine="420" w:firstLineChars="200"/>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5）合同履行期间，中标人中途确需提前退租的，必须提前3个月以上、以书面形式告知采购人，并征得采购人书面同意，但履约保证金不予退还，同时纳入黑名单，三年之内不能参加采购人的项目投标。未取得采购人书面同意而擅自提前退租的，由此所产生的所有经济损失和法律责任由中标人全部承担。</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6）中标人如逾期支付管理费、电费、水费、物业费等任何费用，每逾期一日，按应付金额的5‰向采购人支付滞纳金。如超期三个月没有缴纳，采购人有权解除本合同，并没收全部履约保证金，同时追偿中标人所欠费用，并将中标人纳入后续合作的黑名单。</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10" w:lineRule="exact"/>
              <w:ind w:left="0" w:right="0" w:firstLine="420" w:firstLineChars="200"/>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7）合同履行期间，中标人如出现超合同范围、超经营面积、违反采购人管理规定、消防管理规定（包括但不限于遮挡、损坏、私自拆除消防器材、消防设施设备、消防通道等）的情况，发生一次扣罚1000-5000元违约金，并按要求进行整改。发生三次及以上，采购人有权单方面终止合同，没收全部履约保证金，并将中标人纳入后续合作的黑名单。</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8）中标人在合同履行期间，若受到相关政府行政主管部门警告、处罚、勒令整改的，发生一次扣罚1000-5000元违约金，并按要求进行整改。发生三次及以上，采购人有权单方面终止合同，没收全部履约保证金，并将中标人纳入后续合作的黑名单。</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9）中标人未经采购人书面许可，不得在医院内外张贴任何广告或有偿告示，发生一次扣罚1000元违约金，并按照要求进行整改。发生三次及以上，采购人有权单方面终止合同，没收全部履约保证金，并将中标人纳入后续合作的黑名单。</w:t>
            </w:r>
          </w:p>
          <w:p>
            <w:pPr>
              <w:keepNext w:val="0"/>
              <w:keepLines w:val="0"/>
              <w:widowControl w:val="0"/>
              <w:suppressLineNumbers w:val="0"/>
              <w:spacing w:before="0" w:beforeAutospacing="0" w:after="0" w:afterAutospacing="0"/>
              <w:ind w:left="0" w:right="0" w:firstLine="420" w:firstLineChars="200"/>
              <w:jc w:val="both"/>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10）中标人如出现除去上述约定的违约行为外，中标人应当立即更正，如中标人出现除去上述约定的违约行为三个月内仍未更正，采购人有权单方面终止合同，没收全部履约保证金，并将中标人纳入后续合作的黑名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420" w:firstLineChars="200"/>
              <w:jc w:val="left"/>
              <w:textAlignment w:val="auto"/>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（11）若履约保证金无法满足违约赔付的，采购人有权进行追偿并依法追究其相应法律责任。</w:t>
            </w:r>
          </w:p>
          <w:p>
            <w:pPr>
              <w:keepNext w:val="0"/>
              <w:keepLines w:val="0"/>
              <w:suppressLineNumbers w:val="0"/>
              <w:spacing w:before="0" w:beforeAutospacing="0" w:after="0" w:afterAutospacing="0"/>
              <w:ind w:left="0" w:right="0" w:firstLine="420" w:firstLineChars="200"/>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1"/>
                <w:szCs w:val="21"/>
                <w:lang w:val="en-US" w:eastAsia="zh-CN" w:bidi="ar-SA"/>
                <w14:textFill>
                  <w14:solidFill>
                    <w14:schemeClr w14:val="tx1"/>
                  </w14:solidFill>
                </w14:textFill>
              </w:rPr>
              <w:t>（12）自助售货机所有权归中标人所有，采购人不负责保管。售货机若有损坏或丢失，责任由中标人自负。</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7"/>
    <w:bookmarkEnd w:id="88"/>
    <w:bookmarkEnd w:id="89"/>
    <w:p>
      <w:pPr>
        <w:pStyle w:val="5"/>
        <w:pageBreakBefore w:val="0"/>
        <w:spacing w:before="200" w:after="200" w:line="240" w:lineRule="auto"/>
        <w:jc w:val="center"/>
        <w:rPr>
          <w:rFonts w:hint="eastAsia" w:ascii="微软雅黑" w:hAnsi="微软雅黑" w:eastAsia="微软雅黑" w:cs="微软雅黑"/>
          <w:b/>
          <w:sz w:val="44"/>
          <w:szCs w:val="20"/>
        </w:rPr>
      </w:pPr>
      <w:bookmarkStart w:id="91" w:name="_Toc18343"/>
      <w:bookmarkStart w:id="92" w:name="_Toc12791"/>
      <w:bookmarkStart w:id="93" w:name="_Toc64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91"/>
      <w:bookmarkEnd w:id="92"/>
      <w:bookmarkEnd w:id="93"/>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4" w:name="_Toc5379"/>
      <w:bookmarkStart w:id="95" w:name="_Toc14958"/>
      <w:bookmarkStart w:id="96" w:name="_Toc28885"/>
      <w:bookmarkStart w:id="97" w:name="_Toc106030888"/>
      <w:bookmarkStart w:id="98"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4"/>
      <w:bookmarkEnd w:id="95"/>
      <w:bookmarkEnd w:id="96"/>
      <w:bookmarkEnd w:id="97"/>
      <w:bookmarkEnd w:id="9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9" w:name="_Toc4495"/>
      <w:bookmarkStart w:id="100" w:name="_Toc30792"/>
      <w:bookmarkStart w:id="101" w:name="_Toc25824"/>
      <w:bookmarkStart w:id="102" w:name="_Toc76462335"/>
      <w:bookmarkStart w:id="103" w:name="_Toc31497"/>
      <w:bookmarkStart w:id="104" w:name="_Toc106030890"/>
      <w:bookmarkStart w:id="105" w:name="_Toc342913394"/>
      <w:bookmarkStart w:id="106" w:name="_Toc102227320"/>
      <w:r>
        <w:rPr>
          <w:rFonts w:hint="eastAsia" w:ascii="微软雅黑" w:hAnsi="微软雅黑" w:eastAsia="微软雅黑" w:cs="微软雅黑"/>
          <w:color w:val="auto"/>
          <w:sz w:val="24"/>
          <w:lang w:val="en-US" w:eastAsia="zh-CN"/>
        </w:rPr>
        <w:t>二、报价方式</w:t>
      </w:r>
      <w:bookmarkEnd w:id="99"/>
      <w:bookmarkEnd w:id="100"/>
    </w:p>
    <w:p>
      <w:pPr>
        <w:pStyle w:val="5"/>
        <w:adjustRightInd w:val="0"/>
        <w:snapToGrid w:val="0"/>
        <w:spacing w:before="0" w:after="0" w:line="400" w:lineRule="exact"/>
        <w:ind w:firstLine="480" w:firstLineChars="200"/>
        <w:rPr>
          <w:rFonts w:hint="eastAsia" w:ascii="微软雅黑" w:hAnsi="微软雅黑" w:eastAsia="微软雅黑" w:cs="微软雅黑"/>
          <w:b w:val="0"/>
          <w:bCs/>
          <w:color w:val="auto"/>
          <w:sz w:val="24"/>
          <w:u w:val="single"/>
          <w:lang w:val="en-US" w:eastAsia="zh-CN"/>
        </w:rPr>
      </w:pPr>
      <w:r>
        <w:rPr>
          <w:rFonts w:hint="eastAsia" w:ascii="微软雅黑" w:hAnsi="微软雅黑" w:eastAsia="微软雅黑" w:cs="微软雅黑"/>
          <w:b w:val="0"/>
          <w:bCs w:val="0"/>
          <w:sz w:val="24"/>
          <w:szCs w:val="24"/>
          <w:u w:val="none"/>
          <w:lang w:val="en-US" w:eastAsia="zh-CN"/>
        </w:rPr>
        <w:t>该项目为一次性报价，以响应</w:t>
      </w:r>
      <w:bookmarkStart w:id="178" w:name="_GoBack"/>
      <w:bookmarkEnd w:id="178"/>
      <w:r>
        <w:rPr>
          <w:rFonts w:hint="eastAsia" w:ascii="微软雅黑" w:hAnsi="微软雅黑" w:eastAsia="微软雅黑" w:cs="微软雅黑"/>
          <w:b w:val="0"/>
          <w:bCs w:val="0"/>
          <w:sz w:val="24"/>
          <w:szCs w:val="24"/>
          <w:u w:val="none"/>
          <w:lang w:val="en-US" w:eastAsia="zh-CN"/>
        </w:rPr>
        <w:t>文件中的报价为最终报价，现场不再议价。</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7" w:name="_Toc9278"/>
      <w:bookmarkStart w:id="108" w:name="_Toc27607"/>
      <w:r>
        <w:rPr>
          <w:rFonts w:hint="eastAsia" w:ascii="微软雅黑" w:hAnsi="微软雅黑" w:eastAsia="微软雅黑" w:cs="微软雅黑"/>
          <w:color w:val="auto"/>
          <w:sz w:val="24"/>
          <w:lang w:val="en-US" w:eastAsia="zh-CN"/>
        </w:rPr>
        <w:t>三、评标方法</w:t>
      </w:r>
      <w:bookmarkEnd w:id="101"/>
      <w:bookmarkEnd w:id="107"/>
      <w:bookmarkEnd w:id="10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w:t>
      </w:r>
      <w:r>
        <w:rPr>
          <w:rFonts w:hint="eastAsia" w:ascii="微软雅黑" w:hAnsi="微软雅黑" w:eastAsia="微软雅黑" w:cs="微软雅黑"/>
          <w:kern w:val="0"/>
          <w:sz w:val="24"/>
          <w:szCs w:val="24"/>
          <w:lang w:eastAsia="zh-CN"/>
        </w:rPr>
        <w:t>高</w:t>
      </w:r>
      <w:r>
        <w:rPr>
          <w:rFonts w:hint="eastAsia" w:ascii="微软雅黑" w:hAnsi="微软雅黑" w:eastAsia="微软雅黑" w:cs="微软雅黑"/>
          <w:kern w:val="0"/>
          <w:sz w:val="24"/>
          <w:szCs w:val="24"/>
        </w:rPr>
        <w:t>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w:t>
      </w:r>
      <w:r>
        <w:rPr>
          <w:rFonts w:hint="eastAsia" w:ascii="微软雅黑" w:hAnsi="微软雅黑" w:eastAsia="微软雅黑" w:cs="微软雅黑"/>
          <w:kern w:val="0"/>
          <w:sz w:val="24"/>
          <w:szCs w:val="24"/>
          <w:lang w:eastAsia="zh-CN"/>
        </w:rPr>
        <w:t>高</w:t>
      </w:r>
      <w:r>
        <w:rPr>
          <w:rFonts w:hint="eastAsia" w:ascii="微软雅黑" w:hAnsi="微软雅黑" w:eastAsia="微软雅黑" w:cs="微软雅黑"/>
          <w:kern w:val="0"/>
          <w:sz w:val="24"/>
          <w:szCs w:val="24"/>
        </w:rPr>
        <w:t>价评标法，是指响应文件满足公开比选采购文件全部实质性要求且投标报价最</w:t>
      </w:r>
      <w:r>
        <w:rPr>
          <w:rFonts w:hint="eastAsia" w:ascii="微软雅黑" w:hAnsi="微软雅黑" w:eastAsia="微软雅黑" w:cs="微软雅黑"/>
          <w:kern w:val="0"/>
          <w:sz w:val="24"/>
          <w:szCs w:val="24"/>
          <w:lang w:eastAsia="zh-CN"/>
        </w:rPr>
        <w:t>高</w:t>
      </w:r>
      <w:r>
        <w:rPr>
          <w:rFonts w:hint="eastAsia" w:ascii="微软雅黑" w:hAnsi="微软雅黑" w:eastAsia="微软雅黑" w:cs="微软雅黑"/>
          <w:kern w:val="0"/>
          <w:sz w:val="24"/>
          <w:szCs w:val="24"/>
        </w:rPr>
        <w:t>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w:t>
      </w:r>
      <w:r>
        <w:rPr>
          <w:rFonts w:hint="eastAsia" w:ascii="微软雅黑" w:hAnsi="微软雅黑" w:eastAsia="微软雅黑" w:cs="微软雅黑"/>
          <w:kern w:val="0"/>
          <w:sz w:val="24"/>
          <w:szCs w:val="24"/>
          <w:lang w:eastAsia="zh-CN"/>
        </w:rPr>
        <w:t>高</w:t>
      </w:r>
      <w:r>
        <w:rPr>
          <w:rFonts w:hint="eastAsia" w:ascii="微软雅黑" w:hAnsi="微软雅黑" w:eastAsia="微软雅黑" w:cs="微软雅黑"/>
          <w:kern w:val="0"/>
          <w:sz w:val="24"/>
          <w:szCs w:val="24"/>
        </w:rPr>
        <w:t>到</w:t>
      </w:r>
      <w:r>
        <w:rPr>
          <w:rFonts w:hint="eastAsia" w:ascii="微软雅黑" w:hAnsi="微软雅黑" w:eastAsia="微软雅黑" w:cs="微软雅黑"/>
          <w:kern w:val="0"/>
          <w:sz w:val="24"/>
          <w:szCs w:val="24"/>
          <w:lang w:eastAsia="zh-CN"/>
        </w:rPr>
        <w:t>低</w:t>
      </w:r>
      <w:r>
        <w:rPr>
          <w:rFonts w:hint="eastAsia" w:ascii="微软雅黑" w:hAnsi="微软雅黑" w:eastAsia="微软雅黑" w:cs="微软雅黑"/>
          <w:kern w:val="0"/>
          <w:sz w:val="24"/>
          <w:szCs w:val="24"/>
        </w:rPr>
        <w:t>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评标结果按投标报价由高到低顺序排列，若投标报价相同的由评标小组推荐中标候选人。</w:t>
      </w:r>
    </w:p>
    <w:p>
      <w:pPr>
        <w:snapToGrid w:val="0"/>
        <w:spacing w:line="400" w:lineRule="exact"/>
        <w:ind w:firstLine="480" w:firstLineChars="200"/>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2"/>
        <w:rPr>
          <w:rFonts w:hint="eastAsia"/>
        </w:rPr>
      </w:pPr>
    </w:p>
    <w:p>
      <w:pPr>
        <w:pStyle w:val="5"/>
        <w:numPr>
          <w:ilvl w:val="0"/>
          <w:numId w:val="14"/>
        </w:numPr>
        <w:adjustRightInd w:val="0"/>
        <w:snapToGrid w:val="0"/>
        <w:spacing w:before="0" w:after="0" w:line="400" w:lineRule="exact"/>
        <w:ind w:left="560" w:leftChars="0" w:firstLine="480" w:firstLineChars="0"/>
        <w:rPr>
          <w:rFonts w:hint="eastAsia" w:ascii="微软雅黑" w:hAnsi="微软雅黑" w:eastAsia="微软雅黑" w:cs="微软雅黑"/>
          <w:color w:val="auto"/>
          <w:sz w:val="24"/>
          <w:lang w:val="en-US" w:eastAsia="zh-CN"/>
        </w:rPr>
      </w:pPr>
      <w:bookmarkStart w:id="109" w:name="_Toc106030889"/>
      <w:bookmarkStart w:id="110" w:name="_Toc5973"/>
      <w:bookmarkStart w:id="111" w:name="_Toc11400"/>
      <w:bookmarkStart w:id="112" w:name="_Toc30944"/>
      <w:bookmarkStart w:id="113" w:name="_Toc18577"/>
      <w:bookmarkStart w:id="114" w:name="_Toc76462334"/>
      <w:r>
        <w:rPr>
          <w:rFonts w:hint="eastAsia" w:ascii="微软雅黑" w:hAnsi="微软雅黑" w:eastAsia="微软雅黑" w:cs="微软雅黑"/>
          <w:color w:val="auto"/>
          <w:sz w:val="24"/>
          <w:lang w:val="en-US" w:eastAsia="zh-CN"/>
        </w:rPr>
        <w:t>评审标准</w:t>
      </w:r>
      <w:bookmarkEnd w:id="109"/>
      <w:bookmarkEnd w:id="110"/>
      <w:bookmarkEnd w:id="111"/>
      <w:bookmarkEnd w:id="112"/>
      <w:bookmarkEnd w:id="113"/>
      <w:bookmarkEnd w:id="11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rPr>
          <w:rFonts w:hint="eastAsia"/>
          <w:lang w:val="en-US" w:eastAsia="zh-CN"/>
        </w:rPr>
      </w:pPr>
    </w:p>
    <w:p>
      <w:pPr>
        <w:numPr>
          <w:ilvl w:val="0"/>
          <w:numId w:val="0"/>
        </w:numPr>
        <w:rPr>
          <w:rFonts w:hint="eastAsia"/>
          <w:lang w:val="en-US" w:eastAsia="zh-CN"/>
        </w:rPr>
      </w:pP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32522"/>
      <w:bookmarkStart w:id="116" w:name="_Toc29489"/>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02"/>
      <w:bookmarkEnd w:id="103"/>
      <w:bookmarkEnd w:id="104"/>
      <w:bookmarkEnd w:id="115"/>
      <w:bookmarkEnd w:id="11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7" w:name="_Toc106030891"/>
      <w:bookmarkStart w:id="118" w:name="_Toc76462336"/>
      <w:bookmarkStart w:id="119" w:name="_Toc10687"/>
      <w:bookmarkStart w:id="120" w:name="_Toc27153"/>
      <w:bookmarkStart w:id="121"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5"/>
      <w:bookmarkEnd w:id="106"/>
      <w:bookmarkEnd w:id="117"/>
      <w:bookmarkEnd w:id="118"/>
      <w:bookmarkEnd w:id="119"/>
      <w:r>
        <w:rPr>
          <w:rFonts w:hint="eastAsia" w:ascii="微软雅黑" w:hAnsi="微软雅黑" w:eastAsia="微软雅黑" w:cs="微软雅黑"/>
          <w:sz w:val="24"/>
          <w:lang w:val="en-US" w:eastAsia="zh-CN"/>
        </w:rPr>
        <w:t>废标条款</w:t>
      </w:r>
      <w:bookmarkEnd w:id="120"/>
      <w:bookmarkEnd w:id="12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（挂网公示次数大于等于3次的除外）</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122" w:name="_Toc29948"/>
      <w:bookmarkStart w:id="123" w:name="_Toc102227313"/>
      <w:bookmarkStart w:id="124" w:name="_Toc76462337"/>
      <w:bookmarkStart w:id="125" w:name="_Toc106030892"/>
      <w:bookmarkStart w:id="126" w:name="_Toc21319"/>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2"/>
      <w:bookmarkEnd w:id="123"/>
      <w:bookmarkEnd w:id="124"/>
      <w:bookmarkEnd w:id="125"/>
      <w:bookmarkEnd w:id="126"/>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7" w:name="_Toc76462338"/>
      <w:bookmarkStart w:id="128" w:name="_Toc25328"/>
      <w:bookmarkStart w:id="129" w:name="_Toc342913389"/>
      <w:bookmarkStart w:id="130" w:name="_Toc26717"/>
      <w:bookmarkStart w:id="131" w:name="_Toc10603089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7"/>
      <w:bookmarkEnd w:id="128"/>
      <w:bookmarkEnd w:id="129"/>
      <w:bookmarkEnd w:id="130"/>
      <w:bookmarkEnd w:id="131"/>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4"/>
      <w:bookmarkStart w:id="133" w:name="_Toc15712"/>
      <w:bookmarkStart w:id="134" w:name="_Toc13193"/>
      <w:bookmarkStart w:id="135" w:name="_Toc342913391"/>
      <w:bookmarkStart w:id="136"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2"/>
      <w:bookmarkEnd w:id="133"/>
      <w:bookmarkEnd w:id="134"/>
      <w:bookmarkEnd w:id="135"/>
      <w:bookmarkEnd w:id="13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7" w:name="_Toc318159349"/>
      <w:bookmarkStart w:id="138" w:name="_Toc318159160"/>
      <w:bookmarkStart w:id="139" w:name="_Toc318159780"/>
      <w:bookmarkStart w:id="140" w:name="_Toc318166429"/>
    </w:p>
    <w:bookmarkEnd w:id="137"/>
    <w:bookmarkEnd w:id="138"/>
    <w:bookmarkEnd w:id="139"/>
    <w:bookmarkEnd w:id="140"/>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24243"/>
      <w:bookmarkStart w:id="142" w:name="_Toc179714297"/>
      <w:bookmarkStart w:id="143" w:name="_Toc26007"/>
      <w:bookmarkStart w:id="144" w:name="_Toc342913392"/>
      <w:bookmarkStart w:id="145" w:name="_Toc102227318"/>
      <w:bookmarkStart w:id="146" w:name="_Toc106030895"/>
      <w:bookmarkStart w:id="147" w:name="_Toc7646234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41"/>
      <w:bookmarkEnd w:id="142"/>
      <w:bookmarkEnd w:id="143"/>
      <w:bookmarkEnd w:id="144"/>
      <w:bookmarkEnd w:id="145"/>
      <w:bookmarkEnd w:id="146"/>
      <w:bookmarkEnd w:id="14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eastAsia="zh-CN"/>
        </w:rPr>
        <w:t>六</w:t>
      </w:r>
      <w:r>
        <w:rPr>
          <w:rFonts w:hint="eastAsia" w:ascii="微软雅黑" w:hAnsi="微软雅黑" w:eastAsia="微软雅黑" w:cs="微软雅黑"/>
          <w:b/>
          <w:bCs/>
          <w:color w:val="auto"/>
          <w:sz w:val="24"/>
          <w:szCs w:val="24"/>
          <w:u w:val="single"/>
        </w:rPr>
        <w:t>份，电子文档一份（</w:t>
      </w:r>
      <w:r>
        <w:rPr>
          <w:rFonts w:hint="eastAsia" w:ascii="微软雅黑" w:hAnsi="微软雅黑" w:eastAsia="微软雅黑" w:cs="微软雅黑"/>
          <w:b/>
          <w:bCs/>
          <w:color w:val="auto"/>
          <w:sz w:val="24"/>
          <w:szCs w:val="24"/>
          <w:u w:val="single"/>
          <w:lang w:val="en-US" w:eastAsia="zh-CN"/>
        </w:rPr>
        <w:t>电子文档为完整的响应文件正本PDF版，须上传至</w:t>
      </w:r>
      <w:r>
        <w:rPr>
          <w:rFonts w:hint="eastAsia" w:ascii="微软雅黑" w:hAnsi="微软雅黑" w:eastAsia="微软雅黑" w:cs="微软雅黑"/>
          <w:b/>
          <w:bCs/>
          <w:color w:val="auto"/>
          <w:sz w:val="24"/>
          <w:szCs w:val="24"/>
          <w:u w:val="single"/>
        </w:rPr>
        <w:t>电子招投标平台）</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b/>
          <w:bCs/>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8" w:name="_Toc29505"/>
      <w:bookmarkStart w:id="149" w:name="_Toc76462341"/>
      <w:bookmarkStart w:id="150" w:name="_Toc6435"/>
      <w:bookmarkStart w:id="151"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8"/>
      <w:bookmarkEnd w:id="149"/>
      <w:bookmarkEnd w:id="150"/>
      <w:bookmarkEnd w:id="15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342913395"/>
      <w:bookmarkStart w:id="153" w:name="_Toc106030897"/>
      <w:bookmarkStart w:id="154" w:name="_Toc102227321"/>
      <w:bookmarkStart w:id="155" w:name="_Toc21532"/>
      <w:bookmarkStart w:id="156" w:name="_Toc27809"/>
      <w:bookmarkStart w:id="157" w:name="_Toc76462342"/>
      <w:r>
        <w:rPr>
          <w:rFonts w:hint="eastAsia" w:ascii="微软雅黑" w:hAnsi="微软雅黑" w:eastAsia="微软雅黑" w:cs="微软雅黑"/>
          <w:sz w:val="24"/>
        </w:rPr>
        <w:t>五、成交通知</w:t>
      </w:r>
      <w:bookmarkEnd w:id="152"/>
      <w:bookmarkEnd w:id="153"/>
      <w:bookmarkEnd w:id="154"/>
      <w:bookmarkEnd w:id="155"/>
      <w:bookmarkEnd w:id="156"/>
      <w:bookmarkEnd w:id="15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确定后，招标办将在重庆医科大学附属儿童医院电子招投标平台（zbb.chcmu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将</w:t>
      </w:r>
      <w:r>
        <w:rPr>
          <w:rFonts w:hint="eastAsia" w:ascii="微软雅黑" w:hAnsi="微软雅黑" w:eastAsia="微软雅黑" w:cs="微软雅黑"/>
          <w:sz w:val="24"/>
          <w:szCs w:val="24"/>
          <w:lang w:eastAsia="zh-CN"/>
        </w:rPr>
        <w:t>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8" w:name="_Toc106030898"/>
      <w:bookmarkStart w:id="159" w:name="_Toc12243"/>
      <w:bookmarkStart w:id="160" w:name="_Toc21448"/>
      <w:bookmarkStart w:id="161"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2" w:name="_Toc106030899"/>
      <w:bookmarkStart w:id="163" w:name="_Toc76462344"/>
      <w:bookmarkStart w:id="164" w:name="_Toc28334"/>
    </w:p>
    <w:p>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5" w:name="_Toc6908"/>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2"/>
      <w:bookmarkEnd w:id="163"/>
      <w:bookmarkEnd w:id="164"/>
      <w:bookmarkStart w:id="166" w:name="_Toc102227322"/>
      <w:bookmarkStart w:id="167" w:name="_Toc342913396"/>
      <w:bookmarkStart w:id="168" w:name="_Toc3372"/>
      <w:bookmarkStart w:id="169" w:name="_Toc106030901"/>
      <w:bookmarkStart w:id="170" w:name="_Toc76462346"/>
      <w:bookmarkStart w:id="171" w:name="_Toc12789059"/>
      <w:bookmarkStart w:id="172" w:name="_Toc11641055"/>
      <w:r>
        <w:rPr>
          <w:rFonts w:hint="eastAsia" w:ascii="微软雅黑" w:hAnsi="微软雅黑" w:eastAsia="微软雅黑" w:cs="微软雅黑"/>
          <w:color w:val="auto"/>
          <w:sz w:val="24"/>
        </w:rPr>
        <w:t>签订</w:t>
      </w:r>
      <w:bookmarkEnd w:id="166"/>
      <w:r>
        <w:rPr>
          <w:rFonts w:hint="eastAsia" w:ascii="微软雅黑" w:hAnsi="微软雅黑" w:eastAsia="微软雅黑" w:cs="微软雅黑"/>
          <w:color w:val="auto"/>
          <w:sz w:val="24"/>
        </w:rPr>
        <w:t>合同</w:t>
      </w:r>
      <w:bookmarkEnd w:id="165"/>
      <w:bookmarkEnd w:id="167"/>
      <w:bookmarkEnd w:id="168"/>
      <w:bookmarkEnd w:id="169"/>
      <w:bookmarkEnd w:id="170"/>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71"/>
      <w:bookmarkEnd w:id="172"/>
    </w:p>
    <w:p>
      <w:pPr>
        <w:pStyle w:val="5"/>
        <w:spacing w:before="200" w:after="200" w:line="240" w:lineRule="auto"/>
        <w:jc w:val="center"/>
        <w:rPr>
          <w:rFonts w:hint="eastAsia" w:ascii="微软雅黑" w:hAnsi="微软雅黑" w:eastAsia="微软雅黑" w:cs="微软雅黑"/>
          <w:b/>
          <w:sz w:val="44"/>
          <w:szCs w:val="20"/>
        </w:rPr>
      </w:pPr>
      <w:bookmarkStart w:id="173" w:name="_Hlt41879464"/>
      <w:bookmarkEnd w:id="173"/>
      <w:bookmarkStart w:id="174" w:name="_Toc13112"/>
      <w:bookmarkStart w:id="175" w:name="_Toc106030905"/>
      <w:bookmarkStart w:id="176" w:name="_Toc76462349"/>
      <w:bookmarkStart w:id="177" w:name="_Toc27984"/>
      <w:r>
        <w:rPr>
          <w:rFonts w:hint="eastAsia" w:ascii="微软雅黑" w:hAnsi="微软雅黑" w:eastAsia="微软雅黑" w:cs="微软雅黑"/>
          <w:b/>
          <w:sz w:val="44"/>
          <w:szCs w:val="20"/>
        </w:rPr>
        <w:t>第六篇  响应文件编制要求</w:t>
      </w:r>
      <w:bookmarkEnd w:id="174"/>
      <w:bookmarkEnd w:id="175"/>
      <w:bookmarkEnd w:id="176"/>
      <w:bookmarkEnd w:id="17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ind w:firstLine="2640" w:firstLineChars="1100"/>
        <w:rPr>
          <w:rFonts w:hint="eastAsia" w:ascii="微软雅黑" w:hAnsi="微软雅黑" w:eastAsia="微软雅黑" w:cs="微软雅黑"/>
          <w:sz w:val="24"/>
          <w:szCs w:val="24"/>
        </w:rPr>
      </w:pPr>
    </w:p>
    <w:p>
      <w:pPr>
        <w:ind w:firstLine="2640" w:firstLineChars="1100"/>
        <w:rPr>
          <w:rFonts w:hint="eastAsia" w:ascii="微软雅黑" w:hAnsi="微软雅黑" w:eastAsia="微软雅黑" w:cs="微软雅黑"/>
          <w:sz w:val="24"/>
          <w:szCs w:val="24"/>
        </w:rPr>
      </w:pPr>
    </w:p>
    <w:p>
      <w:pPr>
        <w:ind w:firstLine="2640" w:firstLineChars="1100"/>
        <w:rPr>
          <w:rFonts w:hint="eastAsia" w:ascii="微软雅黑" w:hAnsi="微软雅黑" w:eastAsia="微软雅黑" w:cs="微软雅黑"/>
          <w:sz w:val="24"/>
          <w:szCs w:val="24"/>
        </w:rPr>
      </w:pPr>
    </w:p>
    <w:p>
      <w:pPr>
        <w:ind w:firstLine="2640" w:firstLineChars="1100"/>
        <w:rPr>
          <w:rFonts w:hint="eastAsia" w:ascii="微软雅黑" w:hAnsi="微软雅黑" w:eastAsia="微软雅黑" w:cs="微软雅黑"/>
          <w:sz w:val="24"/>
          <w:szCs w:val="24"/>
        </w:rPr>
      </w:pPr>
    </w:p>
    <w:p>
      <w:pPr>
        <w:ind w:firstLine="2640" w:firstLineChars="1100"/>
        <w:rPr>
          <w:rFonts w:hint="eastAsia" w:ascii="微软雅黑" w:hAnsi="微软雅黑" w:eastAsia="微软雅黑" w:cs="微软雅黑"/>
          <w:sz w:val="24"/>
          <w:szCs w:val="24"/>
        </w:rPr>
      </w:pPr>
    </w:p>
    <w:p>
      <w:pPr>
        <w:ind w:firstLine="3120" w:firstLineChars="1300"/>
        <w:rPr>
          <w:rFonts w:hint="eastAsia" w:ascii="微软雅黑" w:hAnsi="微软雅黑" w:eastAsia="微软雅黑" w:cs="微软雅黑"/>
        </w:rPr>
      </w:pPr>
      <w:r>
        <w:rPr>
          <w:rFonts w:hint="eastAsia" w:ascii="微软雅黑" w:hAnsi="微软雅黑" w:eastAsia="微软雅黑" w:cs="微软雅黑"/>
          <w:sz w:val="24"/>
          <w:szCs w:val="24"/>
        </w:rPr>
        <w:t>（结束）</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MingLiU">
    <w:altName w:val="PMingLiU-ExtB"/>
    <w:panose1 w:val="02020509000000000000"/>
    <w:charset w:val="88"/>
    <w:family w:val="modern"/>
    <w:pitch w:val="default"/>
    <w:sig w:usb0="00000000" w:usb1="00000000" w:usb2="00000010" w:usb3="00000000" w:csb0="0010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3"/>
        <w:rFonts w:hint="eastAsia" w:ascii="宋体"/>
        <w:sz w:val="21"/>
        <w:szCs w:val="21"/>
      </w:rPr>
    </w:pPr>
    <w:r>
      <w:rPr>
        <w:rFonts w:ascii="宋体"/>
        <w:sz w:val="21"/>
        <w:szCs w:val="21"/>
      </w:rPr>
      <w:fldChar w:fldCharType="begin"/>
    </w:r>
    <w:r>
      <w:rPr>
        <w:rStyle w:val="63"/>
        <w:rFonts w:ascii="宋体"/>
        <w:sz w:val="21"/>
        <w:szCs w:val="21"/>
      </w:rPr>
      <w:instrText xml:space="preserve">PAGE  </w:instrText>
    </w:r>
    <w:r>
      <w:rPr>
        <w:rFonts w:ascii="宋体"/>
        <w:sz w:val="21"/>
        <w:szCs w:val="21"/>
      </w:rPr>
      <w:fldChar w:fldCharType="separate"/>
    </w:r>
    <w:r>
      <w:rPr>
        <w:rStyle w:val="63"/>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rPr>
        <w:rStyle w:val="63"/>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F853614"/>
    <w:multiLevelType w:val="singleLevel"/>
    <w:tmpl w:val="0F853614"/>
    <w:lvl w:ilvl="0" w:tentative="0">
      <w:start w:val="4"/>
      <w:numFmt w:val="chineseCounting"/>
      <w:suff w:val="nothing"/>
      <w:lvlText w:val="%1、"/>
      <w:lvlJc w:val="left"/>
      <w:pPr>
        <w:ind w:left="560"/>
      </w:pPr>
      <w:rPr>
        <w:rFonts w:hint="eastAsia"/>
      </w:r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3"/>
  </w:num>
  <w:num w:numId="2">
    <w:abstractNumId w:val="8"/>
  </w:num>
  <w:num w:numId="3">
    <w:abstractNumId w:val="5"/>
  </w:num>
  <w:num w:numId="4">
    <w:abstractNumId w:val="3"/>
  </w:num>
  <w:num w:numId="5">
    <w:abstractNumId w:val="9"/>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5AA6EFC"/>
    <w:rsid w:val="079B568B"/>
    <w:rsid w:val="07F103E0"/>
    <w:rsid w:val="092E6FC0"/>
    <w:rsid w:val="0A823A37"/>
    <w:rsid w:val="0B4077B6"/>
    <w:rsid w:val="0BB87E47"/>
    <w:rsid w:val="0BC54681"/>
    <w:rsid w:val="0BE364E6"/>
    <w:rsid w:val="0C0E4026"/>
    <w:rsid w:val="0D1F249B"/>
    <w:rsid w:val="0D6266C4"/>
    <w:rsid w:val="0DF26CD2"/>
    <w:rsid w:val="0E727B5D"/>
    <w:rsid w:val="0F8C1F64"/>
    <w:rsid w:val="147A5E14"/>
    <w:rsid w:val="15935DB5"/>
    <w:rsid w:val="15BB3449"/>
    <w:rsid w:val="17351C20"/>
    <w:rsid w:val="178B1D79"/>
    <w:rsid w:val="17A1211B"/>
    <w:rsid w:val="18ED7A84"/>
    <w:rsid w:val="19255AF5"/>
    <w:rsid w:val="193B151F"/>
    <w:rsid w:val="1A7E6296"/>
    <w:rsid w:val="1C5F6A76"/>
    <w:rsid w:val="1DFC08FC"/>
    <w:rsid w:val="1F0D01CA"/>
    <w:rsid w:val="21864056"/>
    <w:rsid w:val="21CC1828"/>
    <w:rsid w:val="2486441F"/>
    <w:rsid w:val="2AA01F44"/>
    <w:rsid w:val="2CD7370E"/>
    <w:rsid w:val="2E2D3EDF"/>
    <w:rsid w:val="2FCA6FD3"/>
    <w:rsid w:val="300C58E0"/>
    <w:rsid w:val="332D1E43"/>
    <w:rsid w:val="33564527"/>
    <w:rsid w:val="35397720"/>
    <w:rsid w:val="37A85EFC"/>
    <w:rsid w:val="38141CAD"/>
    <w:rsid w:val="39AA75C6"/>
    <w:rsid w:val="39C353F8"/>
    <w:rsid w:val="3ACE5D4F"/>
    <w:rsid w:val="3C55524B"/>
    <w:rsid w:val="3CD2331B"/>
    <w:rsid w:val="3DF6488D"/>
    <w:rsid w:val="3EEC6CD3"/>
    <w:rsid w:val="3F1C71CA"/>
    <w:rsid w:val="406334F2"/>
    <w:rsid w:val="409F14A1"/>
    <w:rsid w:val="415F6EA3"/>
    <w:rsid w:val="41B20BF4"/>
    <w:rsid w:val="42395B6E"/>
    <w:rsid w:val="423A7D1B"/>
    <w:rsid w:val="44D57484"/>
    <w:rsid w:val="452C7897"/>
    <w:rsid w:val="479F10AA"/>
    <w:rsid w:val="48794403"/>
    <w:rsid w:val="487A6880"/>
    <w:rsid w:val="48A25DD0"/>
    <w:rsid w:val="494C6B8D"/>
    <w:rsid w:val="497B7CB3"/>
    <w:rsid w:val="4A495912"/>
    <w:rsid w:val="4AEC1DD8"/>
    <w:rsid w:val="4B2D12E0"/>
    <w:rsid w:val="4BEB6B31"/>
    <w:rsid w:val="4C387DE5"/>
    <w:rsid w:val="4CAF1DE8"/>
    <w:rsid w:val="4D4E307F"/>
    <w:rsid w:val="4DD36371"/>
    <w:rsid w:val="4E1E28EC"/>
    <w:rsid w:val="4F070047"/>
    <w:rsid w:val="4F3C244F"/>
    <w:rsid w:val="5115115D"/>
    <w:rsid w:val="521E4A24"/>
    <w:rsid w:val="52D92ACB"/>
    <w:rsid w:val="52D93D20"/>
    <w:rsid w:val="53B4776F"/>
    <w:rsid w:val="53DF1E3A"/>
    <w:rsid w:val="53F0082F"/>
    <w:rsid w:val="55051FF5"/>
    <w:rsid w:val="558E730F"/>
    <w:rsid w:val="55D12ED5"/>
    <w:rsid w:val="56E34C35"/>
    <w:rsid w:val="57857077"/>
    <w:rsid w:val="57EF5962"/>
    <w:rsid w:val="58AD079D"/>
    <w:rsid w:val="59592E2D"/>
    <w:rsid w:val="5B9C3E91"/>
    <w:rsid w:val="5CA67F0E"/>
    <w:rsid w:val="5FBD2B44"/>
    <w:rsid w:val="60405A91"/>
    <w:rsid w:val="60E05AE3"/>
    <w:rsid w:val="61625D90"/>
    <w:rsid w:val="638611C9"/>
    <w:rsid w:val="65557782"/>
    <w:rsid w:val="65C328F3"/>
    <w:rsid w:val="66246E50"/>
    <w:rsid w:val="68BD663A"/>
    <w:rsid w:val="692F74C0"/>
    <w:rsid w:val="696405DD"/>
    <w:rsid w:val="6B2E5407"/>
    <w:rsid w:val="6F4859CD"/>
    <w:rsid w:val="6FE969BF"/>
    <w:rsid w:val="70003319"/>
    <w:rsid w:val="701245F9"/>
    <w:rsid w:val="707164CB"/>
    <w:rsid w:val="71175C34"/>
    <w:rsid w:val="73AA2F03"/>
    <w:rsid w:val="73DA3368"/>
    <w:rsid w:val="747D277F"/>
    <w:rsid w:val="74D70DF7"/>
    <w:rsid w:val="750950F5"/>
    <w:rsid w:val="750D16CF"/>
    <w:rsid w:val="771F5130"/>
    <w:rsid w:val="789F3DA6"/>
    <w:rsid w:val="78A52377"/>
    <w:rsid w:val="78EF15F1"/>
    <w:rsid w:val="79082185"/>
    <w:rsid w:val="7A6F77AB"/>
    <w:rsid w:val="7AAC4823"/>
    <w:rsid w:val="7B5B7497"/>
    <w:rsid w:val="7BEF5F10"/>
    <w:rsid w:val="7DDD1320"/>
    <w:rsid w:val="7EB03BCE"/>
    <w:rsid w:val="7F1051F1"/>
    <w:rsid w:val="7FF207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Body Text Indent"/>
    <w:basedOn w:val="1"/>
    <w:link w:val="74"/>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afterLines="0" w:afterAutospacing="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7"/>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Lines="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21"/>
    <w:next w:val="21"/>
    <w:link w:val="78"/>
    <w:qFormat/>
    <w:uiPriority w:val="0"/>
    <w:pPr>
      <w:adjustRightInd/>
      <w:spacing w:line="240" w:lineRule="auto"/>
      <w:textAlignment w:val="auto"/>
    </w:pPr>
  </w:style>
  <w:style w:type="paragraph" w:styleId="57">
    <w:name w:val="Body Text First Indent"/>
    <w:basedOn w:val="24"/>
    <w:next w:val="1"/>
    <w:qFormat/>
    <w:uiPriority w:val="0"/>
    <w:pPr>
      <w:spacing w:line="360" w:lineRule="auto"/>
      <w:ind w:firstLine="420"/>
    </w:pPr>
    <w:rPr>
      <w:rFonts w:ascii="宋体" w:hAnsi="宋体"/>
      <w:sz w:val="24"/>
    </w:rPr>
  </w:style>
  <w:style w:type="paragraph" w:styleId="58">
    <w:name w:val="Body Text First Indent 2"/>
    <w:basedOn w:val="25"/>
    <w:link w:val="79"/>
    <w:qFormat/>
    <w:uiPriority w:val="0"/>
    <w:pPr>
      <w:spacing w:after="120" w:afterLines="0" w:line="240" w:lineRule="auto"/>
      <w:ind w:left="420" w:leftChars="200" w:firstLine="420" w:firstLineChars="200"/>
    </w:p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basedOn w:val="61"/>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paragraph" w:customStyle="1" w:styleId="69">
    <w:name w:val="引用1"/>
    <w:basedOn w:val="1"/>
    <w:next w:val="1"/>
    <w:qFormat/>
    <w:uiPriority w:val="99"/>
    <w:rPr>
      <w:rFonts w:ascii="Calibri" w:hAnsi="Calibri"/>
      <w:i/>
      <w:iCs/>
      <w:color w:val="000000"/>
      <w:kern w:val="0"/>
      <w:sz w:val="22"/>
      <w:szCs w:val="20"/>
    </w:rPr>
  </w:style>
  <w:style w:type="paragraph" w:customStyle="1" w:styleId="70">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1">
    <w:name w:val="标题 2 Char"/>
    <w:link w:val="5"/>
    <w:qFormat/>
    <w:uiPriority w:val="0"/>
    <w:rPr>
      <w:rFonts w:ascii="Arial" w:hAnsi="Arial" w:eastAsia="黑体"/>
      <w:b/>
      <w:kern w:val="2"/>
      <w:sz w:val="32"/>
    </w:rPr>
  </w:style>
  <w:style w:type="character" w:customStyle="1" w:styleId="72">
    <w:name w:val="标题 3 Char"/>
    <w:link w:val="6"/>
    <w:qFormat/>
    <w:uiPriority w:val="0"/>
    <w:rPr>
      <w:rFonts w:eastAsia="宋体"/>
      <w:b/>
      <w:kern w:val="2"/>
      <w:sz w:val="32"/>
      <w:lang w:val="en-US" w:eastAsia="zh-CN"/>
    </w:rPr>
  </w:style>
  <w:style w:type="character" w:customStyle="1" w:styleId="73">
    <w:name w:val="批注文字 Char"/>
    <w:link w:val="21"/>
    <w:qFormat/>
    <w:uiPriority w:val="0"/>
    <w:rPr>
      <w:sz w:val="24"/>
    </w:rPr>
  </w:style>
  <w:style w:type="character" w:customStyle="1" w:styleId="74">
    <w:name w:val="正文文本缩进 Char"/>
    <w:link w:val="25"/>
    <w:qFormat/>
    <w:uiPriority w:val="0"/>
    <w:rPr>
      <w:kern w:val="2"/>
      <w:sz w:val="44"/>
    </w:rPr>
  </w:style>
  <w:style w:type="character" w:customStyle="1" w:styleId="75">
    <w:name w:val="日期 Char"/>
    <w:link w:val="34"/>
    <w:qFormat/>
    <w:uiPriority w:val="0"/>
    <w:rPr>
      <w:kern w:val="2"/>
      <w:sz w:val="28"/>
    </w:rPr>
  </w:style>
  <w:style w:type="character" w:customStyle="1" w:styleId="76">
    <w:name w:val="正文文本缩进 2 Char"/>
    <w:link w:val="35"/>
    <w:qFormat/>
    <w:uiPriority w:val="0"/>
    <w:rPr>
      <w:kern w:val="2"/>
      <w:sz w:val="28"/>
    </w:rPr>
  </w:style>
  <w:style w:type="character" w:customStyle="1" w:styleId="77">
    <w:name w:val="脚注文本 Char"/>
    <w:link w:val="42"/>
    <w:qFormat/>
    <w:uiPriority w:val="0"/>
    <w:rPr>
      <w:kern w:val="2"/>
      <w:sz w:val="18"/>
    </w:rPr>
  </w:style>
  <w:style w:type="character" w:customStyle="1" w:styleId="78">
    <w:name w:val="批注主题 Char"/>
    <w:link w:val="56"/>
    <w:qFormat/>
    <w:uiPriority w:val="0"/>
  </w:style>
  <w:style w:type="character" w:customStyle="1" w:styleId="79">
    <w:name w:val="正文首行缩进 2 Char"/>
    <w:link w:val="58"/>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6"/>
    <w:next w:val="57"/>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5"/>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3"/>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4"/>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numPr>
        <w:ilvl w:val="0"/>
        <w:numId w:val="4"/>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9"/>
    <w:qFormat/>
    <w:uiPriority w:val="0"/>
    <w:rPr>
      <w:rFonts w:ascii="宋体" w:hAnsi="Tahoma"/>
    </w:rPr>
  </w:style>
  <w:style w:type="paragraph" w:customStyle="1" w:styleId="148">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5"/>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5"/>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3"/>
      </w:numPr>
      <w:tabs>
        <w:tab w:val="left" w:pos="709"/>
        <w:tab w:val="left" w:pos="1620"/>
      </w:tabs>
      <w:spacing w:line="413" w:lineRule="auto"/>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4"/>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1"/>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47">
    <w:name w:val="Body text|1"/>
    <w:basedOn w:val="1"/>
    <w:qFormat/>
    <w:uiPriority w:val="0"/>
    <w:pPr>
      <w:widowControl w:val="0"/>
      <w:spacing w:after="40" w:line="468" w:lineRule="auto"/>
      <w:ind w:firstLine="60"/>
    </w:pPr>
    <w:rPr>
      <w:rFonts w:ascii="MingLiU" w:hAnsi="MingLiU" w:eastAsia="MingLiU" w:cs="MingLiU"/>
      <w:sz w:val="20"/>
      <w:szCs w:val="20"/>
      <w:lang w:val="zh-TW" w:eastAsia="zh-TW" w:bidi="zh-TW"/>
    </w:rPr>
  </w:style>
  <w:style w:type="character" w:customStyle="1" w:styleId="248">
    <w:name w:val="font31"/>
    <w:basedOn w:val="6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4</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2026-04-27T09:03:09Z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8DD4C334248E4D70A93F893AEA5BA000</vt:lpwstr>
  </property>
</Properties>
</file>