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YHQ260223</w:t>
      </w:r>
    </w:p>
    <w:p>
      <w:pPr>
        <w:spacing w:line="360" w:lineRule="auto"/>
        <w:ind w:firstLine="1440" w:firstLineChars="4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b w:val="0"/>
          <w:bCs w:val="0"/>
          <w:sz w:val="36"/>
          <w:szCs w:val="36"/>
          <w:u w:val="single"/>
          <w:lang w:eastAsia="zh-CN"/>
        </w:rPr>
        <w:t>渝中院区职工餐厅面食档口承包经营权</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_Toc22314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_Toc30334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_Toc30334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_Toc12821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_Toc12821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_Toc29385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_Toc29385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_Toc15127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一、项目基本概况介绍</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_Toc27394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_Toc15660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_Toc15660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_Toc29479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_Toc23630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_Toc16798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_Toc32363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_Toc32363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_Toc13524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_Toc13524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_Toc26771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综合评标应答</w:t>
      </w:r>
      <w:r>
        <w:rPr>
          <w:rFonts w:hint="eastAsia" w:ascii="微软雅黑" w:hAnsi="微软雅黑" w:eastAsia="微软雅黑" w:cs="微软雅黑"/>
          <w:sz w:val="24"/>
          <w:szCs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_Toc26771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5"/>
        <w:spacing w:before="200" w:after="200" w:line="240" w:lineRule="auto"/>
        <w:jc w:val="center"/>
        <w:rPr>
          <w:rFonts w:hint="eastAsia" w:ascii="微软雅黑" w:hAnsi="微软雅黑" w:eastAsia="微软雅黑" w:cs="微软雅黑"/>
          <w:b/>
          <w:sz w:val="44"/>
          <w:szCs w:val="20"/>
        </w:rPr>
      </w:pPr>
      <w:bookmarkStart w:id="0" w:name="_Toc11641050"/>
      <w:bookmarkStart w:id="1" w:name="_Toc76462316"/>
      <w:bookmarkStart w:id="2" w:name="_Toc12789052"/>
      <w:bookmarkStart w:id="3" w:name="_Toc11153"/>
      <w:bookmarkStart w:id="4" w:name="_Toc24037"/>
      <w:bookmarkStart w:id="5" w:name="_Toc106030870"/>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eastAsia="zh-CN"/>
        </w:rPr>
        <w:t>渝中院区职工餐厅面食档口承包经营权</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22314"/>
      <w:bookmarkStart w:id="7" w:name="_Toc313893526"/>
      <w:bookmarkStart w:id="8" w:name="_Toc76462317"/>
      <w:bookmarkStart w:id="9" w:name="_Toc3856"/>
      <w:bookmarkStart w:id="10" w:name="_Toc317775175"/>
      <w:bookmarkStart w:id="11" w:name="_Toc106030871"/>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8"/>
        <w:tblW w:w="48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3081"/>
        <w:gridCol w:w="1685"/>
        <w:gridCol w:w="1211"/>
        <w:gridCol w:w="1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2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4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b/>
                <w:bCs/>
                <w:kern w:val="0"/>
                <w:sz w:val="21"/>
                <w:szCs w:val="24"/>
                <w:lang w:val="en-US"/>
              </w:rPr>
            </w:pPr>
            <w:r>
              <w:rPr>
                <w:rFonts w:hint="eastAsia" w:ascii="微软雅黑" w:hAnsi="微软雅黑" w:eastAsia="微软雅黑" w:cs="微软雅黑"/>
                <w:b/>
                <w:bCs/>
                <w:kern w:val="0"/>
                <w:sz w:val="21"/>
                <w:szCs w:val="24"/>
                <w:lang w:val="en-US" w:eastAsia="zh-CN"/>
              </w:rPr>
              <w:t>最低限价</w:t>
            </w:r>
          </w:p>
        </w:tc>
        <w:tc>
          <w:tcPr>
            <w:tcW w:w="676"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802"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YHQ260223</w:t>
            </w:r>
          </w:p>
        </w:tc>
        <w:tc>
          <w:tcPr>
            <w:tcW w:w="17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sz w:val="21"/>
                <w:szCs w:val="21"/>
                <w:lang w:val="en-US" w:eastAsia="zh-CN"/>
              </w:rPr>
              <w:t>渝中院区职工餐厅面食档口承包经营权</w:t>
            </w:r>
          </w:p>
        </w:tc>
        <w:tc>
          <w:tcPr>
            <w:tcW w:w="9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b w:val="0"/>
                <w:bCs/>
                <w:sz w:val="21"/>
                <w:szCs w:val="21"/>
                <w:lang w:val="en-US" w:eastAsia="zh-CN"/>
              </w:rPr>
              <w:t>5000元/月</w:t>
            </w:r>
          </w:p>
        </w:tc>
        <w:tc>
          <w:tcPr>
            <w:tcW w:w="67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8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334"/>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widowControl w:val="0"/>
        <w:numPr>
          <w:ilvl w:val="0"/>
          <w:numId w:val="0"/>
        </w:numPr>
        <w:spacing w:after="0"/>
        <w:ind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1.持有有效的营业执照，经营范围包含餐饮服务（报名时需提供复印件加盖公司鲜章）。</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2.本项目不接受联合体投标。</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27954"/>
      <w:bookmarkStart w:id="22" w:name="_Toc12821"/>
      <w:bookmarkStart w:id="23" w:name="_Toc106030874"/>
      <w:bookmarkStart w:id="24" w:name="_Toc7646232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11956"/>
      <w:bookmarkStart w:id="27" w:name="_Toc12841"/>
      <w:bookmarkStart w:id="28" w:name="_Toc65660334"/>
      <w:bookmarkStart w:id="29" w:name="_Toc6178"/>
      <w:bookmarkStart w:id="30" w:name="_Toc521053053"/>
      <w:bookmarkStart w:id="31" w:name="_Toc525047161"/>
      <w:bookmarkStart w:id="32" w:name="_Toc29385"/>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w:t>
      </w:r>
      <w:bookmarkStart w:id="33" w:name="OLE_LINK1"/>
      <w:r>
        <w:rPr>
          <w:rFonts w:hint="eastAsia" w:ascii="微软雅黑" w:hAnsi="微软雅黑" w:eastAsia="微软雅黑" w:cs="微软雅黑"/>
          <w:sz w:val="24"/>
          <w:szCs w:val="24"/>
          <w:lang w:val="en-US" w:eastAsia="zh-CN"/>
        </w:rPr>
        <w:t>中国建设银行股份有限公司重庆渝中区观音岩支行</w:t>
      </w:r>
      <w:bookmarkEnd w:id="33"/>
      <w:r>
        <w:rPr>
          <w:rFonts w:hint="eastAsia" w:ascii="微软雅黑" w:hAnsi="微软雅黑" w:eastAsia="微软雅黑" w:cs="微软雅黑"/>
          <w:sz w:val="24"/>
          <w:szCs w:val="24"/>
          <w:lang w:val="en-US" w:eastAsia="zh-CN"/>
        </w:rPr>
        <w:t>，账号：50050101380000000168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w:t>
      </w:r>
      <w:r>
        <w:rPr>
          <w:rFonts w:hint="eastAsia" w:ascii="微软雅黑" w:hAnsi="微软雅黑" w:eastAsia="微软雅黑" w:cs="微软雅黑"/>
          <w:sz w:val="24"/>
          <w:szCs w:val="24"/>
          <w:lang w:val="en-US" w:eastAsia="zh-CN"/>
        </w:rPr>
        <w:t>公示发布</w:t>
      </w:r>
      <w:r>
        <w:rPr>
          <w:rFonts w:hint="eastAsia" w:ascii="微软雅黑" w:hAnsi="微软雅黑" w:eastAsia="微软雅黑" w:cs="微软雅黑"/>
          <w:sz w:val="24"/>
          <w:szCs w:val="24"/>
        </w:rPr>
        <w:t>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34" w:name="_Toc521053054"/>
      <w:bookmarkStart w:id="35" w:name="_Toc2945"/>
      <w:bookmarkStart w:id="36" w:name="_Toc65660335"/>
      <w:bookmarkStart w:id="37" w:name="_Toc4355"/>
      <w:bookmarkStart w:id="38" w:name="_Toc525047162"/>
      <w:bookmarkStart w:id="39" w:name="_Toc106034626"/>
      <w:bookmarkStart w:id="40" w:name="_Toc21937"/>
      <w:bookmarkStart w:id="41"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4"/>
      <w:bookmarkEnd w:id="35"/>
      <w:bookmarkEnd w:id="36"/>
      <w:bookmarkEnd w:id="37"/>
      <w:bookmarkEnd w:id="38"/>
      <w:bookmarkEnd w:id="39"/>
      <w:bookmarkStart w:id="42" w:name="_Toc521053055"/>
      <w:bookmarkStart w:id="43" w:name="_Toc525047163"/>
      <w:bookmarkStart w:id="44" w:name="_Toc6563"/>
      <w:bookmarkStart w:id="45" w:name="_Toc16269"/>
      <w:bookmarkStart w:id="46" w:name="_Toc106034627"/>
      <w:bookmarkStart w:id="47" w:name="_Toc65660336"/>
      <w:r>
        <w:rPr>
          <w:rFonts w:hint="eastAsia" w:ascii="微软雅黑" w:hAnsi="微软雅黑" w:eastAsia="微软雅黑" w:cs="微软雅黑"/>
          <w:sz w:val="24"/>
        </w:rPr>
        <w:t>其它</w:t>
      </w:r>
      <w:bookmarkEnd w:id="40"/>
      <w:bookmarkEnd w:id="41"/>
      <w:bookmarkEnd w:id="42"/>
      <w:bookmarkEnd w:id="43"/>
      <w:bookmarkEnd w:id="44"/>
      <w:bookmarkEnd w:id="45"/>
      <w:bookmarkEnd w:id="46"/>
      <w:bookmarkEnd w:id="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48" w:name="_Toc24901"/>
      <w:bookmarkStart w:id="49" w:name="_Toc1733"/>
      <w:bookmarkStart w:id="50" w:name="_Toc10415"/>
      <w:bookmarkStart w:id="51" w:name="_Toc525047164"/>
      <w:bookmarkStart w:id="52" w:name="_Toc65660337"/>
      <w:bookmarkStart w:id="53" w:name="_Toc521053056"/>
      <w:bookmarkStart w:id="54" w:name="_Toc32668"/>
      <w:bookmarkStart w:id="55"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4"/>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6" w:name="_Toc25639"/>
      <w:bookmarkStart w:id="57" w:name="_Toc5461"/>
      <w:bookmarkStart w:id="58" w:name="_Toc12959"/>
      <w:bookmarkStart w:id="59" w:name="_Toc75793504"/>
      <w:bookmarkStart w:id="60" w:name="_Toc2070"/>
      <w:bookmarkStart w:id="61" w:name="_Toc11017"/>
      <w:bookmarkStart w:id="62" w:name="_Toc725"/>
      <w:bookmarkStart w:id="63" w:name="_Toc1625"/>
      <w:bookmarkStart w:id="64" w:name="_Toc26176"/>
      <w:bookmarkStart w:id="65" w:name="_Toc8649"/>
      <w:bookmarkStart w:id="66" w:name="_Toc2422"/>
      <w:bookmarkStart w:id="67" w:name="_Toc19886"/>
      <w:bookmarkStart w:id="68" w:name="_Toc1492"/>
      <w:bookmarkStart w:id="69" w:name="_Toc23143"/>
      <w:bookmarkStart w:id="70" w:name="_Toc32686"/>
      <w:bookmarkStart w:id="71" w:name="_Toc106030380"/>
      <w:bookmarkStart w:id="72" w:name="_Toc1255"/>
      <w:bookmarkStart w:id="73" w:name="_Toc12789058"/>
      <w:r>
        <w:rPr>
          <w:rFonts w:hint="eastAsia" w:ascii="微软雅黑" w:hAnsi="微软雅黑" w:eastAsia="微软雅黑" w:cs="微软雅黑"/>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kern w:val="2"/>
          <w:sz w:val="44"/>
          <w:szCs w:val="20"/>
          <w:lang w:val="en-US" w:eastAsia="zh-CN" w:bidi="ar-SA"/>
        </w:rPr>
        <w:t>项目技术（质量）需求</w:t>
      </w:r>
      <w:bookmarkEnd w:id="71"/>
      <w:bookmarkEnd w:id="72"/>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74" w:name="_Toc18470"/>
      <w:bookmarkStart w:id="75" w:name="_Toc3196"/>
      <w:bookmarkStart w:id="76" w:name="_Toc106030879"/>
      <w:bookmarkStart w:id="77" w:name="_Toc1866"/>
      <w:bookmarkStart w:id="78" w:name="_Toc3117"/>
      <w:bookmarkStart w:id="79" w:name="_Toc32516"/>
      <w:bookmarkStart w:id="80" w:name="_Toc76462325"/>
      <w:bookmarkStart w:id="81" w:name="_Toc15127"/>
      <w:bookmarkStart w:id="82" w:name="_Toc7791"/>
      <w:bookmarkStart w:id="83" w:name="_Toc76462327"/>
      <w:bookmarkStart w:id="84" w:name="_Toc106030882"/>
      <w:r>
        <w:rPr>
          <w:rFonts w:hint="eastAsia" w:ascii="微软雅黑" w:hAnsi="微软雅黑" w:eastAsia="微软雅黑" w:cs="微软雅黑"/>
          <w:sz w:val="24"/>
        </w:rPr>
        <w:t>一、项目基本概况介绍</w:t>
      </w:r>
      <w:bookmarkEnd w:id="74"/>
      <w:bookmarkEnd w:id="75"/>
      <w:bookmarkEnd w:id="76"/>
      <w:bookmarkEnd w:id="77"/>
      <w:bookmarkEnd w:id="78"/>
      <w:bookmarkEnd w:id="79"/>
      <w:bookmarkEnd w:id="80"/>
      <w:bookmarkEnd w:id="81"/>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1"/>
        <w:gridCol w:w="3011"/>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617"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563"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租赁期限</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7"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渝中院区职工餐厅面食档口承包经营权</w:t>
            </w:r>
          </w:p>
        </w:tc>
        <w:tc>
          <w:tcPr>
            <w:tcW w:w="1563"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85" w:name="_Toc6337"/>
      <w:r>
        <w:rPr>
          <w:rFonts w:hint="eastAsia" w:ascii="微软雅黑" w:hAnsi="微软雅黑" w:eastAsia="微软雅黑" w:cs="微软雅黑"/>
          <w:b/>
          <w:bCs/>
          <w:sz w:val="24"/>
          <w:szCs w:val="24"/>
          <w:lang w:val="en-US" w:eastAsia="zh-CN"/>
        </w:rPr>
        <w:t>二、项目内容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1.该项目地址位于渝中院区职工餐厅（和缘餐厅）。 </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2.面积：27.4平方米。</w:t>
      </w:r>
    </w:p>
    <w:p>
      <w:pPr>
        <w:snapToGrid w:val="0"/>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三、项目经营要求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1.本次招标的标的为渝中院区职工餐厅面食档口三年期承包经营权，在经营期内应合法经营，自负盈亏。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2.面食档口：经营面食相关品类产品。包括但不限于面，米线，抄手，水饺等品种（不得经营预包装饮料，糕点类和其他采购人禁止销售的产品）。根据季节变化等实际情况和院方需求，不定期推出新产品。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投标人规范经营，遵守相关的法律法规，遵守合同约定的经营范围及相关约定，服从招标人管理，并制订相应的内部管理制度，严禁出现任何破坏招标人工作秩序的行为。投标人在合同期内，若不能严格按照国家、市、区的食品行业标准和医院与投标人签订的合同执行，超范围经营或被投诉不及时整改或造成医院负面影响较大的，采购人有权单方面终止合同并取消其服务资格，由此产生的一切后果由投标人负责。</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投标人负责经营范围的安全卫生，涉及食品安全的经营者在签订合同时还须与采购人签订食品安全卫生责任书。采购人严格执行事故责任追究制度，如在经营管理期内因出售或租赁的任何产品出现质量问题，或出现未有严格按照相关法律法规执行的情况，发生食物中毒等重大安全责任事故，损害人员身体健康，影响采购人声誉，投标人必须承担由此造成的一切责任和经济损失，采购人有权无条件终止该项目合同，并没收管理费和保证金，并依法追究其相应法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投标人的员工与采购人不存在任何雇佣、委托等劳动关系，同时在工作过程中的安全责任由投标人负责。如用电、用水等不注意安全引起生产事故，或发生意外伤亡事故，投标人承担包括第三方在内的全部责任和必要的经济补偿，采购人概不承担任何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6.投标人必须严格履行经营管理合同要求，不得在中标后转包或分包给他人经营，如经发现，合同立即终止，并没收履约保证金。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7.投标人所有在本次服务场所内的工作人员都必须办理符合规定的健康证并公示、佩戴胸牌，着公司统一服装。</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该项目无装修期，投标人根据目前情况自行装修和增添经营所需设备。装修方案、招牌等需提前报采购人同意方可进行，不能影响原档口的正常营业，可以用非营业时间做简单准备，费用自理。合同期结束后不可移动装修部分全部归招标人所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租金和物业费缴纳方式为先缴后用、按半年缴纳，提前10个工作日缴纳下一缴费周期（半年为一个缴费周期）的租金和物业费（物业费20元/平米/月，含用餐场地清洁费，餐具洗涤消毒费）。遇节假日顺延到节后第一个工作日缴纳。经营期间水电气费据实结算，投标人需自行安装独立计量的水电气表，每月抄表，按照自来水及供电局和燃气单位的收费标准进行计费，抄表后发放缴费通知单，投标人需在收到通知单5个工作日内缴纳水电气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10.投标人违反法律、法规及双方确定的服务合同约定，采购人有权终止该项合同。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11.合同履行期间，投标人应服从出租方管理部门的管理，纳入出租方考核对象（考核标准见附件）。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12.投标人利用承租场地进行违法活动的，出租人有权单方解除合同，没收全部履约保证金，并提前收回出租场地。同时投标人应向出租人支付按照当年月租金计算的共计6个月的违约金，并对除违约金以外的实际损失进行赔偿。</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13.在租赁期内，投标人中途确需提前退租的，必须提前3个月以上书面告知出租人，并征得出租人同意。未取得出租人书面同意，投标人擅自提前退租，应向出租人支付按当年月租金计算的共计6个月的违约金。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14.投标人如逾期支付租金，每逾期一日，应按应付租金的千分之五向出租人支付滞纳金。投标人超过30日仍没有缴纳应付租金及滞纳金的，出租人有权解除本合同，并没收全部履约保证金，出租人同时追偿投标人所欠费用和投标人按照当年租金总额的20%向出租人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15.投标人如逾期缴纳包括电费、水费、燃气费、物业管理费等任何费用，产生的所有法律责任由投标人承担。逾期超过三个月，出租人有权解除本合同，并没收全部履约保证金，投标人同时仍有义务支付所欠费用，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16.投标人在履行本合同过程中发生的侵害出租方或第三人人身损害及财产损失的，由投标人承担和负责解决。如投标人违反合同约定或法律规定，造成重大安全事故或给出租方及第三方造成重大经济损失的，出租人有权解除本合同，并没收全部履约保证金，同时投标人按照当年租金总额的20%向出租方支付违约金，并承担民事和刑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17.合同履行期间投标人不得将承租屋转租、分租给任何第三方，否则出租人有权解除本合同，并没收全部履约保证金，同时投标人按照当年租金总额的20%向出租方支付违约金。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18.投标人如出现不按规定范围经营的情况，或以任何形式推荐销售不在经营范围内的商品，经有效举报或查实，出租人有权立即解除本合同，并没收全部履约保证金，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19.投标人在经营过程中，商品售卖单价需低于市场价（同等品牌售卖单价）的10%进行售卖，不能超过市场商品单价，如若违反，按照服务项目考核要求进行处罚。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20.投标人在经营过程中，若违反消防管理规定（包括但不限于遮挡、损坏、私自拆除消防器材、消防设施设备、消防通道等），在接到整改通知后未在规定时间内按要求完成整改的，发生一次扣罚1000元违约金。发生三次及以上，出租人有权解除本合同，并没收全部履约保证金，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21投标人在经营过程中，若受到相关政府行政主管部门警告、处罚、勒令整改的，发生一次扣罚1000元违约金，并按照要求进行整改。发生三次及以上，出租人有权解除本合同，并没收全部履约保证金，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22.投标人如出现上述约定以外的违约违规行为，投标人应当立即更正，如投标人一周内仍未更正，出租人有权解除本合同，并没收全部履约保证金，同时投标人按照当年租金总的20%向出租方支付违约金。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23.投标人在履行合同过程中发生的包括但不限于投标人人员工伤或人身损害、管理不善造成采购人人员或第三方人员人身损害或财产损失等事故，均由投标人自行解决，且由投标人承担所有经济责任和法律责任。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24.投标人需服从采购人的管理，每月接受采购人组织的服务考核，按考核成绩扣罚相应费用。考核内容见第四章。</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25.采购人不提供住宿。</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b/>
          <w:sz w:val="44"/>
          <w:szCs w:val="20"/>
        </w:rPr>
      </w:pPr>
      <w:r>
        <w:rPr>
          <w:rFonts w:hint="eastAsia" w:ascii="微软雅黑" w:hAnsi="微软雅黑" w:eastAsia="微软雅黑" w:cs="微软雅黑"/>
          <w:sz w:val="24"/>
          <w:szCs w:val="24"/>
          <w:lang w:val="en-US" w:eastAsia="zh-CN"/>
        </w:rPr>
        <w:t>注：投标人可自行进行踏勘，联系电话：膳食科孟老师023-63630262。</w:t>
      </w:r>
      <w:r>
        <w:rPr>
          <w:rFonts w:hint="eastAsia" w:ascii="微软雅黑" w:hAnsi="微软雅黑" w:eastAsia="微软雅黑" w:cs="微软雅黑"/>
          <w:b/>
          <w:sz w:val="44"/>
          <w:szCs w:val="20"/>
        </w:rPr>
        <w:br w:type="page"/>
      </w:r>
    </w:p>
    <w:p>
      <w:pPr>
        <w:pStyle w:val="5"/>
        <w:spacing w:before="200" w:after="200" w:line="240" w:lineRule="auto"/>
        <w:ind w:firstLine="1761" w:firstLineChars="400"/>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3"/>
      <w:r>
        <w:rPr>
          <w:rFonts w:hint="eastAsia" w:ascii="微软雅黑" w:hAnsi="微软雅黑" w:eastAsia="微软雅黑" w:cs="微软雅黑"/>
          <w:b/>
          <w:sz w:val="44"/>
          <w:szCs w:val="20"/>
        </w:rPr>
        <w:t>项目商务需求</w:t>
      </w:r>
      <w:bookmarkEnd w:id="82"/>
      <w:bookmarkEnd w:id="83"/>
      <w:bookmarkEnd w:id="84"/>
      <w:bookmarkEnd w:id="85"/>
    </w:p>
    <w:tbl>
      <w:tblPr>
        <w:tblStyle w:val="58"/>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2"/>
        <w:gridCol w:w="8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6" w:name="_Toc76462332"/>
            <w:bookmarkStart w:id="87" w:name="_Toc6692"/>
            <w:bookmarkStart w:id="88" w:name="_Toc106030887"/>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租赁期限、租赁地点及考核方式</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租赁期限：自合同签订之日起三年。</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租赁地点：重庆医科大学附属儿童医院渝中院区。</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考核方式：详见附件-儿童医院职工餐厅面食档口服务考核标准考核方式：职能部门根据服务考核办法进行考核。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根据医院要求入驻，保证本项目正常营业。详见附件-儿童医院职工餐厅面食档口服务考核标准。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报价方式及要求</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1.该项目为一次性报价，最终报价以响应文件中的报价为准。</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2.该项目按每月承包费用与合同期内总承包费用进行报价。因中标人自身原因造成漏报、少报皆由其自行承担责任，采购人不再补偿。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结算与付款方式</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1.就餐人员实行非现金结算。中标人需向采购人开放结算平台，接受院方监督，每月制作经营报表上报膳食管理科。</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2.中标人应在合同签订后十个工作日内将合同约定期限内第一个月的承包经营费用支付给招标方。</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3.须在下一缴费周期的前五个工作日内向采购人缴纳应缴费（出水电气费以外的其他费用）。</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4.每月经营所产生水、电、气费等由中标人承担，据实结算，并在次月内向招标人缴纳。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履约担保</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1.承包合同签订前中标人向采购人交纳履约保证金，保证金为总金额的10%（采用对公转账的形式提交）。</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2.若无违约情形，合同到期后60个工作日内一次性无息原路退还。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1..投标人必须在响应文件中对以上条款和服务承诺明确列出，承诺内容必须达到本篇及协商文件其他条款的要求。</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86"/>
    <w:bookmarkEnd w:id="87"/>
    <w:bookmarkEnd w:id="88"/>
    <w:p>
      <w:pPr>
        <w:pStyle w:val="5"/>
        <w:pageBreakBefore w:val="0"/>
        <w:spacing w:before="200" w:after="200" w:line="240" w:lineRule="auto"/>
        <w:jc w:val="center"/>
        <w:rPr>
          <w:rFonts w:hint="eastAsia" w:ascii="微软雅黑" w:hAnsi="微软雅黑" w:eastAsia="微软雅黑" w:cs="微软雅黑"/>
          <w:b/>
          <w:sz w:val="44"/>
          <w:szCs w:val="20"/>
        </w:rPr>
      </w:pPr>
      <w:bookmarkStart w:id="89" w:name="_Toc18371"/>
      <w:bookmarkStart w:id="90" w:name="_Toc12791"/>
      <w:bookmarkStart w:id="91" w:name="_Toc64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9"/>
      <w:bookmarkEnd w:id="90"/>
      <w:bookmarkEnd w:id="9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2" w:name="_Toc18603"/>
      <w:bookmarkStart w:id="93" w:name="_Toc14958"/>
      <w:bookmarkStart w:id="94" w:name="_Toc5379"/>
      <w:bookmarkStart w:id="95" w:name="_Toc106030888"/>
      <w:bookmarkStart w:id="96" w:name="_Toc7646233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2"/>
      <w:bookmarkEnd w:id="93"/>
      <w:bookmarkEnd w:id="94"/>
      <w:bookmarkEnd w:id="95"/>
      <w:bookmarkEnd w:id="9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7" w:name="_Toc4495"/>
      <w:bookmarkStart w:id="98" w:name="_Toc10843"/>
      <w:bookmarkStart w:id="99" w:name="_Toc25824"/>
      <w:bookmarkStart w:id="100" w:name="_Toc106030890"/>
      <w:bookmarkStart w:id="101" w:name="_Toc76462335"/>
      <w:bookmarkStart w:id="102" w:name="_Toc31497"/>
      <w:bookmarkStart w:id="103" w:name="_Toc342913394"/>
      <w:bookmarkStart w:id="104" w:name="_Toc102227320"/>
      <w:r>
        <w:rPr>
          <w:rFonts w:hint="eastAsia" w:ascii="微软雅黑" w:hAnsi="微软雅黑" w:eastAsia="微软雅黑" w:cs="微软雅黑"/>
          <w:color w:val="auto"/>
          <w:sz w:val="24"/>
          <w:lang w:val="en-US" w:eastAsia="zh-CN"/>
        </w:rPr>
        <w:t>二、报价方式</w:t>
      </w:r>
      <w:bookmarkEnd w:id="97"/>
      <w:bookmarkEnd w:id="9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bookmarkStart w:id="105" w:name="_Toc27394"/>
      <w:bookmarkStart w:id="106" w:name="_Toc27607"/>
      <w:r>
        <w:rPr>
          <w:rFonts w:hint="eastAsia" w:ascii="微软雅黑" w:hAnsi="微软雅黑" w:eastAsia="微软雅黑" w:cs="微软雅黑"/>
          <w:color w:val="auto"/>
          <w:kern w:val="0"/>
          <w:sz w:val="24"/>
          <w:szCs w:val="24"/>
          <w:lang w:val="en-US" w:eastAsia="zh-CN"/>
        </w:rPr>
        <w:t>该项目为一次性报价，最终报价以响应文件中的报价为准。</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99"/>
      <w:bookmarkEnd w:id="105"/>
      <w:bookmarkEnd w:id="106"/>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5"/>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7" w:name="_Toc18577"/>
      <w:bookmarkStart w:id="108" w:name="_Toc30944"/>
      <w:bookmarkStart w:id="109" w:name="_Toc5973"/>
      <w:bookmarkStart w:id="110" w:name="_Toc76462334"/>
      <w:bookmarkStart w:id="111" w:name="_Toc24201"/>
      <w:bookmarkStart w:id="112" w:name="_Toc106030889"/>
      <w:r>
        <w:rPr>
          <w:rFonts w:hint="eastAsia" w:ascii="微软雅黑" w:hAnsi="微软雅黑" w:eastAsia="微软雅黑" w:cs="微软雅黑"/>
          <w:color w:val="auto"/>
          <w:sz w:val="24"/>
          <w:lang w:val="en-US" w:eastAsia="zh-CN"/>
        </w:rPr>
        <w:t>四、评审标准</w:t>
      </w:r>
      <w:bookmarkEnd w:id="107"/>
      <w:bookmarkEnd w:id="108"/>
      <w:bookmarkEnd w:id="109"/>
      <w:bookmarkEnd w:id="110"/>
      <w:bookmarkEnd w:id="111"/>
      <w:bookmarkEnd w:id="112"/>
    </w:p>
    <w:tbl>
      <w:tblPr>
        <w:tblStyle w:val="58"/>
        <w:tblW w:w="9691"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227"/>
        <w:gridCol w:w="893"/>
        <w:gridCol w:w="5184"/>
        <w:gridCol w:w="1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676"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bookmarkStart w:id="113" w:name="_Toc29489"/>
            <w:bookmarkStart w:id="114" w:name="_Toc15660"/>
            <w:r>
              <w:rPr>
                <w:rFonts w:hint="eastAsia" w:ascii="微软雅黑" w:hAnsi="微软雅黑" w:eastAsia="微软雅黑" w:cs="微软雅黑"/>
                <w:color w:val="auto"/>
                <w:kern w:val="0"/>
                <w:sz w:val="21"/>
                <w:szCs w:val="21"/>
              </w:rPr>
              <w:t>序号</w:t>
            </w:r>
          </w:p>
        </w:tc>
        <w:tc>
          <w:tcPr>
            <w:tcW w:w="1227" w:type="dxa"/>
            <w:vAlign w:val="center"/>
          </w:tcPr>
          <w:p>
            <w:pPr>
              <w:keepNext w:val="0"/>
              <w:keepLines w:val="0"/>
              <w:suppressLineNumbers w:val="0"/>
              <w:snapToGrid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评分因素及权重</w:t>
            </w:r>
          </w:p>
        </w:tc>
        <w:tc>
          <w:tcPr>
            <w:tcW w:w="893"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分值</w:t>
            </w:r>
          </w:p>
        </w:tc>
        <w:tc>
          <w:tcPr>
            <w:tcW w:w="5184"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评分标准</w:t>
            </w:r>
          </w:p>
        </w:tc>
        <w:tc>
          <w:tcPr>
            <w:tcW w:w="1711"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6"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pacing w:val="-6"/>
                <w:kern w:val="0"/>
                <w:sz w:val="21"/>
                <w:szCs w:val="21"/>
              </w:rPr>
            </w:pPr>
            <w:r>
              <w:rPr>
                <w:rFonts w:hint="eastAsia" w:ascii="微软雅黑" w:hAnsi="微软雅黑" w:eastAsia="微软雅黑" w:cs="微软雅黑"/>
                <w:color w:val="auto"/>
                <w:kern w:val="0"/>
                <w:sz w:val="21"/>
                <w:szCs w:val="21"/>
              </w:rPr>
              <w:t>1</w:t>
            </w:r>
          </w:p>
        </w:tc>
        <w:tc>
          <w:tcPr>
            <w:tcW w:w="1227" w:type="dxa"/>
            <w:vAlign w:val="center"/>
          </w:tcPr>
          <w:p>
            <w:pPr>
              <w:keepNext w:val="0"/>
              <w:keepLines w:val="0"/>
              <w:suppressLineNumbers w:val="0"/>
              <w:spacing w:before="0" w:beforeAutospacing="0" w:after="0" w:afterAutospacing="0"/>
              <w:ind w:left="0" w:right="0" w:firstLine="28"/>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投标</w:t>
            </w:r>
            <w:r>
              <w:rPr>
                <w:rFonts w:hint="eastAsia" w:ascii="微软雅黑" w:hAnsi="微软雅黑" w:eastAsia="微软雅黑" w:cs="微软雅黑"/>
                <w:color w:val="auto"/>
                <w:sz w:val="21"/>
                <w:szCs w:val="21"/>
              </w:rPr>
              <w:t>报价</w:t>
            </w:r>
          </w:p>
          <w:p>
            <w:pPr>
              <w:keepNext w:val="0"/>
              <w:keepLines w:val="0"/>
              <w:suppressLineNumbers w:val="0"/>
              <w:spacing w:before="0" w:beforeAutospacing="0" w:after="0" w:afterAutospacing="0"/>
              <w:ind w:left="0" w:right="0" w:firstLine="28"/>
              <w:jc w:val="center"/>
              <w:rPr>
                <w:rFonts w:hint="eastAsia" w:ascii="微软雅黑" w:hAnsi="微软雅黑" w:eastAsia="微软雅黑" w:cs="微软雅黑"/>
                <w:color w:val="auto"/>
                <w:spacing w:val="-6"/>
                <w:kern w:val="0"/>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0%）</w:t>
            </w:r>
          </w:p>
        </w:tc>
        <w:tc>
          <w:tcPr>
            <w:tcW w:w="893" w:type="dxa"/>
            <w:vAlign w:val="center"/>
          </w:tcPr>
          <w:p>
            <w:pPr>
              <w:keepNext w:val="0"/>
              <w:keepLines w:val="0"/>
              <w:suppressLineNumbers w:val="0"/>
              <w:spacing w:before="0" w:beforeAutospacing="0" w:after="0" w:afterAutospacing="0"/>
              <w:ind w:left="0" w:right="0" w:firstLine="28"/>
              <w:jc w:val="center"/>
              <w:rPr>
                <w:rFonts w:hint="eastAsia" w:ascii="微软雅黑" w:hAnsi="微软雅黑" w:eastAsia="微软雅黑" w:cs="微软雅黑"/>
                <w:color w:val="auto"/>
                <w:spacing w:val="-6"/>
                <w:kern w:val="0"/>
                <w:sz w:val="21"/>
                <w:szCs w:val="21"/>
              </w:rPr>
            </w:pP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0</w:t>
            </w:r>
          </w:p>
        </w:tc>
        <w:tc>
          <w:tcPr>
            <w:tcW w:w="5184" w:type="dxa"/>
            <w:vAlign w:val="center"/>
          </w:tcPr>
          <w:p>
            <w:pPr>
              <w:pStyle w:val="17"/>
              <w:keepNext w:val="0"/>
              <w:keepLines w:val="0"/>
              <w:suppressLineNumbers w:val="0"/>
              <w:spacing w:before="0" w:beforeAutospacing="0" w:after="0" w:afterAutospacing="0" w:line="240" w:lineRule="atLeast"/>
              <w:ind w:left="0" w:right="0" w:firstLine="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lang w:val="en-US" w:eastAsia="zh-CN"/>
              </w:rPr>
              <w:t>有效的投标报价中的最低价为评标基准价，其价格分为满分。其他投标人的价格分统一按照下列公式计算：投标报价得分＝（评标基准价/投标报价）×价格权重×100。</w:t>
            </w:r>
          </w:p>
        </w:tc>
        <w:tc>
          <w:tcPr>
            <w:tcW w:w="1711" w:type="dxa"/>
            <w:vAlign w:val="center"/>
          </w:tcPr>
          <w:p>
            <w:pPr>
              <w:pStyle w:val="17"/>
              <w:keepNext w:val="0"/>
              <w:keepLines w:val="0"/>
              <w:suppressLineNumbers w:val="0"/>
              <w:spacing w:before="0" w:beforeAutospacing="0" w:after="0" w:afterAutospacing="0" w:line="240" w:lineRule="atLeast"/>
              <w:ind w:left="0" w:right="0" w:firstLine="0"/>
              <w:rPr>
                <w:rFonts w:hint="eastAsia" w:ascii="微软雅黑" w:hAnsi="微软雅黑" w:eastAsia="微软雅黑" w:cs="微软雅黑"/>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2</w:t>
            </w:r>
          </w:p>
        </w:tc>
        <w:tc>
          <w:tcPr>
            <w:tcW w:w="1227"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商务部分</w:t>
            </w:r>
            <w:r>
              <w:rPr>
                <w:rFonts w:hint="eastAsia" w:ascii="微软雅黑" w:hAnsi="微软雅黑" w:eastAsia="微软雅黑" w:cs="微软雅黑"/>
                <w:color w:val="auto"/>
                <w:kern w:val="0"/>
                <w:sz w:val="21"/>
                <w:szCs w:val="21"/>
                <w:lang w:eastAsia="zh-CN"/>
              </w:rPr>
              <w:t>（</w:t>
            </w:r>
            <w:r>
              <w:rPr>
                <w:rFonts w:hint="eastAsia" w:ascii="微软雅黑" w:hAnsi="微软雅黑" w:eastAsia="微软雅黑" w:cs="微软雅黑"/>
                <w:color w:val="auto"/>
                <w:kern w:val="0"/>
                <w:sz w:val="21"/>
                <w:szCs w:val="21"/>
                <w:lang w:val="en-US" w:eastAsia="zh-CN"/>
              </w:rPr>
              <w:t>履约能力）</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lang w:val="en-US" w:eastAsia="zh-CN"/>
              </w:rPr>
              <w:t>40</w:t>
            </w:r>
            <w:r>
              <w:rPr>
                <w:rFonts w:hint="eastAsia" w:ascii="微软雅黑" w:hAnsi="微软雅黑" w:eastAsia="微软雅黑" w:cs="微软雅黑"/>
                <w:color w:val="auto"/>
                <w:kern w:val="0"/>
                <w:sz w:val="21"/>
                <w:szCs w:val="21"/>
              </w:rPr>
              <w:t>%</w:t>
            </w:r>
          </w:p>
        </w:tc>
        <w:tc>
          <w:tcPr>
            <w:tcW w:w="893"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市场影响力</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10分</w:t>
            </w:r>
          </w:p>
        </w:tc>
        <w:tc>
          <w:tcPr>
            <w:tcW w:w="518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投标人应提供以下证书或相关证明文件：</w:t>
            </w:r>
          </w:p>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获得的国家级、省级、市级或行业内的知名企业或知名品牌评选结果证书。</w:t>
            </w:r>
            <w:r>
              <w:rPr>
                <w:rFonts w:hint="eastAsia" w:ascii="微软雅黑" w:hAnsi="微软雅黑" w:eastAsia="微软雅黑" w:cs="微软雅黑"/>
                <w:color w:val="auto"/>
                <w:sz w:val="21"/>
                <w:szCs w:val="21"/>
                <w:lang w:val="en-US" w:eastAsia="zh-CN"/>
              </w:rPr>
              <w:t>得5分。提供相关证明及截图</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获得的荣誉称号或奖项，如“诚信单位”、“消费者满意单位”等。</w:t>
            </w:r>
            <w:r>
              <w:rPr>
                <w:rFonts w:hint="eastAsia" w:ascii="微软雅黑" w:hAnsi="微软雅黑" w:eastAsia="微软雅黑" w:cs="微软雅黑"/>
                <w:color w:val="auto"/>
                <w:sz w:val="21"/>
                <w:szCs w:val="21"/>
                <w:lang w:val="en-US" w:eastAsia="zh-CN"/>
              </w:rPr>
              <w:t>得3分。提供相关证明及截图</w:t>
            </w:r>
          </w:p>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任何其他能够证明投标人品牌知名度和企业实力的官方认证。</w:t>
            </w:r>
            <w:r>
              <w:rPr>
                <w:rFonts w:hint="eastAsia" w:ascii="微软雅黑" w:hAnsi="微软雅黑" w:eastAsia="微软雅黑" w:cs="微软雅黑"/>
                <w:color w:val="auto"/>
                <w:sz w:val="21"/>
                <w:szCs w:val="21"/>
                <w:lang w:val="en-US" w:eastAsia="zh-CN"/>
              </w:rPr>
              <w:t>得2分。提供相关证明及截图</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最多得</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w:t>
            </w:r>
          </w:p>
        </w:tc>
        <w:tc>
          <w:tcPr>
            <w:tcW w:w="1711"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p>
        </w:tc>
        <w:tc>
          <w:tcPr>
            <w:tcW w:w="1227"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p>
        </w:tc>
        <w:tc>
          <w:tcPr>
            <w:tcW w:w="893"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市场口碑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10分</w:t>
            </w:r>
          </w:p>
        </w:tc>
        <w:tc>
          <w:tcPr>
            <w:tcW w:w="518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投标人过往服务项目的用户满意度调查结果及媒体报道、行业论坛和消费者评价中的正面提及和推荐。提供相关证明及截图</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优10分，良7分，一般4分。</w:t>
            </w:r>
          </w:p>
        </w:tc>
        <w:tc>
          <w:tcPr>
            <w:tcW w:w="1711" w:type="dxa"/>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1" w:hRule="atLeast"/>
        </w:trPr>
        <w:tc>
          <w:tcPr>
            <w:tcW w:w="67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p>
        </w:tc>
        <w:tc>
          <w:tcPr>
            <w:tcW w:w="1227"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p>
        </w:tc>
        <w:tc>
          <w:tcPr>
            <w:tcW w:w="893"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经营经验</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20分</w:t>
            </w:r>
          </w:p>
        </w:tc>
        <w:tc>
          <w:tcPr>
            <w:tcW w:w="518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1.投标人从2015年1月1日起（以合同签订时间为准）至今，承接过类似面食档口的经营服务项目。每有1个得2分，最多得10分。</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2.投标人从2015年1月1日起（以合同签订时间为准）至今，承接过类似面食档口的经营服务项目（可累计计算）且经营良好，每经营1年得1分，最多得10分。</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提供证明业绩的合同协议书。若提供的合同协议书不能反映相关信息的，还应提供业主证明。</w:t>
            </w:r>
          </w:p>
        </w:tc>
        <w:tc>
          <w:tcPr>
            <w:tcW w:w="1711" w:type="dxa"/>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6"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3</w:t>
            </w:r>
          </w:p>
        </w:tc>
        <w:tc>
          <w:tcPr>
            <w:tcW w:w="1227"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技术部分</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lang w:val="en-US" w:eastAsia="zh-CN"/>
              </w:rPr>
              <w:t>20</w:t>
            </w:r>
            <w:bookmarkStart w:id="176" w:name="_GoBack"/>
            <w:bookmarkEnd w:id="176"/>
            <w:r>
              <w:rPr>
                <w:rFonts w:hint="eastAsia" w:ascii="微软雅黑" w:hAnsi="微软雅黑" w:eastAsia="微软雅黑" w:cs="微软雅黑"/>
                <w:color w:val="auto"/>
                <w:kern w:val="0"/>
                <w:sz w:val="21"/>
                <w:szCs w:val="21"/>
              </w:rPr>
              <w:t>%</w:t>
            </w:r>
          </w:p>
        </w:tc>
        <w:tc>
          <w:tcPr>
            <w:tcW w:w="893"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经营方案</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20分</w:t>
            </w:r>
          </w:p>
        </w:tc>
        <w:tc>
          <w:tcPr>
            <w:tcW w:w="5184" w:type="dxa"/>
            <w:vAlign w:val="center"/>
          </w:tcPr>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投标人须提供经营方案，方案应包含以下内容：</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1.经营模式的创新性和适应性，是否能够满足职工餐厅的需求。</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2.面食档口的菜品种类、质量标准和服务特色。</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3.财务预测和成本控制计划，包括定价策略、成本分析和利润预期。</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4.食品安全管理体系和质量管理措施，包括原材料采购、加工、储存、服务等环节的控制措施。</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5.应急预案和应对市场变化的策略，包括应对食品安全事件、价格波动、供应中断等的能力。</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6.服务承诺和顾客满意度提升计划。</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方案优20分，良10 分，一般5分。</w:t>
            </w:r>
          </w:p>
        </w:tc>
        <w:tc>
          <w:tcPr>
            <w:tcW w:w="1711" w:type="dxa"/>
            <w:vAlign w:val="center"/>
          </w:tcPr>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提供方案，格式内容自拟。</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00"/>
      <w:bookmarkEnd w:id="101"/>
      <w:bookmarkEnd w:id="102"/>
      <w:bookmarkEnd w:id="113"/>
      <w:bookmarkEnd w:id="114"/>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w:t>
      </w:r>
      <w:r>
        <w:rPr>
          <w:rFonts w:hint="eastAsia" w:ascii="微软雅黑" w:hAnsi="微软雅黑" w:eastAsia="微软雅黑" w:cs="微软雅黑"/>
          <w:sz w:val="24"/>
          <w:szCs w:val="24"/>
          <w:lang w:val="en-US" w:eastAsia="zh-CN"/>
        </w:rPr>
        <w:t>不满足</w:t>
      </w:r>
      <w:r>
        <w:rPr>
          <w:rFonts w:hint="eastAsia" w:ascii="微软雅黑" w:hAnsi="微软雅黑" w:eastAsia="微软雅黑" w:cs="微软雅黑"/>
          <w:sz w:val="24"/>
          <w:szCs w:val="24"/>
        </w:rPr>
        <w:t>最</w:t>
      </w:r>
      <w:r>
        <w:rPr>
          <w:rFonts w:hint="eastAsia" w:ascii="微软雅黑" w:hAnsi="微软雅黑" w:eastAsia="微软雅黑" w:cs="微软雅黑"/>
          <w:sz w:val="24"/>
          <w:szCs w:val="24"/>
          <w:lang w:val="en-US" w:eastAsia="zh-CN"/>
        </w:rPr>
        <w:t>低</w:t>
      </w:r>
      <w:r>
        <w:rPr>
          <w:rFonts w:hint="eastAsia" w:ascii="微软雅黑" w:hAnsi="微软雅黑" w:eastAsia="微软雅黑" w:cs="微软雅黑"/>
          <w:sz w:val="24"/>
          <w:szCs w:val="24"/>
        </w:rPr>
        <w:t>限价</w:t>
      </w:r>
      <w:r>
        <w:rPr>
          <w:rFonts w:hint="eastAsia" w:ascii="微软雅黑" w:hAnsi="微软雅黑" w:eastAsia="微软雅黑" w:cs="微软雅黑"/>
          <w:sz w:val="24"/>
          <w:szCs w:val="24"/>
          <w:lang w:val="en-US" w:eastAsia="zh-CN"/>
        </w:rPr>
        <w:t>要求</w:t>
      </w:r>
      <w:r>
        <w:rPr>
          <w:rFonts w:hint="eastAsia" w:ascii="微软雅黑" w:hAnsi="微软雅黑" w:eastAsia="微软雅黑" w:cs="微软雅黑"/>
          <w:sz w:val="24"/>
          <w:szCs w:val="24"/>
        </w:rPr>
        <w:t>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5"/>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5" w:name="_Toc106030891"/>
      <w:bookmarkStart w:id="116" w:name="_Toc10687"/>
      <w:bookmarkStart w:id="117" w:name="_Toc76462336"/>
      <w:bookmarkStart w:id="118" w:name="_Toc15885"/>
      <w:bookmarkStart w:id="119" w:name="_Toc297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3"/>
      <w:bookmarkEnd w:id="104"/>
      <w:bookmarkEnd w:id="115"/>
      <w:bookmarkEnd w:id="116"/>
      <w:bookmarkEnd w:id="117"/>
      <w:r>
        <w:rPr>
          <w:rFonts w:hint="eastAsia" w:ascii="微软雅黑" w:hAnsi="微软雅黑" w:eastAsia="微软雅黑" w:cs="微软雅黑"/>
          <w:sz w:val="24"/>
          <w:lang w:val="en-US" w:eastAsia="zh-CN"/>
        </w:rPr>
        <w:t>废标条款</w:t>
      </w:r>
      <w:bookmarkEnd w:id="118"/>
      <w:bookmarkEnd w:id="119"/>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5"/>
        <w:pageBreakBefore w:val="0"/>
        <w:spacing w:before="200" w:after="200" w:line="240" w:lineRule="auto"/>
        <w:jc w:val="center"/>
        <w:rPr>
          <w:rFonts w:hint="eastAsia" w:ascii="微软雅黑" w:hAnsi="微软雅黑" w:eastAsia="微软雅黑" w:cs="微软雅黑"/>
          <w:b/>
          <w:bCs w:val="0"/>
          <w:sz w:val="44"/>
          <w:szCs w:val="20"/>
        </w:rPr>
      </w:pPr>
      <w:bookmarkStart w:id="120" w:name="_Toc19388"/>
      <w:bookmarkStart w:id="121" w:name="_Toc106030892"/>
      <w:bookmarkStart w:id="122" w:name="_Toc76462337"/>
      <w:bookmarkStart w:id="123" w:name="_Toc29948"/>
      <w:bookmarkStart w:id="124" w:name="_Toc102227313"/>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20"/>
      <w:bookmarkEnd w:id="121"/>
      <w:bookmarkEnd w:id="122"/>
      <w:bookmarkEnd w:id="123"/>
      <w:bookmarkEnd w:id="124"/>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106030893"/>
      <w:bookmarkStart w:id="126" w:name="_Toc342913389"/>
      <w:bookmarkStart w:id="127" w:name="_Toc76462338"/>
      <w:bookmarkStart w:id="128" w:name="_Toc32169"/>
      <w:bookmarkStart w:id="129" w:name="_Toc2671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5"/>
      <w:bookmarkEnd w:id="126"/>
      <w:bookmarkEnd w:id="127"/>
      <w:bookmarkEnd w:id="128"/>
      <w:bookmarkEnd w:id="12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42913391"/>
      <w:bookmarkStart w:id="131" w:name="_Toc106030894"/>
      <w:bookmarkStart w:id="132" w:name="_Toc29479"/>
      <w:bookmarkStart w:id="133" w:name="_Toc15712"/>
      <w:bookmarkStart w:id="134"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30"/>
      <w:bookmarkEnd w:id="131"/>
      <w:bookmarkEnd w:id="132"/>
      <w:bookmarkEnd w:id="133"/>
      <w:bookmarkEnd w:id="13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5" w:name="_Toc318166429"/>
      <w:bookmarkStart w:id="136" w:name="_Toc318159780"/>
      <w:bookmarkStart w:id="137" w:name="_Toc318159349"/>
      <w:bookmarkStart w:id="138" w:name="_Toc318159160"/>
    </w:p>
    <w:bookmarkEnd w:id="135"/>
    <w:bookmarkEnd w:id="136"/>
    <w:bookmarkEnd w:id="137"/>
    <w:bookmarkEnd w:id="138"/>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102227318"/>
      <w:bookmarkStart w:id="140" w:name="_Toc76462340"/>
      <w:bookmarkStart w:id="141" w:name="_Toc26007"/>
      <w:bookmarkStart w:id="142" w:name="_Toc106030895"/>
      <w:bookmarkStart w:id="143" w:name="_Toc342913392"/>
      <w:bookmarkStart w:id="144" w:name="_Toc179714297"/>
      <w:bookmarkStart w:id="145" w:name="_Toc2363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9"/>
      <w:bookmarkEnd w:id="140"/>
      <w:bookmarkEnd w:id="141"/>
      <w:bookmarkEnd w:id="142"/>
      <w:bookmarkEnd w:id="143"/>
      <w:bookmarkEnd w:id="144"/>
      <w:bookmarkEnd w:id="14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6435"/>
      <w:bookmarkStart w:id="147" w:name="_Toc16798"/>
      <w:bookmarkStart w:id="148" w:name="_Toc76462341"/>
      <w:bookmarkStart w:id="149"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6"/>
      <w:bookmarkEnd w:id="147"/>
      <w:bookmarkEnd w:id="148"/>
      <w:bookmarkEnd w:id="149"/>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106030897"/>
      <w:bookmarkStart w:id="151" w:name="_Toc30288"/>
      <w:bookmarkStart w:id="152" w:name="_Toc342913395"/>
      <w:bookmarkStart w:id="153" w:name="_Toc102227321"/>
      <w:bookmarkStart w:id="154" w:name="_Toc76462342"/>
      <w:bookmarkStart w:id="155" w:name="_Toc21532"/>
      <w:r>
        <w:rPr>
          <w:rFonts w:hint="eastAsia" w:ascii="微软雅黑" w:hAnsi="微软雅黑" w:eastAsia="微软雅黑" w:cs="微软雅黑"/>
          <w:sz w:val="24"/>
        </w:rPr>
        <w:t>五、成交通知</w:t>
      </w:r>
      <w:bookmarkEnd w:id="150"/>
      <w:bookmarkEnd w:id="151"/>
      <w:bookmarkEnd w:id="152"/>
      <w:bookmarkEnd w:id="153"/>
      <w:bookmarkEnd w:id="154"/>
      <w:bookmarkEnd w:id="15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21448"/>
      <w:bookmarkStart w:id="157" w:name="_Toc76462343"/>
      <w:bookmarkStart w:id="158" w:name="_Toc5511"/>
      <w:bookmarkStart w:id="159" w:name="_Toc10603089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6"/>
      <w:bookmarkEnd w:id="157"/>
      <w:bookmarkEnd w:id="158"/>
      <w:bookmarkEnd w:id="1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60" w:name="_Toc28334"/>
      <w:bookmarkStart w:id="161" w:name="_Toc76462344"/>
      <w:bookmarkStart w:id="162" w:name="_Toc106030899"/>
    </w:p>
    <w:p>
      <w:pPr>
        <w:pStyle w:val="5"/>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3" w:name="_Toc3236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60"/>
      <w:bookmarkEnd w:id="161"/>
      <w:bookmarkEnd w:id="162"/>
      <w:bookmarkStart w:id="164" w:name="_Toc102227322"/>
      <w:bookmarkStart w:id="165" w:name="_Toc3372"/>
      <w:bookmarkStart w:id="166" w:name="_Toc76462346"/>
      <w:bookmarkStart w:id="167" w:name="_Toc106030901"/>
      <w:bookmarkStart w:id="168" w:name="_Toc342913396"/>
      <w:bookmarkStart w:id="169" w:name="_Toc11641055"/>
      <w:bookmarkStart w:id="170" w:name="_Toc12789059"/>
      <w:r>
        <w:rPr>
          <w:rFonts w:hint="eastAsia" w:ascii="微软雅黑" w:hAnsi="微软雅黑" w:eastAsia="微软雅黑" w:cs="微软雅黑"/>
          <w:color w:val="auto"/>
          <w:sz w:val="24"/>
        </w:rPr>
        <w:t>签订</w:t>
      </w:r>
      <w:bookmarkEnd w:id="164"/>
      <w:r>
        <w:rPr>
          <w:rFonts w:hint="eastAsia" w:ascii="微软雅黑" w:hAnsi="微软雅黑" w:eastAsia="微软雅黑" w:cs="微软雅黑"/>
          <w:color w:val="auto"/>
          <w:sz w:val="24"/>
        </w:rPr>
        <w:t>合同</w:t>
      </w:r>
      <w:bookmarkEnd w:id="163"/>
      <w:bookmarkEnd w:id="165"/>
      <w:bookmarkEnd w:id="166"/>
      <w:bookmarkEnd w:id="167"/>
      <w:bookmarkEnd w:id="168"/>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9"/>
      <w:bookmarkEnd w:id="170"/>
    </w:p>
    <w:p>
      <w:pPr>
        <w:pStyle w:val="5"/>
        <w:spacing w:before="200" w:after="200" w:line="240" w:lineRule="auto"/>
        <w:jc w:val="center"/>
        <w:rPr>
          <w:rFonts w:hint="eastAsia" w:ascii="微软雅黑" w:hAnsi="微软雅黑" w:eastAsia="微软雅黑" w:cs="微软雅黑"/>
          <w:b/>
          <w:sz w:val="44"/>
          <w:szCs w:val="20"/>
        </w:rPr>
      </w:pPr>
      <w:bookmarkStart w:id="171" w:name="_Hlt41879464"/>
      <w:bookmarkEnd w:id="171"/>
      <w:bookmarkStart w:id="172" w:name="_Toc76462349"/>
      <w:bookmarkStart w:id="173" w:name="_Toc13524"/>
      <w:bookmarkStart w:id="174" w:name="_Toc106030905"/>
      <w:bookmarkStart w:id="175" w:name="_Toc27984"/>
      <w:r>
        <w:rPr>
          <w:rFonts w:hint="eastAsia" w:ascii="微软雅黑" w:hAnsi="微软雅黑" w:eastAsia="微软雅黑" w:cs="微软雅黑"/>
          <w:b/>
          <w:sz w:val="44"/>
          <w:szCs w:val="20"/>
        </w:rPr>
        <w:t>第六篇  响应文件编制要求</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五、其他资料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3516146"/>
    <w:rsid w:val="043206CC"/>
    <w:rsid w:val="061218CE"/>
    <w:rsid w:val="06FE671E"/>
    <w:rsid w:val="079B568B"/>
    <w:rsid w:val="07A30BF9"/>
    <w:rsid w:val="07F103E0"/>
    <w:rsid w:val="08183809"/>
    <w:rsid w:val="092E6FC0"/>
    <w:rsid w:val="09A746B3"/>
    <w:rsid w:val="0A823A37"/>
    <w:rsid w:val="0B2471DE"/>
    <w:rsid w:val="0B4077B6"/>
    <w:rsid w:val="0BB87E47"/>
    <w:rsid w:val="0BC54681"/>
    <w:rsid w:val="0BE364E6"/>
    <w:rsid w:val="0CB4432A"/>
    <w:rsid w:val="0D1F249B"/>
    <w:rsid w:val="0D6266C4"/>
    <w:rsid w:val="0DF26CD2"/>
    <w:rsid w:val="0E691BE1"/>
    <w:rsid w:val="0E727B5D"/>
    <w:rsid w:val="104363AE"/>
    <w:rsid w:val="11C02D44"/>
    <w:rsid w:val="147A5E14"/>
    <w:rsid w:val="15935DB5"/>
    <w:rsid w:val="15BB3449"/>
    <w:rsid w:val="17351C20"/>
    <w:rsid w:val="178B1D79"/>
    <w:rsid w:val="17A1211B"/>
    <w:rsid w:val="18247EA8"/>
    <w:rsid w:val="18ED7A84"/>
    <w:rsid w:val="19255AF5"/>
    <w:rsid w:val="193B151F"/>
    <w:rsid w:val="193C005F"/>
    <w:rsid w:val="19425287"/>
    <w:rsid w:val="1A7E6296"/>
    <w:rsid w:val="1AAE78A1"/>
    <w:rsid w:val="1AC5734F"/>
    <w:rsid w:val="1C5F6A76"/>
    <w:rsid w:val="1C8D0319"/>
    <w:rsid w:val="1CC31343"/>
    <w:rsid w:val="1F0D01CA"/>
    <w:rsid w:val="1F9008B2"/>
    <w:rsid w:val="21864056"/>
    <w:rsid w:val="22655A2F"/>
    <w:rsid w:val="23C71C0F"/>
    <w:rsid w:val="2486441F"/>
    <w:rsid w:val="24E61AAB"/>
    <w:rsid w:val="254C6FC4"/>
    <w:rsid w:val="25E7798B"/>
    <w:rsid w:val="265B1B40"/>
    <w:rsid w:val="2AA01F44"/>
    <w:rsid w:val="2CD7370E"/>
    <w:rsid w:val="2D5141FA"/>
    <w:rsid w:val="2E2D3EDF"/>
    <w:rsid w:val="2F8E2B89"/>
    <w:rsid w:val="300C58E0"/>
    <w:rsid w:val="30895BF5"/>
    <w:rsid w:val="32C66882"/>
    <w:rsid w:val="332D1E43"/>
    <w:rsid w:val="33564527"/>
    <w:rsid w:val="35397720"/>
    <w:rsid w:val="378E072C"/>
    <w:rsid w:val="37A85EFC"/>
    <w:rsid w:val="38141CAD"/>
    <w:rsid w:val="38FE6730"/>
    <w:rsid w:val="39AA75C6"/>
    <w:rsid w:val="39C353F8"/>
    <w:rsid w:val="3ACE5D4F"/>
    <w:rsid w:val="3C55524B"/>
    <w:rsid w:val="3CD2331B"/>
    <w:rsid w:val="3DF6488D"/>
    <w:rsid w:val="3E15285A"/>
    <w:rsid w:val="3EEC6CD3"/>
    <w:rsid w:val="3F1C71CA"/>
    <w:rsid w:val="3FEE02A2"/>
    <w:rsid w:val="3FFA0903"/>
    <w:rsid w:val="4000052B"/>
    <w:rsid w:val="406334F2"/>
    <w:rsid w:val="40787A26"/>
    <w:rsid w:val="409F14A1"/>
    <w:rsid w:val="40D95636"/>
    <w:rsid w:val="415F6EA3"/>
    <w:rsid w:val="41B20BF4"/>
    <w:rsid w:val="42395B6E"/>
    <w:rsid w:val="423A7D1B"/>
    <w:rsid w:val="4371698F"/>
    <w:rsid w:val="44D57484"/>
    <w:rsid w:val="45236DFE"/>
    <w:rsid w:val="452C7897"/>
    <w:rsid w:val="45AB16BA"/>
    <w:rsid w:val="467C59FB"/>
    <w:rsid w:val="479F10AA"/>
    <w:rsid w:val="48794403"/>
    <w:rsid w:val="487A6880"/>
    <w:rsid w:val="494C6B8D"/>
    <w:rsid w:val="495312E8"/>
    <w:rsid w:val="49595D88"/>
    <w:rsid w:val="497B7CB3"/>
    <w:rsid w:val="4A370662"/>
    <w:rsid w:val="4AEC1DD8"/>
    <w:rsid w:val="4B2D12E0"/>
    <w:rsid w:val="4BEB6B31"/>
    <w:rsid w:val="4D4E307F"/>
    <w:rsid w:val="4DD36371"/>
    <w:rsid w:val="4E1E28EC"/>
    <w:rsid w:val="4E7E3BEB"/>
    <w:rsid w:val="4F070047"/>
    <w:rsid w:val="4F3C244F"/>
    <w:rsid w:val="4F5A128A"/>
    <w:rsid w:val="4FF705C0"/>
    <w:rsid w:val="5115115D"/>
    <w:rsid w:val="521E4A24"/>
    <w:rsid w:val="52D92ACB"/>
    <w:rsid w:val="52D93D20"/>
    <w:rsid w:val="5331413B"/>
    <w:rsid w:val="53B4776F"/>
    <w:rsid w:val="53DF1E3A"/>
    <w:rsid w:val="55051FF5"/>
    <w:rsid w:val="558E730F"/>
    <w:rsid w:val="55D12ED5"/>
    <w:rsid w:val="569B202A"/>
    <w:rsid w:val="57857077"/>
    <w:rsid w:val="57EF5962"/>
    <w:rsid w:val="5875792F"/>
    <w:rsid w:val="591206FA"/>
    <w:rsid w:val="59592E2D"/>
    <w:rsid w:val="5AA16971"/>
    <w:rsid w:val="5B9C3E91"/>
    <w:rsid w:val="5BF33B96"/>
    <w:rsid w:val="5CA67F0E"/>
    <w:rsid w:val="5CDD02B9"/>
    <w:rsid w:val="5D8B7FF5"/>
    <w:rsid w:val="5DB83C1E"/>
    <w:rsid w:val="60405A91"/>
    <w:rsid w:val="607A6D16"/>
    <w:rsid w:val="60C15D40"/>
    <w:rsid w:val="60E05AE3"/>
    <w:rsid w:val="61625D90"/>
    <w:rsid w:val="65C328F3"/>
    <w:rsid w:val="66246E50"/>
    <w:rsid w:val="665F56FC"/>
    <w:rsid w:val="68BD663A"/>
    <w:rsid w:val="692F74C0"/>
    <w:rsid w:val="69482C1A"/>
    <w:rsid w:val="696405DD"/>
    <w:rsid w:val="6AC17039"/>
    <w:rsid w:val="6B2E5407"/>
    <w:rsid w:val="6C6752B2"/>
    <w:rsid w:val="6E0E5A3E"/>
    <w:rsid w:val="6F4859CD"/>
    <w:rsid w:val="6FE969BF"/>
    <w:rsid w:val="70003319"/>
    <w:rsid w:val="701245F9"/>
    <w:rsid w:val="71175C34"/>
    <w:rsid w:val="7154042A"/>
    <w:rsid w:val="73A243A7"/>
    <w:rsid w:val="744B2CC4"/>
    <w:rsid w:val="747D277F"/>
    <w:rsid w:val="74D70DF7"/>
    <w:rsid w:val="750950F5"/>
    <w:rsid w:val="750D16CF"/>
    <w:rsid w:val="76D6519D"/>
    <w:rsid w:val="771F5130"/>
    <w:rsid w:val="789F3DA6"/>
    <w:rsid w:val="78A52377"/>
    <w:rsid w:val="78EF15F1"/>
    <w:rsid w:val="79082185"/>
    <w:rsid w:val="7A6F77AB"/>
    <w:rsid w:val="7AAC4823"/>
    <w:rsid w:val="7B5B7497"/>
    <w:rsid w:val="7BD6204B"/>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32"/>
    </w:rPr>
  </w:style>
  <w:style w:type="paragraph" w:customStyle="1" w:styleId="3">
    <w:name w:val="引用1"/>
    <w:basedOn w:val="1"/>
    <w:next w:val="1"/>
    <w:qFormat/>
    <w:uiPriority w:val="99"/>
    <w:rPr>
      <w:rFonts w:ascii="Calibri" w:hAnsi="Calibri"/>
      <w:i/>
      <w:iCs/>
      <w:color w:val="000000"/>
      <w:kern w:val="0"/>
      <w:sz w:val="22"/>
      <w:szCs w:val="20"/>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3"/>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1"/>
    <w:next w:val="21"/>
    <w:link w:val="78"/>
    <w:qFormat/>
    <w:uiPriority w:val="0"/>
    <w:pPr>
      <w:adjustRightInd/>
      <w:spacing w:line="240" w:lineRule="auto"/>
      <w:textAlignment w:val="auto"/>
    </w:pPr>
  </w:style>
  <w:style w:type="paragraph" w:styleId="56">
    <w:name w:val="Body Text First Indent"/>
    <w:basedOn w:val="2"/>
    <w:next w:val="57"/>
    <w:qFormat/>
    <w:uiPriority w:val="0"/>
    <w:pPr>
      <w:spacing w:line="360" w:lineRule="auto"/>
      <w:ind w:firstLine="420"/>
    </w:pPr>
    <w:rPr>
      <w:rFonts w:ascii="宋体" w:hAnsi="宋体"/>
      <w:sz w:val="24"/>
    </w:rPr>
  </w:style>
  <w:style w:type="paragraph" w:styleId="57">
    <w:name w:val="Body Text First Indent 2"/>
    <w:basedOn w:val="24"/>
    <w:next w:val="1"/>
    <w:link w:val="79"/>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basedOn w:val="60"/>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5"/>
    <w:qFormat/>
    <w:uiPriority w:val="0"/>
    <w:rPr>
      <w:rFonts w:ascii="Arial" w:hAnsi="Arial" w:eastAsia="黑体"/>
      <w:b/>
      <w:kern w:val="2"/>
      <w:sz w:val="32"/>
    </w:rPr>
  </w:style>
  <w:style w:type="character" w:customStyle="1" w:styleId="72">
    <w:name w:val="标题 3 Char"/>
    <w:link w:val="6"/>
    <w:qFormat/>
    <w:uiPriority w:val="0"/>
    <w:rPr>
      <w:rFonts w:eastAsia="宋体"/>
      <w:b/>
      <w:kern w:val="2"/>
      <w:sz w:val="32"/>
      <w:lang w:val="en-US" w:eastAsia="zh-CN"/>
    </w:rPr>
  </w:style>
  <w:style w:type="character" w:customStyle="1" w:styleId="73">
    <w:name w:val="批注文字 Char"/>
    <w:link w:val="21"/>
    <w:qFormat/>
    <w:uiPriority w:val="0"/>
    <w:rPr>
      <w:sz w:val="24"/>
    </w:rPr>
  </w:style>
  <w:style w:type="character" w:customStyle="1" w:styleId="74">
    <w:name w:val="正文文本缩进 Char"/>
    <w:link w:val="24"/>
    <w:qFormat/>
    <w:uiPriority w:val="0"/>
    <w:rPr>
      <w:kern w:val="2"/>
      <w:sz w:val="44"/>
    </w:rPr>
  </w:style>
  <w:style w:type="character" w:customStyle="1" w:styleId="75">
    <w:name w:val="日期 Char"/>
    <w:link w:val="33"/>
    <w:qFormat/>
    <w:uiPriority w:val="0"/>
    <w:rPr>
      <w:kern w:val="2"/>
      <w:sz w:val="28"/>
    </w:rPr>
  </w:style>
  <w:style w:type="character" w:customStyle="1" w:styleId="76">
    <w:name w:val="正文文本缩进 2 Char"/>
    <w:link w:val="34"/>
    <w:qFormat/>
    <w:uiPriority w:val="0"/>
    <w:rPr>
      <w:kern w:val="2"/>
      <w:sz w:val="28"/>
    </w:rPr>
  </w:style>
  <w:style w:type="character" w:customStyle="1" w:styleId="77">
    <w:name w:val="脚注文本 Char"/>
    <w:link w:val="41"/>
    <w:qFormat/>
    <w:uiPriority w:val="0"/>
    <w:rPr>
      <w:kern w:val="2"/>
      <w:sz w:val="18"/>
    </w:rPr>
  </w:style>
  <w:style w:type="character" w:customStyle="1" w:styleId="78">
    <w:name w:val="批注主题 Char"/>
    <w:link w:val="55"/>
    <w:qFormat/>
    <w:uiPriority w:val="0"/>
  </w:style>
  <w:style w:type="character" w:customStyle="1" w:styleId="79">
    <w:name w:val="正文首行缩进 2 Char"/>
    <w:link w:val="57"/>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6"/>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9"/>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9"/>
    <w:qFormat/>
    <w:uiPriority w:val="0"/>
    <w:rPr>
      <w:rFonts w:ascii="宋体" w:hAnsi="Tahoma"/>
    </w:rPr>
  </w:style>
  <w:style w:type="paragraph" w:customStyle="1" w:styleId="148">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6"/>
    <w:qFormat/>
    <w:uiPriority w:val="0"/>
    <w:pPr>
      <w:numPr>
        <w:ilvl w:val="2"/>
        <w:numId w:val="2"/>
      </w:numPr>
      <w:tabs>
        <w:tab w:val="left" w:pos="709"/>
        <w:tab w:val="left" w:pos="1620"/>
      </w:tabs>
      <w:spacing w:line="413" w:lineRule="auto"/>
    </w:pPr>
  </w:style>
  <w:style w:type="paragraph" w:customStyle="1" w:styleId="176">
    <w:name w:val="样式4"/>
    <w:basedOn w:val="7"/>
    <w:qFormat/>
    <w:uiPriority w:val="0"/>
    <w:pPr>
      <w:adjustRightInd w:val="0"/>
      <w:snapToGrid w:val="0"/>
    </w:pPr>
  </w:style>
  <w:style w:type="paragraph" w:customStyle="1" w:styleId="177">
    <w:name w:val="摘要"/>
    <w:basedOn w:val="1"/>
    <w:next w:val="5"/>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7"/>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60"/>
    <w:qFormat/>
    <w:uiPriority w:val="0"/>
    <w:rPr>
      <w:rFonts w:hint="eastAsia" w:ascii="宋体" w:hAnsi="宋体" w:eastAsia="宋体" w:cs="宋体"/>
      <w:color w:val="000000"/>
      <w:sz w:val="21"/>
      <w:szCs w:val="21"/>
      <w:u w:val="none"/>
    </w:rPr>
  </w:style>
  <w:style w:type="paragraph" w:customStyle="1" w:styleId="248">
    <w:name w:val="_Style 1"/>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166</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Administrator</cp:lastModifiedBy>
  <cp:lastPrinted>2015-03-25T02:14:00Z</cp:lastPrinted>
  <dcterms:modified xsi:type="dcterms:W3CDTF">2026-05-26T06:58:07Z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2FE46B9A900D4DBF921BBE1E5064B10D</vt:lpwstr>
  </property>
</Properties>
</file>