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pStyle w:val="67"/>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pStyle w:val="67"/>
        <w:keepNext/>
        <w:keepLines/>
        <w:pageBreakBefore w:val="0"/>
        <w:widowControl w:val="0"/>
        <w:kinsoku/>
        <w:wordWrap/>
        <w:overflowPunct/>
        <w:topLinePunct w:val="0"/>
        <w:autoSpaceDE/>
        <w:autoSpaceDN/>
        <w:bidi w:val="0"/>
        <w:adjustRightInd/>
        <w:snapToGrid/>
        <w:spacing w:before="100" w:after="100" w:line="300" w:lineRule="auto"/>
        <w:jc w:val="center"/>
        <w:textAlignment w:val="auto"/>
        <w:rPr>
          <w:rFonts w:hint="eastAsia" w:ascii="微软雅黑" w:hAnsi="微软雅黑" w:eastAsia="微软雅黑" w:cs="微软雅黑"/>
          <w:sz w:val="32"/>
        </w:rPr>
      </w:pPr>
      <w:r>
        <w:rPr>
          <w:rFonts w:hint="eastAsia" w:ascii="微软雅黑" w:hAnsi="微软雅黑" w:eastAsia="微软雅黑" w:cs="微软雅黑"/>
          <w:b w:val="0"/>
          <w:kern w:val="2"/>
          <w:sz w:val="130"/>
          <w:szCs w:val="130"/>
          <w:lang w:val="en-US" w:eastAsia="zh-CN" w:bidi="ar-SA"/>
        </w:rPr>
        <w:t xml:space="preserve">   </w:t>
      </w:r>
    </w:p>
    <w:p>
      <w:pPr>
        <w:pStyle w:val="68"/>
        <w:rPr>
          <w:rFonts w:hint="eastAsia" w:ascii="微软雅黑" w:hAnsi="微软雅黑" w:eastAsia="微软雅黑" w:cs="微软雅黑"/>
          <w:b w:val="0"/>
          <w:kern w:val="2"/>
          <w:sz w:val="44"/>
          <w:szCs w:val="44"/>
          <w:lang w:val="en-US" w:eastAsia="zh-CN" w:bidi="ar-SA"/>
        </w:rPr>
      </w:pPr>
    </w:p>
    <w:p>
      <w:pPr>
        <w:spacing w:line="360" w:lineRule="auto"/>
        <w:ind w:firstLine="2520" w:firstLineChars="7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YHQ260316</w:t>
      </w:r>
    </w:p>
    <w:p>
      <w:pPr>
        <w:spacing w:line="700" w:lineRule="exact"/>
        <w:ind w:left="4320" w:hanging="4320" w:hangingChars="1200"/>
        <w:jc w:val="both"/>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 xml:space="preserve">              项目名称</w:t>
      </w:r>
      <w:r>
        <w:rPr>
          <w:rFonts w:hint="eastAsia" w:ascii="微软雅黑" w:hAnsi="微软雅黑" w:eastAsia="微软雅黑" w:cs="微软雅黑"/>
          <w:sz w:val="36"/>
          <w:szCs w:val="36"/>
          <w:u w:val="none"/>
          <w:lang w:val="en-US" w:eastAsia="zh-CN"/>
        </w:rPr>
        <w:t>：</w:t>
      </w:r>
      <w:r>
        <w:rPr>
          <w:rFonts w:hint="eastAsia" w:ascii="微软雅黑" w:hAnsi="微软雅黑" w:eastAsia="微软雅黑" w:cs="微软雅黑"/>
          <w:sz w:val="36"/>
          <w:szCs w:val="36"/>
          <w:u w:val="single"/>
          <w:lang w:val="en-US" w:eastAsia="zh-CN"/>
        </w:rPr>
        <w:t>两院区特殊气体采购</w:t>
      </w:r>
    </w:p>
    <w:p>
      <w:pPr>
        <w:spacing w:line="700" w:lineRule="exact"/>
        <w:ind w:left="2880" w:hanging="2880" w:hangingChars="800"/>
        <w:jc w:val="both"/>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p>
    <w:p>
      <w:pPr>
        <w:spacing w:line="500" w:lineRule="exact"/>
        <w:ind w:firstLine="2520" w:firstLineChars="700"/>
        <w:jc w:val="both"/>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lang w:val="en-US" w:eastAsia="zh-CN"/>
        </w:rPr>
        <w:t>2026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_Toc29440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_Toc29440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_Toc30227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w:t>
      </w:r>
      <w:r>
        <w:rPr>
          <w:sz w:val="24"/>
          <w:szCs w:val="24"/>
        </w:rPr>
        <w:tab/>
      </w:r>
      <w:r>
        <w:rPr>
          <w:sz w:val="24"/>
          <w:szCs w:val="24"/>
        </w:rPr>
        <w:fldChar w:fldCharType="begin"/>
      </w:r>
      <w:r>
        <w:rPr>
          <w:sz w:val="24"/>
          <w:szCs w:val="24"/>
        </w:rPr>
        <w:instrText xml:space="preserve"> PAGEREF _Toc30227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资格条件</w:t>
      </w:r>
      <w:r>
        <w:rPr>
          <w:sz w:val="24"/>
          <w:szCs w:val="24"/>
        </w:rPr>
        <w:tab/>
      </w:r>
      <w:r>
        <w:rPr>
          <w:sz w:val="24"/>
          <w:szCs w:val="24"/>
        </w:rPr>
        <w:fldChar w:fldCharType="begin"/>
      </w:r>
      <w:r>
        <w:rPr>
          <w:sz w:val="24"/>
          <w:szCs w:val="24"/>
        </w:rPr>
        <w:instrText xml:space="preserve"> PAGEREF _Toc22677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_Toc13324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有关说明</w:t>
      </w:r>
      <w:r>
        <w:rPr>
          <w:sz w:val="24"/>
          <w:szCs w:val="24"/>
        </w:rPr>
        <w:tab/>
      </w:r>
      <w:r>
        <w:rPr>
          <w:sz w:val="24"/>
          <w:szCs w:val="24"/>
        </w:rPr>
        <w:fldChar w:fldCharType="begin"/>
      </w:r>
      <w:r>
        <w:rPr>
          <w:sz w:val="24"/>
          <w:szCs w:val="24"/>
        </w:rPr>
        <w:instrText xml:space="preserve"> PAGEREF _Toc13324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_Toc1570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_Toc23073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、其它</w:t>
      </w:r>
      <w:r>
        <w:rPr>
          <w:sz w:val="24"/>
          <w:szCs w:val="24"/>
        </w:rPr>
        <w:tab/>
      </w:r>
      <w:r>
        <w:rPr>
          <w:sz w:val="24"/>
          <w:szCs w:val="24"/>
        </w:rPr>
        <w:fldChar w:fldCharType="begin"/>
      </w:r>
      <w:r>
        <w:rPr>
          <w:sz w:val="24"/>
          <w:szCs w:val="24"/>
        </w:rPr>
        <w:instrText xml:space="preserve"> PAGEREF _Toc23073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_Toc22608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、联系方式</w:t>
      </w:r>
      <w:r>
        <w:rPr>
          <w:sz w:val="24"/>
          <w:szCs w:val="24"/>
        </w:rPr>
        <w:tab/>
      </w:r>
      <w:r>
        <w:rPr>
          <w:sz w:val="24"/>
          <w:szCs w:val="24"/>
        </w:rPr>
        <w:fldChar w:fldCharType="begin"/>
      </w:r>
      <w:r>
        <w:rPr>
          <w:sz w:val="24"/>
          <w:szCs w:val="24"/>
        </w:rPr>
        <w:instrText xml:space="preserve"> PAGEREF _Toc22608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7"/>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_Toc9327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_Toc19917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_Toc19917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_Toc16738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_Toc16738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_Toc5181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程序</w:t>
      </w:r>
      <w:r>
        <w:rPr>
          <w:sz w:val="24"/>
          <w:szCs w:val="24"/>
        </w:rPr>
        <w:tab/>
      </w:r>
      <w:r>
        <w:rPr>
          <w:sz w:val="24"/>
          <w:szCs w:val="24"/>
        </w:rPr>
        <w:fldChar w:fldCharType="begin"/>
      </w:r>
      <w:r>
        <w:rPr>
          <w:sz w:val="24"/>
          <w:szCs w:val="24"/>
        </w:rPr>
        <w:instrText xml:space="preserve"> PAGEREF _Toc5181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三、评标方法</w:t>
      </w:r>
      <w:r>
        <w:rPr>
          <w:sz w:val="24"/>
          <w:szCs w:val="24"/>
        </w:rPr>
        <w:tab/>
      </w:r>
      <w:r>
        <w:rPr>
          <w:sz w:val="24"/>
          <w:szCs w:val="24"/>
        </w:rPr>
        <w:fldChar w:fldCharType="begin"/>
      </w:r>
      <w:r>
        <w:rPr>
          <w:sz w:val="24"/>
          <w:szCs w:val="24"/>
        </w:rPr>
        <w:instrText xml:space="preserve"> PAGEREF _Toc22093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四、评审标准</w:t>
      </w:r>
      <w:r>
        <w:rPr>
          <w:sz w:val="24"/>
          <w:szCs w:val="24"/>
        </w:rPr>
        <w:tab/>
      </w:r>
      <w:r>
        <w:rPr>
          <w:sz w:val="24"/>
          <w:szCs w:val="24"/>
        </w:rPr>
        <w:fldChar w:fldCharType="begin"/>
      </w:r>
      <w:r>
        <w:rPr>
          <w:sz w:val="24"/>
          <w:szCs w:val="24"/>
        </w:rPr>
        <w:instrText xml:space="preserve"> PAGEREF _Toc21990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_Toc25770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、无效响应</w:t>
      </w:r>
      <w:r>
        <w:rPr>
          <w:sz w:val="24"/>
          <w:szCs w:val="24"/>
        </w:rPr>
        <w:tab/>
      </w:r>
      <w:r>
        <w:rPr>
          <w:sz w:val="24"/>
          <w:szCs w:val="24"/>
        </w:rPr>
        <w:fldChar w:fldCharType="begin"/>
      </w:r>
      <w:r>
        <w:rPr>
          <w:sz w:val="24"/>
          <w:szCs w:val="24"/>
        </w:rPr>
        <w:instrText xml:space="preserve"> PAGEREF _Toc25770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_Toc13026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废标条款</w:t>
      </w:r>
      <w:r>
        <w:rPr>
          <w:sz w:val="24"/>
          <w:szCs w:val="24"/>
        </w:rPr>
        <w:tab/>
      </w:r>
      <w:r>
        <w:rPr>
          <w:sz w:val="24"/>
          <w:szCs w:val="24"/>
        </w:rPr>
        <w:fldChar w:fldCharType="begin"/>
      </w:r>
      <w:r>
        <w:rPr>
          <w:sz w:val="24"/>
          <w:szCs w:val="24"/>
        </w:rPr>
        <w:instrText xml:space="preserve"> PAGEREF _Toc13026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_Toc12066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val="0"/>
          <w:sz w:val="24"/>
          <w:szCs w:val="24"/>
        </w:rPr>
        <w:t xml:space="preserve">第五篇  </w:t>
      </w:r>
      <w:r>
        <w:rPr>
          <w:rFonts w:hint="eastAsia" w:ascii="微软雅黑" w:hAnsi="微软雅黑" w:eastAsia="微软雅黑" w:cs="微软雅黑"/>
          <w:bCs w:val="0"/>
          <w:sz w:val="24"/>
          <w:szCs w:val="24"/>
          <w:lang w:eastAsia="zh-CN"/>
        </w:rPr>
        <w:t>投标人</w:t>
      </w:r>
      <w:r>
        <w:rPr>
          <w:rFonts w:hint="eastAsia" w:ascii="微软雅黑" w:hAnsi="微软雅黑" w:eastAsia="微软雅黑" w:cs="微软雅黑"/>
          <w:bCs w:val="0"/>
          <w:sz w:val="24"/>
          <w:szCs w:val="24"/>
        </w:rPr>
        <w:t>须知</w:t>
      </w:r>
      <w:r>
        <w:rPr>
          <w:sz w:val="24"/>
          <w:szCs w:val="24"/>
        </w:rPr>
        <w:tab/>
      </w:r>
      <w:r>
        <w:rPr>
          <w:sz w:val="24"/>
          <w:szCs w:val="24"/>
        </w:rPr>
        <w:fldChar w:fldCharType="begin"/>
      </w:r>
      <w:r>
        <w:rPr>
          <w:sz w:val="24"/>
          <w:szCs w:val="24"/>
        </w:rPr>
        <w:instrText xml:space="preserve"> PAGEREF _Toc12066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_Toc16988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_Toc16988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sz w:val="24"/>
          <w:szCs w:val="24"/>
        </w:rPr>
        <w:tab/>
      </w:r>
      <w:r>
        <w:rPr>
          <w:sz w:val="24"/>
          <w:szCs w:val="24"/>
        </w:rPr>
        <w:fldChar w:fldCharType="begin"/>
      </w:r>
      <w:r>
        <w:rPr>
          <w:sz w:val="24"/>
          <w:szCs w:val="24"/>
        </w:rPr>
        <w:instrText xml:space="preserve"> PAGEREF _Toc31408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要求</w:t>
      </w:r>
      <w:r>
        <w:rPr>
          <w:sz w:val="24"/>
          <w:szCs w:val="24"/>
        </w:rPr>
        <w:tab/>
      </w:r>
      <w:r>
        <w:rPr>
          <w:sz w:val="24"/>
          <w:szCs w:val="24"/>
        </w:rPr>
        <w:fldChar w:fldCharType="begin"/>
      </w:r>
      <w:r>
        <w:rPr>
          <w:sz w:val="24"/>
          <w:szCs w:val="24"/>
        </w:rPr>
        <w:instrText xml:space="preserve"> PAGEREF _Toc7643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_Toc10580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sz w:val="24"/>
          <w:szCs w:val="24"/>
        </w:rPr>
        <w:tab/>
      </w:r>
      <w:r>
        <w:rPr>
          <w:sz w:val="24"/>
          <w:szCs w:val="24"/>
        </w:rPr>
        <w:fldChar w:fldCharType="begin"/>
      </w:r>
      <w:r>
        <w:rPr>
          <w:sz w:val="24"/>
          <w:szCs w:val="24"/>
        </w:rPr>
        <w:instrText xml:space="preserve"> PAGEREF _Toc10580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_Toc23469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_Toc23469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w:t>
      </w:r>
      <w:r>
        <w:rPr>
          <w:rFonts w:hint="eastAsia" w:ascii="微软雅黑" w:hAnsi="微软雅黑" w:eastAsia="微软雅黑" w:cs="微软雅黑"/>
          <w:sz w:val="24"/>
          <w:szCs w:val="24"/>
          <w:lang w:val="en-US" w:eastAsia="zh-CN"/>
        </w:rPr>
        <w:t>处理</w:t>
      </w:r>
      <w:r>
        <w:rPr>
          <w:sz w:val="24"/>
          <w:szCs w:val="24"/>
        </w:rPr>
        <w:tab/>
      </w:r>
      <w:r>
        <w:rPr>
          <w:sz w:val="24"/>
          <w:szCs w:val="24"/>
        </w:rPr>
        <w:fldChar w:fldCharType="begin"/>
      </w:r>
      <w:r>
        <w:rPr>
          <w:sz w:val="24"/>
          <w:szCs w:val="24"/>
        </w:rPr>
        <w:instrText xml:space="preserve"> PAGEREF _Toc27460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_Toc6600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_Toc17106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_Toc17106 \h </w:instrText>
      </w:r>
      <w:r>
        <w:rPr>
          <w:sz w:val="24"/>
          <w:szCs w:val="24"/>
        </w:rPr>
        <w:fldChar w:fldCharType="separate"/>
      </w:r>
      <w:r>
        <w:rPr>
          <w:sz w:val="24"/>
          <w:szCs w:val="24"/>
        </w:rPr>
        <w:t>- 14 -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_Toc1185 \h </w:instrText>
      </w:r>
      <w:r>
        <w:rPr>
          <w:sz w:val="24"/>
          <w:szCs w:val="24"/>
        </w:rPr>
        <w:fldChar w:fldCharType="separate"/>
      </w:r>
      <w:r>
        <w:rPr>
          <w:sz w:val="24"/>
          <w:szCs w:val="24"/>
        </w:rPr>
        <w:t>- 16 -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服务</w:t>
      </w:r>
      <w:r>
        <w:rPr>
          <w:rFonts w:hint="eastAsia" w:ascii="微软雅黑" w:hAnsi="微软雅黑" w:eastAsia="微软雅黑" w:cs="微软雅黑"/>
          <w:sz w:val="24"/>
          <w:szCs w:val="24"/>
        </w:rPr>
        <w:t>部分</w:t>
      </w:r>
      <w:r>
        <w:rPr>
          <w:sz w:val="24"/>
          <w:szCs w:val="24"/>
        </w:rPr>
        <w:tab/>
      </w:r>
      <w:r>
        <w:rPr>
          <w:sz w:val="24"/>
          <w:szCs w:val="24"/>
        </w:rPr>
        <w:fldChar w:fldCharType="begin"/>
      </w:r>
      <w:r>
        <w:rPr>
          <w:sz w:val="24"/>
          <w:szCs w:val="24"/>
        </w:rPr>
        <w:instrText xml:space="preserve"> PAGEREF _Toc14434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_Toc25027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_Toc18208 \h </w:instrText>
      </w:r>
      <w:r>
        <w:rPr>
          <w:sz w:val="24"/>
          <w:szCs w:val="24"/>
        </w:rPr>
        <w:fldChar w:fldCharType="separate"/>
      </w:r>
      <w:r>
        <w:rPr>
          <w:sz w:val="24"/>
          <w:szCs w:val="24"/>
        </w:rPr>
        <w:t>- 23 -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_Toc9271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_Toc9271 \h </w:instrText>
      </w:r>
      <w:r>
        <w:rPr>
          <w:sz w:val="24"/>
          <w:szCs w:val="24"/>
        </w:rPr>
        <w:fldChar w:fldCharType="separate"/>
      </w:r>
      <w:r>
        <w:rPr>
          <w:sz w:val="24"/>
          <w:szCs w:val="24"/>
        </w:rPr>
        <w:t>- 29 -</w:t>
      </w:r>
      <w:r>
        <w:rPr>
          <w:sz w:val="24"/>
          <w:szCs w:val="24"/>
        </w:rPr>
        <w:fldChar w:fldCharType="end"/>
      </w:r>
      <w:r>
        <w:rPr>
          <w:rFonts w:hint="eastAsia" w:ascii="微软雅黑" w:hAnsi="微软雅黑" w:eastAsia="微软雅黑" w:cs="微软雅黑"/>
          <w:sz w:val="24"/>
          <w:szCs w:val="24"/>
        </w:rPr>
        <w:fldChar w:fldCharType="end"/>
      </w:r>
    </w:p>
    <w:p>
      <w:pPr>
        <w:pStyle w:val="45"/>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b/>
          <w:sz w:val="44"/>
          <w:szCs w:val="20"/>
        </w:rPr>
      </w:pPr>
      <w:bookmarkStart w:id="0" w:name="_Toc106030870"/>
      <w:bookmarkStart w:id="1" w:name="_Toc29440"/>
      <w:bookmarkStart w:id="2" w:name="_Toc24037"/>
      <w:bookmarkStart w:id="3" w:name="_Toc11641050"/>
      <w:bookmarkStart w:id="4" w:name="_Toc12789052"/>
      <w:bookmarkStart w:id="5" w:name="_Toc76462316"/>
      <w:r>
        <w:rPr>
          <w:rFonts w:hint="eastAsia" w:ascii="微软雅黑" w:hAnsi="微软雅黑" w:eastAsia="微软雅黑" w:cs="微软雅黑"/>
          <w:b/>
          <w:sz w:val="44"/>
          <w:szCs w:val="20"/>
        </w:rPr>
        <w:t>第一篇  采购邀请书</w:t>
      </w:r>
      <w:bookmarkEnd w:id="0"/>
      <w:bookmarkEnd w:id="1"/>
      <w:bookmarkEnd w:id="2"/>
      <w:bookmarkEnd w:id="3"/>
      <w:bookmarkEnd w:id="4"/>
      <w:bookmarkEnd w:id="5"/>
    </w:p>
    <w:p>
      <w:pPr>
        <w:keepNext w:val="0"/>
        <w:keepLines w:val="0"/>
        <w:pageBreakBefore w:val="0"/>
        <w:widowControl/>
        <w:kinsoku/>
        <w:wordWrap/>
        <w:overflowPunct/>
        <w:topLinePunct w:val="0"/>
        <w:autoSpaceDE/>
        <w:autoSpaceDN/>
        <w:bidi w:val="0"/>
        <w:adjustRightInd w:val="0"/>
        <w:snapToGrid w:val="0"/>
        <w:jc w:val="left"/>
        <w:textAlignment w:val="auto"/>
        <w:rPr>
          <w:rFonts w:hint="eastAsia" w:ascii="微软雅黑" w:hAnsi="微软雅黑" w:eastAsia="微软雅黑" w:cs="微软雅黑"/>
          <w:sz w:val="28"/>
          <w:szCs w:val="20"/>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两院区特殊气体采购</w:t>
      </w:r>
      <w:r>
        <w:rPr>
          <w:rFonts w:hint="eastAsia" w:ascii="微软雅黑" w:hAnsi="微软雅黑" w:eastAsia="微软雅黑" w:cs="微软雅黑"/>
          <w:sz w:val="24"/>
          <w:szCs w:val="24"/>
          <w:u w:val="none"/>
          <w:lang w:val="en-US" w:eastAsia="zh-CN"/>
        </w:rPr>
        <w:t>项</w:t>
      </w:r>
      <w:r>
        <w:rPr>
          <w:rFonts w:hint="eastAsia" w:ascii="微软雅黑" w:hAnsi="微软雅黑" w:eastAsia="微软雅黑" w:cs="微软雅黑"/>
          <w:sz w:val="24"/>
          <w:szCs w:val="24"/>
        </w:rPr>
        <w:t>目进行</w:t>
      </w:r>
      <w:r>
        <w:rPr>
          <w:rFonts w:hint="eastAsia" w:ascii="微软雅黑" w:hAnsi="微软雅黑" w:eastAsia="微软雅黑" w:cs="微软雅黑"/>
          <w:sz w:val="24"/>
          <w:szCs w:val="24"/>
          <w:lang w:val="en-US" w:eastAsia="zh-CN"/>
        </w:rPr>
        <w:t>公开比选</w:t>
      </w:r>
      <w:r>
        <w:rPr>
          <w:rFonts w:hint="eastAsia" w:ascii="微软雅黑" w:hAnsi="微软雅黑" w:eastAsia="微软雅黑" w:cs="微软雅黑"/>
          <w:sz w:val="24"/>
          <w:szCs w:val="24"/>
        </w:rPr>
        <w:t>采购。欢迎有资格的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前来</w:t>
      </w:r>
      <w:r>
        <w:rPr>
          <w:rFonts w:hint="eastAsia" w:ascii="微软雅黑" w:hAnsi="微软雅黑" w:eastAsia="微软雅黑" w:cs="微软雅黑"/>
          <w:sz w:val="24"/>
          <w:szCs w:val="24"/>
          <w:lang w:val="en-US" w:eastAsia="zh-CN"/>
        </w:rPr>
        <w:t>参与</w:t>
      </w:r>
      <w:r>
        <w:rPr>
          <w:rFonts w:hint="eastAsia" w:ascii="微软雅黑" w:hAnsi="微软雅黑" w:eastAsia="微软雅黑" w:cs="微软雅黑"/>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6" w:name="_Toc106030871"/>
      <w:bookmarkStart w:id="7" w:name="_Toc313893526"/>
      <w:bookmarkStart w:id="8" w:name="_Toc3856"/>
      <w:bookmarkStart w:id="9" w:name="_Toc30227"/>
      <w:bookmarkStart w:id="10" w:name="_Toc317775175"/>
      <w:bookmarkStart w:id="11" w:name="_Toc764623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内容</w:t>
      </w:r>
      <w:bookmarkEnd w:id="6"/>
      <w:bookmarkEnd w:id="7"/>
      <w:bookmarkEnd w:id="8"/>
      <w:bookmarkEnd w:id="9"/>
      <w:bookmarkEnd w:id="10"/>
      <w:bookmarkEnd w:id="11"/>
    </w:p>
    <w:tbl>
      <w:tblPr>
        <w:tblStyle w:val="57"/>
        <w:tblW w:w="48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2554"/>
        <w:gridCol w:w="2695"/>
        <w:gridCol w:w="898"/>
        <w:gridCol w:w="1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jc w:val="center"/>
        </w:trPr>
        <w:tc>
          <w:tcPr>
            <w:tcW w:w="79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bookmarkStart w:id="12" w:name="_Toc106030872"/>
            <w:bookmarkStart w:id="13" w:name="_Toc76462318"/>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42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150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val="en-US" w:eastAsia="zh-CN"/>
              </w:rPr>
              <w:t>最高限价</w:t>
            </w:r>
          </w:p>
        </w:tc>
        <w:tc>
          <w:tcPr>
            <w:tcW w:w="502"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765"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79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YHQ260316</w:t>
            </w:r>
          </w:p>
        </w:tc>
        <w:tc>
          <w:tcPr>
            <w:tcW w:w="142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lang w:val="en-US" w:eastAsia="zh-CN"/>
              </w:rPr>
            </w:pPr>
            <w:r>
              <w:rPr>
                <w:rFonts w:hint="eastAsia" w:ascii="微软雅黑" w:hAnsi="微软雅黑" w:eastAsia="微软雅黑" w:cs="微软雅黑"/>
                <w:sz w:val="21"/>
                <w:szCs w:val="21"/>
                <w:u w:val="none"/>
                <w:lang w:val="en-US" w:eastAsia="zh-CN"/>
              </w:rPr>
              <w:t>两院区特殊气体采购</w:t>
            </w:r>
          </w:p>
        </w:tc>
        <w:tc>
          <w:tcPr>
            <w:tcW w:w="150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sz w:val="21"/>
                <w:szCs w:val="21"/>
                <w:lang w:val="en-US" w:eastAsia="zh-CN"/>
              </w:rPr>
              <w:t>详见“第二篇 项目技术（质量）需求”中“项目清单及限价”</w:t>
            </w:r>
          </w:p>
        </w:tc>
        <w:tc>
          <w:tcPr>
            <w:tcW w:w="50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2000</w:t>
            </w:r>
          </w:p>
        </w:tc>
        <w:tc>
          <w:tcPr>
            <w:tcW w:w="76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22677"/>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lang w:val="en-US" w:eastAsia="zh-CN"/>
        </w:rPr>
        <w:t>投标人</w:t>
      </w:r>
      <w:r>
        <w:rPr>
          <w:rFonts w:hint="eastAsia" w:ascii="微软雅黑" w:hAnsi="微软雅黑" w:eastAsia="微软雅黑" w:cs="微软雅黑"/>
          <w:sz w:val="24"/>
        </w:rPr>
        <w:t>资格条件</w:t>
      </w:r>
      <w:bookmarkEnd w:id="17"/>
      <w:bookmarkEnd w:id="18"/>
      <w:bookmarkEnd w:id="19"/>
      <w:bookmarkEnd w:id="20"/>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（一）满足《中华人民共和国政府采购法》第二十二条规定；</w:t>
      </w:r>
    </w:p>
    <w:p>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firstLine="480" w:firstLineChars="200"/>
        <w:jc w:val="both"/>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投标人特定资格条件</w:t>
      </w:r>
      <w:r>
        <w:rPr>
          <w:rFonts w:hint="eastAsia" w:ascii="微软雅黑" w:hAnsi="微软雅黑" w:eastAsia="微软雅黑" w:cs="微软雅黑"/>
          <w:sz w:val="24"/>
          <w:szCs w:val="24"/>
          <w:lang w:val="en-US" w:eastAsia="zh-CN"/>
        </w:rPr>
        <w:t>：</w:t>
      </w:r>
    </w:p>
    <w:p>
      <w:pPr>
        <w:spacing w:line="400" w:lineRule="exact"/>
        <w:ind w:firstLine="480" w:firstLineChars="200"/>
        <w:rPr>
          <w:rFonts w:hint="eastAsia" w:ascii="微软雅黑" w:hAnsi="微软雅黑" w:eastAsia="微软雅黑" w:cs="微软雅黑"/>
          <w:color w:val="auto"/>
          <w:sz w:val="24"/>
          <w:szCs w:val="24"/>
          <w:lang w:val="en-US" w:eastAsia="zh-CN"/>
        </w:rPr>
      </w:pPr>
      <w:bookmarkStart w:id="21" w:name="_Toc106030874"/>
      <w:bookmarkStart w:id="22" w:name="_Toc13324"/>
      <w:bookmarkStart w:id="23" w:name="_Toc76462320"/>
      <w:bookmarkStart w:id="24" w:name="_Toc27954"/>
      <w:r>
        <w:rPr>
          <w:rFonts w:hint="eastAsia" w:ascii="微软雅黑" w:hAnsi="微软雅黑" w:eastAsia="微软雅黑" w:cs="微软雅黑"/>
          <w:color w:val="auto"/>
          <w:sz w:val="24"/>
          <w:szCs w:val="24"/>
          <w:lang w:val="en-US" w:eastAsia="zh-CN"/>
        </w:rPr>
        <w:t>1.投标人具有危险化学品经营许可证（有效期内），并提供复印件并加盖鲜章。</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2.投标人获得中华人民共和国危化品道路运输经营许可证（有效期内），或提供的运输单位具有中华人民共和国危化品道路运输经营许可证（有效期内），若所持危化品道路运输经营许可证非投标人自有，需提供与持证运输单位的车辆租赁协议。以上资料需提供复印件并加盖鲜章。</w:t>
      </w:r>
    </w:p>
    <w:p>
      <w:pPr>
        <w:spacing w:line="400" w:lineRule="exact"/>
        <w:ind w:firstLine="480" w:firstLineChars="20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3.投标人为生产企业，应具有质量技术监督局颁发的气瓶充装许可证（有效期内）；投标人为经销商，采购产品的生产企业应具有质量技术监督局颁发的气瓶充装许可证（有效期内），并提供复印件并加盖鲜章。</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文件以及其他所有项目资料，无论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下载与否，均视为已知晓所有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w:t>
      </w:r>
      <w:r>
        <w:rPr>
          <w:rFonts w:hint="eastAsia" w:ascii="微软雅黑" w:hAnsi="微软雅黑" w:eastAsia="微软雅黑" w:cs="微软雅黑"/>
          <w:color w:val="auto"/>
          <w:sz w:val="24"/>
          <w:szCs w:val="24"/>
          <w:lang w:val="en-US" w:eastAsia="zh-CN"/>
        </w:rPr>
        <w:t>投标人须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106034625"/>
      <w:bookmarkStart w:id="26" w:name="_Toc65660334"/>
      <w:bookmarkStart w:id="27" w:name="_Toc6178"/>
      <w:bookmarkStart w:id="28" w:name="_Toc1570"/>
      <w:bookmarkStart w:id="29" w:name="_Toc521053053"/>
      <w:bookmarkStart w:id="30" w:name="_Toc11956"/>
      <w:bookmarkStart w:id="31" w:name="_Toc12841"/>
      <w:bookmarkStart w:id="32" w:name="_Toc525047161"/>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应足额交纳保证金（保证金金额详见本篇，一、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内容），并通过银行转账的方式直接转入重庆医科大学附属儿童医院对公账户</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lang w:val="en-US" w:eastAsia="zh-CN"/>
        </w:rPr>
        <w:t>单位：重庆医科大学附属儿童医院，开户行：中国建设银行股份有限公司重庆渝中区观音岩支行，账号：50050101380000000168</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rPr>
        <w:t>并备注项目编号、项目名称（例：YXX220001服务器项目投标保证金），交纳凭据须在重庆医科大学附属儿童医院电子招投标平台报名过程中上传。</w:t>
      </w:r>
    </w:p>
    <w:p>
      <w:pPr>
        <w:pStyle w:val="33"/>
        <w:spacing w:line="400" w:lineRule="exact"/>
        <w:ind w:left="0" w:firstLine="54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2.各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w:t>
      </w:r>
      <w:r>
        <w:rPr>
          <w:rFonts w:hint="eastAsia" w:ascii="微软雅黑" w:hAnsi="微软雅黑" w:eastAsia="微软雅黑" w:cs="微软雅黑"/>
          <w:color w:val="auto"/>
          <w:sz w:val="24"/>
          <w:szCs w:val="24"/>
        </w:rPr>
        <w:t>写</w:t>
      </w:r>
      <w:r>
        <w:rPr>
          <w:rFonts w:hint="eastAsia" w:ascii="微软雅黑" w:hAnsi="微软雅黑" w:eastAsia="微软雅黑" w:cs="微软雅黑"/>
          <w:color w:val="auto"/>
          <w:sz w:val="24"/>
          <w:szCs w:val="24"/>
          <w:lang w:val="en-US" w:eastAsia="zh-CN"/>
        </w:rPr>
        <w:t>指定的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"mailto:2.中标人的保证金，将在与我院完成签订本项目合同并提交采购管理处（将合同扫描文件发送至zbb63632469@qq.com）之后60个工作日内，无息退还至项目报名时所填写的投标人对公账户。"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w:t>
      </w:r>
      <w:r>
        <w:rPr>
          <w:rFonts w:hint="eastAsia" w:ascii="微软雅黑" w:hAnsi="微软雅黑" w:eastAsia="微软雅黑" w:cs="微软雅黑"/>
          <w:sz w:val="24"/>
          <w:szCs w:val="24"/>
          <w:lang w:val="en-US" w:eastAsia="zh-CN"/>
        </w:rPr>
        <w:t>内</w:t>
      </w:r>
      <w:r>
        <w:rPr>
          <w:rFonts w:hint="eastAsia" w:ascii="微软雅黑" w:hAnsi="微软雅黑" w:eastAsia="微软雅黑" w:cs="微软雅黑"/>
          <w:sz w:val="24"/>
          <w:szCs w:val="24"/>
        </w:rPr>
        <w:t>，无息退还至项目报名时所填写的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对公账户。</w:t>
      </w:r>
      <w:r>
        <w:rPr>
          <w:rFonts w:hint="eastAsia" w:ascii="微软雅黑" w:hAnsi="微软雅黑" w:eastAsia="微软雅黑" w:cs="微软雅黑"/>
          <w:sz w:val="24"/>
          <w:szCs w:val="24"/>
        </w:rPr>
        <w:fldChar w:fldCharType="end"/>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bookmarkStart w:id="169" w:name="_GoBack"/>
      <w:bookmarkEnd w:id="169"/>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240" w:firstLineChars="100"/>
        <w:rPr>
          <w:rFonts w:hint="eastAsia" w:ascii="微软雅黑" w:hAnsi="微软雅黑" w:eastAsia="微软雅黑" w:cs="微软雅黑"/>
          <w:sz w:val="24"/>
        </w:rPr>
      </w:pPr>
      <w:bookmarkStart w:id="33" w:name="_Toc65660335"/>
      <w:bookmarkStart w:id="34" w:name="_Toc2945"/>
      <w:bookmarkStart w:id="35" w:name="_Toc521053054"/>
      <w:bookmarkStart w:id="36" w:name="_Toc106034626"/>
      <w:bookmarkStart w:id="37" w:name="_Toc525047162"/>
      <w:bookmarkStart w:id="38" w:name="_Toc4355"/>
      <w:bookmarkStart w:id="39" w:name="_Toc1546"/>
      <w:bookmarkStart w:id="40" w:name="_Toc23073"/>
      <w:r>
        <w:rPr>
          <w:rFonts w:hint="eastAsia" w:ascii="微软雅黑" w:hAnsi="微软雅黑" w:eastAsia="微软雅黑" w:cs="微软雅黑"/>
          <w:sz w:val="24"/>
          <w:lang w:val="en-US" w:eastAsia="zh-CN"/>
        </w:rPr>
        <w:t>五</w:t>
      </w:r>
      <w:r>
        <w:rPr>
          <w:rFonts w:hint="eastAsia" w:ascii="微软雅黑" w:hAnsi="微软雅黑" w:eastAsia="微软雅黑" w:cs="微软雅黑"/>
          <w:sz w:val="24"/>
        </w:rPr>
        <w:t>、</w:t>
      </w:r>
      <w:bookmarkEnd w:id="33"/>
      <w:bookmarkEnd w:id="34"/>
      <w:bookmarkEnd w:id="35"/>
      <w:bookmarkEnd w:id="36"/>
      <w:bookmarkEnd w:id="37"/>
      <w:bookmarkEnd w:id="38"/>
      <w:bookmarkStart w:id="41" w:name="_Toc16269"/>
      <w:bookmarkStart w:id="42" w:name="_Toc525047163"/>
      <w:bookmarkStart w:id="43" w:name="_Toc106034627"/>
      <w:bookmarkStart w:id="44" w:name="_Toc521053055"/>
      <w:bookmarkStart w:id="45" w:name="_Toc6563"/>
      <w:bookmarkStart w:id="46" w:name="_Toc65660336"/>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文件有任何实质性疑问，应当以书面形式向招标方提出质疑，并须将该质疑文件纸质版（须加盖提出质疑单位的公章确认）在</w:t>
      </w:r>
      <w:r>
        <w:rPr>
          <w:rFonts w:hint="eastAsia" w:ascii="微软雅黑" w:hAnsi="微软雅黑" w:eastAsia="微软雅黑" w:cs="微软雅黑"/>
          <w:sz w:val="24"/>
          <w:szCs w:val="24"/>
          <w:lang w:val="en-US" w:eastAsia="zh-CN"/>
        </w:rPr>
        <w:t>投标截止时间前</w:t>
      </w:r>
      <w:r>
        <w:rPr>
          <w:rFonts w:hint="eastAsia" w:ascii="微软雅黑" w:hAnsi="微软雅黑" w:eastAsia="微软雅黑" w:cs="微软雅黑"/>
          <w:sz w:val="24"/>
          <w:szCs w:val="24"/>
        </w:rPr>
        <w:t>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65660337"/>
      <w:bookmarkStart w:id="49" w:name="_Toc521053056"/>
      <w:bookmarkStart w:id="50" w:name="_Toc106034628"/>
      <w:bookmarkStart w:id="51" w:name="_Toc22608"/>
      <w:bookmarkStart w:id="52" w:name="_Toc1733"/>
      <w:bookmarkStart w:id="53" w:name="_Toc525047164"/>
      <w:bookmarkStart w:id="54" w:name="_Toc24901"/>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418" w:bottom="1134" w:left="1418" w:header="964" w:footer="992" w:gutter="0"/>
          <w:pgNumType w:fmt="numberInDash"/>
          <w:cols w:space="720" w:num="1"/>
          <w:docGrid w:linePitch="312" w:charSpace="0"/>
        </w:sectPr>
      </w:pPr>
    </w:p>
    <w:p>
      <w:pPr>
        <w:pStyle w:val="3"/>
        <w:tabs>
          <w:tab w:val="left" w:pos="3360"/>
        </w:tabs>
        <w:spacing w:before="0" w:beforeLines="0" w:after="0" w:afterLines="0" w:line="360" w:lineRule="auto"/>
        <w:jc w:val="center"/>
        <w:rPr>
          <w:rFonts w:hint="eastAsia" w:ascii="微软雅黑" w:hAnsi="微软雅黑" w:eastAsia="微软雅黑" w:cs="微软雅黑"/>
          <w:b/>
          <w:kern w:val="2"/>
          <w:sz w:val="44"/>
          <w:szCs w:val="20"/>
          <w:lang w:val="en-US" w:eastAsia="zh-CN" w:bidi="ar-SA"/>
        </w:rPr>
      </w:pPr>
      <w:bookmarkStart w:id="55" w:name="_Toc11017"/>
      <w:bookmarkStart w:id="56" w:name="_Toc5461"/>
      <w:bookmarkStart w:id="57" w:name="_Toc2422"/>
      <w:bookmarkStart w:id="58" w:name="_Toc12959"/>
      <w:bookmarkStart w:id="59" w:name="_Toc2070"/>
      <w:bookmarkStart w:id="60" w:name="_Toc25639"/>
      <w:bookmarkStart w:id="61" w:name="_Toc8649"/>
      <w:bookmarkStart w:id="62" w:name="_Toc725"/>
      <w:bookmarkStart w:id="63" w:name="_Toc1492"/>
      <w:bookmarkStart w:id="64" w:name="_Toc32686"/>
      <w:bookmarkStart w:id="65" w:name="_Toc23143"/>
      <w:bookmarkStart w:id="66" w:name="_Toc1625"/>
      <w:bookmarkStart w:id="67" w:name="_Toc19886"/>
      <w:bookmarkStart w:id="68" w:name="_Toc26176"/>
      <w:bookmarkStart w:id="69" w:name="_Toc75793504"/>
      <w:bookmarkStart w:id="70" w:name="_Toc9327"/>
      <w:bookmarkStart w:id="71" w:name="_Toc106030380"/>
      <w:bookmarkStart w:id="72" w:name="_Toc12789058"/>
      <w:r>
        <w:rPr>
          <w:rFonts w:hint="eastAsia" w:ascii="微软雅黑" w:hAnsi="微软雅黑" w:eastAsia="微软雅黑" w:cs="微软雅黑"/>
          <w:b/>
          <w:kern w:val="2"/>
          <w:sz w:val="44"/>
          <w:szCs w:val="20"/>
          <w:lang w:val="en-US" w:eastAsia="zh-CN" w:bidi="ar-SA"/>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kern w:val="2"/>
          <w:sz w:val="44"/>
          <w:szCs w:val="20"/>
          <w:lang w:val="en-US" w:eastAsia="zh-CN" w:bidi="ar-SA"/>
        </w:rPr>
        <w:t>项目技术（质量）需求</w:t>
      </w:r>
      <w:bookmarkEnd w:id="70"/>
      <w:bookmarkEnd w:id="7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73" w:name="_Toc1866"/>
      <w:bookmarkStart w:id="74" w:name="_Toc3196"/>
      <w:bookmarkStart w:id="75" w:name="_Toc76462325"/>
      <w:bookmarkStart w:id="76" w:name="_Toc18470"/>
      <w:bookmarkStart w:id="77" w:name="_Toc32516"/>
      <w:bookmarkStart w:id="78" w:name="_Toc106030879"/>
      <w:bookmarkStart w:id="79" w:name="_Toc7791"/>
      <w:bookmarkStart w:id="80" w:name="_Toc76462327"/>
      <w:bookmarkStart w:id="81" w:name="_Toc106030882"/>
      <w:r>
        <w:rPr>
          <w:rFonts w:hint="eastAsia" w:ascii="微软雅黑" w:hAnsi="微软雅黑" w:eastAsia="微软雅黑" w:cs="微软雅黑"/>
          <w:sz w:val="24"/>
        </w:rPr>
        <w:t>一、项目基本概况介绍</w:t>
      </w:r>
      <w:bookmarkEnd w:id="73"/>
      <w:bookmarkEnd w:id="74"/>
      <w:bookmarkEnd w:id="75"/>
      <w:bookmarkEnd w:id="76"/>
      <w:bookmarkEnd w:id="77"/>
      <w:bookmarkEnd w:id="78"/>
    </w:p>
    <w:tbl>
      <w:tblPr>
        <w:tblStyle w:val="57"/>
        <w:tblW w:w="45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45"/>
        <w:gridCol w:w="1892"/>
        <w:gridCol w:w="24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5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bookmarkStart w:id="82" w:name="_Toc106030880"/>
            <w:bookmarkStart w:id="83" w:name="_Toc25495"/>
            <w:bookmarkStart w:id="84" w:name="_Toc12384"/>
            <w:r>
              <w:rPr>
                <w:rFonts w:hint="eastAsia" w:ascii="微软雅黑" w:hAnsi="微软雅黑" w:eastAsia="微软雅黑" w:cs="微软雅黑"/>
                <w:b/>
                <w:bCs/>
                <w:kern w:val="0"/>
                <w:sz w:val="28"/>
                <w:szCs w:val="28"/>
              </w:rPr>
              <w:t>项目</w:t>
            </w:r>
            <w:r>
              <w:rPr>
                <w:rFonts w:hint="eastAsia" w:ascii="微软雅黑" w:hAnsi="微软雅黑" w:eastAsia="微软雅黑" w:cs="微软雅黑"/>
                <w:b/>
                <w:bCs/>
                <w:kern w:val="0"/>
                <w:sz w:val="28"/>
                <w:szCs w:val="28"/>
                <w:lang w:eastAsia="zh-CN"/>
              </w:rPr>
              <w:t>名称</w:t>
            </w:r>
          </w:p>
        </w:tc>
        <w:tc>
          <w:tcPr>
            <w:tcW w:w="1068"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合同期</w:t>
            </w:r>
          </w:p>
        </w:tc>
        <w:tc>
          <w:tcPr>
            <w:tcW w:w="1362" w:type="pct"/>
            <w:tcBorders>
              <w:top w:val="single" w:color="auto" w:sz="4" w:space="0"/>
              <w:left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b/>
                <w:bCs/>
                <w:kern w:val="0"/>
                <w:sz w:val="21"/>
                <w:szCs w:val="24"/>
                <w:lang w:eastAsia="zh-CN"/>
              </w:rPr>
            </w:pPr>
            <w:r>
              <w:rPr>
                <w:rFonts w:hint="eastAsia" w:ascii="微软雅黑" w:hAnsi="微软雅黑" w:eastAsia="微软雅黑" w:cs="微软雅黑"/>
                <w:b/>
                <w:bCs/>
                <w:kern w:val="0"/>
                <w:sz w:val="28"/>
                <w:szCs w:val="28"/>
                <w:lang w:eastAsia="zh-CN"/>
              </w:rPr>
              <w:t>备</w:t>
            </w:r>
            <w:r>
              <w:rPr>
                <w:rFonts w:hint="eastAsia" w:ascii="微软雅黑" w:hAnsi="微软雅黑" w:eastAsia="微软雅黑" w:cs="微软雅黑"/>
                <w:b/>
                <w:bCs/>
                <w:kern w:val="0"/>
                <w:sz w:val="28"/>
                <w:szCs w:val="28"/>
                <w:lang w:val="en-US" w:eastAsia="zh-CN"/>
              </w:rPr>
              <w:t xml:space="preserve"> </w:t>
            </w:r>
            <w:r>
              <w:rPr>
                <w:rFonts w:hint="eastAsia" w:ascii="微软雅黑" w:hAnsi="微软雅黑" w:eastAsia="微软雅黑" w:cs="微软雅黑"/>
                <w:b/>
                <w:bCs/>
                <w:kern w:val="0"/>
                <w:sz w:val="28"/>
                <w:szCs w:val="28"/>
                <w:lang w:eastAsia="zh-CN"/>
              </w:rPr>
              <w:t>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2568" w:type="pct"/>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kern w:val="0"/>
                <w:sz w:val="21"/>
                <w:szCs w:val="21"/>
              </w:rPr>
            </w:pPr>
            <w:r>
              <w:rPr>
                <w:rFonts w:hint="eastAsia" w:ascii="微软雅黑" w:hAnsi="微软雅黑" w:eastAsia="微软雅黑" w:cs="微软雅黑"/>
                <w:sz w:val="21"/>
                <w:szCs w:val="21"/>
                <w:lang w:val="en-US" w:eastAsia="zh-CN"/>
              </w:rPr>
              <w:t>两院区特殊气体采购</w:t>
            </w:r>
          </w:p>
        </w:tc>
        <w:tc>
          <w:tcPr>
            <w:tcW w:w="1068"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1年</w:t>
            </w:r>
          </w:p>
        </w:tc>
        <w:tc>
          <w:tcPr>
            <w:tcW w:w="1362" w:type="pct"/>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sz w:val="21"/>
                <w:szCs w:val="21"/>
              </w:rPr>
            </w:pPr>
          </w:p>
        </w:tc>
      </w:tr>
      <w:bookmarkEnd w:id="82"/>
      <w:bookmarkEnd w:id="83"/>
      <w:bookmarkEnd w:id="84"/>
    </w:tbl>
    <w:p>
      <w:pPr>
        <w:numPr>
          <w:ilvl w:val="0"/>
          <w:numId w:val="14"/>
        </w:numPr>
        <w:spacing w:line="400" w:lineRule="exact"/>
        <w:ind w:firstLine="480" w:firstLineChars="200"/>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项目内容及要求</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（一）项目清单及单价限价</w:t>
      </w:r>
    </w:p>
    <w:tbl>
      <w:tblPr>
        <w:tblStyle w:val="57"/>
        <w:tblpPr w:leftFromText="180" w:rightFromText="180" w:vertAnchor="text" w:horzAnchor="page" w:tblpX="1212" w:tblpY="48"/>
        <w:tblOverlap w:val="never"/>
        <w:tblW w:w="10008" w:type="dxa"/>
        <w:tblInd w:w="0" w:type="dxa"/>
        <w:tblLayout w:type="fixed"/>
        <w:tblCellMar>
          <w:top w:w="0" w:type="dxa"/>
          <w:left w:w="108" w:type="dxa"/>
          <w:bottom w:w="0" w:type="dxa"/>
          <w:right w:w="108" w:type="dxa"/>
        </w:tblCellMar>
      </w:tblPr>
      <w:tblGrid>
        <w:gridCol w:w="1670"/>
        <w:gridCol w:w="1917"/>
        <w:gridCol w:w="1038"/>
        <w:gridCol w:w="645"/>
        <w:gridCol w:w="1178"/>
        <w:gridCol w:w="1823"/>
        <w:gridCol w:w="1737"/>
      </w:tblGrid>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产品名称</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国家标准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规格</w:t>
            </w:r>
          </w:p>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（纯度）</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计量单位</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单价报价</w:t>
            </w:r>
          </w:p>
        </w:tc>
        <w:tc>
          <w:tcPr>
            <w:tcW w:w="1823" w:type="dxa"/>
            <w:tcBorders>
              <w:top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预计年用量</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单价最高限价（元）</w:t>
            </w:r>
          </w:p>
        </w:tc>
      </w:tr>
      <w:tr>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液氮（移动贮槽）</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34000L</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3.3</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液氮（固定贮槽）</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L</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元/L</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100000L</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1.1</w:t>
            </w:r>
          </w:p>
        </w:tc>
      </w:tr>
      <w:tr>
        <w:tblPrEx>
          <w:tblCellMar>
            <w:top w:w="0" w:type="dxa"/>
            <w:left w:w="108" w:type="dxa"/>
            <w:bottom w:w="0" w:type="dxa"/>
            <w:right w:w="108" w:type="dxa"/>
          </w:tblCellMar>
        </w:tblPrEx>
        <w:trPr>
          <w:trHeight w:val="75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103</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160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高纯二氧化碳（4N,10L）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90</w:t>
            </w:r>
          </w:p>
        </w:tc>
      </w:tr>
      <w:tr>
        <w:tblPrEx>
          <w:tblCellMar>
            <w:top w:w="0" w:type="dxa"/>
            <w:left w:w="108" w:type="dxa"/>
            <w:bottom w:w="0" w:type="dxa"/>
            <w:right w:w="108" w:type="dxa"/>
          </w:tblCellMar>
        </w:tblPrEx>
        <w:trPr>
          <w:trHeight w:val="508"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280</w:t>
            </w:r>
          </w:p>
        </w:tc>
      </w:tr>
      <w:tr>
        <w:tblPrEx>
          <w:tblCellMar>
            <w:top w:w="0" w:type="dxa"/>
            <w:left w:w="108" w:type="dxa"/>
            <w:bottom w:w="0" w:type="dxa"/>
            <w:right w:w="108" w:type="dxa"/>
          </w:tblCellMar>
        </w:tblPrEx>
        <w:trPr>
          <w:trHeight w:val="463"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高纯二氧化碳（5N,10L）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GB/T23938-2009</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120</w:t>
            </w:r>
          </w:p>
        </w:tc>
      </w:tr>
      <w:tr>
        <w:trPr>
          <w:trHeight w:val="366"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工业乙炔</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GB/6819-2004</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≥98%</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1214"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分析乙炔</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按照GB/6819-2004标准制定的企业标准执行（请提供生产企业标准）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280</w:t>
            </w:r>
          </w:p>
        </w:tc>
      </w:tr>
      <w:tr>
        <w:tblPrEx>
          <w:tblCellMar>
            <w:top w:w="0" w:type="dxa"/>
            <w:left w:w="108" w:type="dxa"/>
            <w:bottom w:w="0" w:type="dxa"/>
            <w:right w:w="108" w:type="dxa"/>
          </w:tblCellMar>
        </w:tblPrEx>
        <w:trPr>
          <w:trHeight w:val="94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一氧化氮</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请提供生产企业执行标准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1000ppm标准气</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380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高纯氮（40L）</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GB/T8979-2008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100</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高纯氩（5N,40L）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GB/4842-2017</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肺功能气（40L）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提供企业执行标准</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按医院配方</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400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高纯氧（40L）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GB/14599-2008</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80</w:t>
            </w:r>
          </w:p>
        </w:tc>
      </w:tr>
      <w:tr>
        <w:tblPrEx>
          <w:tblCellMar>
            <w:top w:w="0" w:type="dxa"/>
            <w:left w:w="108" w:type="dxa"/>
            <w:bottom w:w="0" w:type="dxa"/>
            <w:right w:w="108" w:type="dxa"/>
          </w:tblCellMar>
        </w:tblPrEx>
        <w:trPr>
          <w:trHeight w:val="630" w:hRule="atLeast"/>
        </w:trPr>
        <w:tc>
          <w:tcPr>
            <w:tcW w:w="167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高纯氦（40L）</w:t>
            </w:r>
          </w:p>
        </w:tc>
        <w:tc>
          <w:tcPr>
            <w:tcW w:w="1917"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GB/4844-2011</w:t>
            </w:r>
          </w:p>
        </w:tc>
        <w:tc>
          <w:tcPr>
            <w:tcW w:w="1038"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≥99.999%</w:t>
            </w:r>
          </w:p>
        </w:tc>
        <w:tc>
          <w:tcPr>
            <w:tcW w:w="645"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瓶</w:t>
            </w:r>
          </w:p>
        </w:tc>
        <w:tc>
          <w:tcPr>
            <w:tcW w:w="117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元/瓶</w:t>
            </w:r>
          </w:p>
        </w:tc>
        <w:tc>
          <w:tcPr>
            <w:tcW w:w="182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5</w:t>
            </w:r>
          </w:p>
        </w:tc>
        <w:tc>
          <w:tcPr>
            <w:tcW w:w="173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650</w:t>
            </w:r>
          </w:p>
        </w:tc>
      </w:tr>
    </w:tbl>
    <w:p>
      <w:pPr>
        <w:snapToGrid w:val="0"/>
        <w:spacing w:line="400" w:lineRule="exact"/>
        <w:ind w:firstLine="240" w:firstLineChars="100"/>
        <w:rPr>
          <w:rFonts w:hint="eastAsia" w:ascii="微软雅黑" w:hAnsi="微软雅黑" w:eastAsia="微软雅黑" w:cs="微软雅黑"/>
          <w:sz w:val="24"/>
          <w:szCs w:val="24"/>
        </w:rPr>
      </w:pPr>
      <w:bookmarkStart w:id="85" w:name="_Toc19917"/>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瓶装气体供货要求</w:t>
      </w:r>
      <w:r>
        <w:rPr>
          <w:rFonts w:hint="eastAsia" w:ascii="微软雅黑" w:hAnsi="微软雅黑" w:eastAsia="微软雅黑" w:cs="微软雅黑"/>
          <w:sz w:val="24"/>
          <w:szCs w:val="24"/>
        </w:rPr>
        <w:tab/>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供货时间：</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提前2天通知</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需货要求，双方计划如有变化，双方均应提前24小时与对方取得联系</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双方协商保供事宜。</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应急供货：</w:t>
      </w:r>
      <w:r>
        <w:rPr>
          <w:rFonts w:hint="eastAsia" w:ascii="微软雅黑" w:hAnsi="微软雅黑" w:eastAsia="微软雅黑" w:cs="微软雅黑"/>
          <w:sz w:val="24"/>
          <w:szCs w:val="24"/>
          <w:lang w:val="en-US" w:eastAsia="zh-CN"/>
        </w:rPr>
        <w:t>若采购人因</w:t>
      </w:r>
      <w:r>
        <w:rPr>
          <w:rFonts w:hint="eastAsia" w:ascii="微软雅黑" w:hAnsi="微软雅黑" w:eastAsia="微软雅黑" w:cs="微软雅黑"/>
          <w:sz w:val="24"/>
          <w:szCs w:val="24"/>
        </w:rPr>
        <w:t>特殊原因</w:t>
      </w:r>
      <w:r>
        <w:rPr>
          <w:rFonts w:hint="eastAsia" w:ascii="微软雅黑" w:hAnsi="微软雅黑" w:eastAsia="微软雅黑" w:cs="微软雅黑"/>
          <w:sz w:val="24"/>
          <w:szCs w:val="24"/>
          <w:lang w:val="en-US" w:eastAsia="zh-CN"/>
        </w:rPr>
        <w:t>需</w:t>
      </w:r>
      <w:r>
        <w:rPr>
          <w:rFonts w:hint="eastAsia" w:ascii="微软雅黑" w:hAnsi="微软雅黑" w:eastAsia="微软雅黑" w:cs="微软雅黑"/>
          <w:sz w:val="24"/>
          <w:szCs w:val="24"/>
        </w:rPr>
        <w:t>紧急供货时，</w:t>
      </w:r>
      <w:r>
        <w:rPr>
          <w:rFonts w:hint="eastAsia" w:ascii="微软雅黑" w:hAnsi="微软雅黑" w:eastAsia="微软雅黑" w:cs="微软雅黑"/>
          <w:sz w:val="24"/>
          <w:szCs w:val="24"/>
          <w:lang w:val="en-US" w:eastAsia="zh-CN"/>
        </w:rPr>
        <w:t>投标人需</w:t>
      </w:r>
      <w:r>
        <w:rPr>
          <w:rFonts w:hint="eastAsia" w:ascii="微软雅黑" w:hAnsi="微软雅黑" w:eastAsia="微软雅黑" w:cs="微软雅黑"/>
          <w:sz w:val="24"/>
          <w:szCs w:val="24"/>
        </w:rPr>
        <w:t>无任何理由第一时间采用紧急渠道进行供货。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3.供</w:t>
      </w:r>
      <w:r>
        <w:rPr>
          <w:rFonts w:hint="eastAsia" w:ascii="微软雅黑" w:hAnsi="微软雅黑" w:eastAsia="微软雅黑" w:cs="微软雅黑"/>
          <w:sz w:val="24"/>
          <w:szCs w:val="24"/>
        </w:rPr>
        <w:t>货方式：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送货至</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指定位置。</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供货质量：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负责提供各类</w:t>
      </w:r>
      <w:r>
        <w:rPr>
          <w:rFonts w:hint="eastAsia" w:ascii="微软雅黑" w:hAnsi="微软雅黑" w:eastAsia="微软雅黑" w:cs="微软雅黑"/>
          <w:sz w:val="24"/>
          <w:szCs w:val="24"/>
          <w:lang w:eastAsia="zh-CN"/>
        </w:rPr>
        <w:t>在校验</w:t>
      </w:r>
      <w:r>
        <w:rPr>
          <w:rFonts w:hint="eastAsia" w:ascii="微软雅黑" w:hAnsi="微软雅黑" w:eastAsia="微软雅黑" w:cs="微软雅黑"/>
          <w:sz w:val="24"/>
          <w:szCs w:val="24"/>
        </w:rPr>
        <w:t>期内的气瓶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所供气体必须符合国家标准规定，并随产品提供由</w:t>
      </w:r>
      <w:r>
        <w:rPr>
          <w:rFonts w:hint="eastAsia" w:ascii="微软雅黑" w:hAnsi="微软雅黑" w:eastAsia="微软雅黑" w:cs="微软雅黑"/>
          <w:sz w:val="24"/>
          <w:szCs w:val="24"/>
          <w:lang w:eastAsia="zh-CN"/>
        </w:rPr>
        <w:t>获得</w:t>
      </w:r>
      <w:r>
        <w:rPr>
          <w:rFonts w:hint="eastAsia" w:ascii="微软雅黑" w:hAnsi="微软雅黑" w:eastAsia="微软雅黑" w:cs="微软雅黑"/>
          <w:sz w:val="24"/>
          <w:szCs w:val="24"/>
        </w:rPr>
        <w:t>国家主管部门检验资质</w:t>
      </w:r>
      <w:r>
        <w:rPr>
          <w:rFonts w:hint="eastAsia" w:ascii="微软雅黑" w:hAnsi="微软雅黑" w:eastAsia="微软雅黑" w:cs="微软雅黑"/>
          <w:sz w:val="24"/>
          <w:szCs w:val="24"/>
          <w:lang w:eastAsia="zh-CN"/>
        </w:rPr>
        <w:t>的单位出具的</w:t>
      </w:r>
      <w:r>
        <w:rPr>
          <w:rFonts w:hint="eastAsia" w:ascii="微软雅黑" w:hAnsi="微软雅黑" w:eastAsia="微软雅黑" w:cs="微软雅黑"/>
          <w:sz w:val="24"/>
          <w:szCs w:val="24"/>
        </w:rPr>
        <w:t>检验合格证。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液氮供货要求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供货时间：实验室：定期每月送货一次，皮肤科：定期每月送货2次</w:t>
      </w:r>
      <w:r>
        <w:rPr>
          <w:rFonts w:hint="eastAsia" w:ascii="微软雅黑" w:hAnsi="微软雅黑" w:eastAsia="微软雅黑" w:cs="微软雅黑"/>
          <w:sz w:val="24"/>
          <w:szCs w:val="24"/>
          <w:lang w:eastAsia="zh-CN"/>
        </w:rPr>
        <w:t>，其他</w:t>
      </w:r>
      <w:r>
        <w:rPr>
          <w:rFonts w:hint="eastAsia" w:ascii="微软雅黑" w:hAnsi="微软雅黑" w:eastAsia="微软雅黑" w:cs="微软雅黑"/>
          <w:sz w:val="24"/>
          <w:szCs w:val="24"/>
        </w:rPr>
        <w:t>根据实际需求供货。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应急供货：</w:t>
      </w:r>
      <w:r>
        <w:rPr>
          <w:rFonts w:hint="eastAsia" w:ascii="微软雅黑" w:hAnsi="微软雅黑" w:eastAsia="微软雅黑" w:cs="微软雅黑"/>
          <w:sz w:val="24"/>
          <w:szCs w:val="24"/>
          <w:lang w:val="en-US" w:eastAsia="zh-CN"/>
        </w:rPr>
        <w:t>若采购人遇</w:t>
      </w:r>
      <w:r>
        <w:rPr>
          <w:rFonts w:hint="eastAsia" w:ascii="微软雅黑" w:hAnsi="微软雅黑" w:eastAsia="微软雅黑" w:cs="微软雅黑"/>
          <w:sz w:val="24"/>
          <w:szCs w:val="24"/>
        </w:rPr>
        <w:t>特殊情况需紧急添加液氮</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投标人需在</w:t>
      </w:r>
      <w:r>
        <w:rPr>
          <w:rFonts w:hint="eastAsia" w:ascii="微软雅黑" w:hAnsi="微软雅黑" w:eastAsia="微软雅黑" w:cs="微软雅黑"/>
          <w:sz w:val="24"/>
          <w:szCs w:val="24"/>
        </w:rPr>
        <w:t>24小时内送达。</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3.</w:t>
      </w:r>
      <w:r>
        <w:rPr>
          <w:rFonts w:hint="eastAsia" w:ascii="微软雅黑" w:hAnsi="微软雅黑" w:eastAsia="微软雅黑" w:cs="微软雅黑"/>
          <w:sz w:val="24"/>
          <w:szCs w:val="24"/>
        </w:rPr>
        <w:t>供货方式：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送货。</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4.</w:t>
      </w:r>
      <w:r>
        <w:rPr>
          <w:rFonts w:hint="eastAsia" w:ascii="微软雅黑" w:hAnsi="微软雅黑" w:eastAsia="微软雅黑" w:cs="微软雅黑"/>
          <w:sz w:val="24"/>
          <w:szCs w:val="24"/>
        </w:rPr>
        <w:t>供货质量：</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所供气体必须符合国家标准规定，并随产品提供由</w:t>
      </w:r>
      <w:r>
        <w:rPr>
          <w:rFonts w:hint="eastAsia" w:ascii="微软雅黑" w:hAnsi="微软雅黑" w:eastAsia="微软雅黑" w:cs="微软雅黑"/>
          <w:sz w:val="24"/>
          <w:szCs w:val="24"/>
          <w:lang w:eastAsia="zh-CN"/>
        </w:rPr>
        <w:t>具有国家主管部门检验资质的单位出具的检验合格证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灌充要求：</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普通液氮容器：定时添加至</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指定位置的液氮罐中。</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自增压式液氮容器：需要带压灌充，现场灌充必须在保证安全的情况下确保容器压力达到0.5mpa。如需空瓶返厂灌充，需有储罐替换，以保证</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工作不受影响。我院自有自增压式液氮储罐1个。</w:t>
      </w:r>
      <w:r>
        <w:rPr>
          <w:rFonts w:hint="eastAsia" w:ascii="微软雅黑" w:hAnsi="微软雅黑" w:eastAsia="微软雅黑" w:cs="微软雅黑"/>
          <w:sz w:val="24"/>
          <w:szCs w:val="24"/>
        </w:rPr>
        <w:br w:type="page"/>
      </w:r>
    </w:p>
    <w:p>
      <w:pPr>
        <w:pStyle w:val="4"/>
        <w:spacing w:before="200" w:after="200" w:line="240" w:lineRule="auto"/>
        <w:jc w:val="center"/>
        <w:rPr>
          <w:rFonts w:hint="eastAsia" w:ascii="微软雅黑" w:hAnsi="微软雅黑" w:eastAsia="微软雅黑" w:cs="微软雅黑"/>
          <w:b/>
          <w:sz w:val="44"/>
          <w:szCs w:val="20"/>
        </w:rPr>
      </w:pPr>
      <w:r>
        <w:rPr>
          <w:rFonts w:hint="eastAsia" w:ascii="微软雅黑" w:hAnsi="微软雅黑" w:eastAsia="微软雅黑" w:cs="微软雅黑"/>
          <w:b/>
          <w:sz w:val="44"/>
          <w:szCs w:val="20"/>
        </w:rPr>
        <w:t xml:space="preserve">第三篇  </w:t>
      </w:r>
      <w:bookmarkEnd w:id="72"/>
      <w:r>
        <w:rPr>
          <w:rFonts w:hint="eastAsia" w:ascii="微软雅黑" w:hAnsi="微软雅黑" w:eastAsia="微软雅黑" w:cs="微软雅黑"/>
          <w:b/>
          <w:sz w:val="44"/>
          <w:szCs w:val="20"/>
        </w:rPr>
        <w:t>项目商务需求</w:t>
      </w:r>
      <w:bookmarkEnd w:id="79"/>
      <w:bookmarkEnd w:id="80"/>
      <w:bookmarkEnd w:id="81"/>
      <w:bookmarkEnd w:id="85"/>
    </w:p>
    <w:tbl>
      <w:tblPr>
        <w:tblStyle w:val="57"/>
        <w:tblW w:w="522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85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服务期限、服务地点及考核方式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供货期限：一年</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供货地点：渝中院区、两江院区</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验收方式：</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一、瓶装气体按瓶数计量，气体压力不得低于国家规范要求。</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二、液氮，按照实际容量计算。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质量保证及售后服务</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质量保证：供方所供气体必须符合国家标准规定，并随产品提供由具有国家主管部门检验资质的单位出具的检验合格证。</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售后服务：供方提供的产品如发现容量不足、压力达不到国家规范要求，必须立即进行更换。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报价要求</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一、该项目为一次性报价，最终报价以响应文件上的报价为准，现场不再议价。</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二、该报价需包含税费、运输费、人工费等完成本项目的所有费用。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付款方式</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采购人和中标人按每月确认的实际用量，每6个月结算一次，中标人每6个月向采购人开具采购金额发票并提交相关资料，采购人收到发票和相关资料后，2个月内以转账方式向中标人支付费用。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知识产权</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8"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微软雅黑" w:hAnsi="微软雅黑" w:eastAsia="微软雅黑" w:cs="微软雅黑"/>
                <w:b/>
                <w:bCs/>
                <w:kern w:val="2"/>
                <w:sz w:val="24"/>
                <w:szCs w:val="24"/>
                <w:lang w:val="en-US" w:eastAsia="zh-CN"/>
              </w:rPr>
            </w:pPr>
            <w:r>
              <w:rPr>
                <w:rFonts w:hint="eastAsia" w:ascii="微软雅黑" w:hAnsi="微软雅黑" w:eastAsia="微软雅黑" w:cs="微软雅黑"/>
                <w:b/>
                <w:bCs/>
                <w:kern w:val="2"/>
                <w:sz w:val="24"/>
                <w:szCs w:val="24"/>
                <w:lang w:val="en-US" w:eastAsia="zh-CN"/>
              </w:rPr>
              <w:t>其他</w:t>
            </w:r>
          </w:p>
        </w:tc>
        <w:tc>
          <w:tcPr>
            <w:tcW w:w="4271" w:type="pct"/>
            <w:vAlign w:val="center"/>
          </w:tcPr>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一、投标方与采购方应分别确保供货及提货现场的道路安全畅通。</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二、投标方在气体产品的生产、充装、运输及使用过程中，须严格遵守国家相关规定，严禁造成环境污染，并杜绝各类安全事故的发生。</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三、投标方操作人员须具备国家相关资质，若出现未持证上岗情况，投标方应按每次1000元向采购方支付违约金，由此产生的全部经济损失及法律责任均由投标方承担。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四、合同有效期内，投标方不得擅自上调产品价格。</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五、若投标方未能按要求按时供应液氮及瓶装气体，应按违约责任处理，每次向采购方支付违约金1000元，由此造成的全部经济损失及法律责任由投标方承担。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六、在紧急情况下，若投标方提供气体存在超时情形，所有由此产生的后果均由投标方承担，并负责赔偿全部经济损失及承担相应法律责任。</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七、使用过程中，如因投标方原因导致设备储槽发生故障及引发连锁反应，所有责任由投标方承担，事故责任的界定以市技术监督局和市公安局的认定结果为准。</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八、投标方送货人员必须严格依照充装流程进行作业，若发生违规操作，投标方应按每次500元向采购方支付违约金，由此造成的全部经济损失及法律责任由投标方承担。</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九、因投标方原因引发消防、安全、工伤或人身伤害等事故，若未造成采购方经济损失及法律责任，投标方应按每次1000元支付违约金；若造成采购方经济损失及法律责任，投标方须承担全部经济损失及法律责任，且采购方有权终止本合同。</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textAlignment w:val="auto"/>
              <w:rPr>
                <w:rFonts w:hint="eastAsia" w:ascii="微软雅黑" w:hAnsi="微软雅黑" w:eastAsia="微软雅黑" w:cs="微软雅黑"/>
                <w:color w:val="333333"/>
                <w:kern w:val="0"/>
                <w:sz w:val="21"/>
                <w:szCs w:val="21"/>
                <w:lang w:val="en-US" w:eastAsia="zh-CN"/>
              </w:rPr>
            </w:pPr>
            <w:r>
              <w:rPr>
                <w:rFonts w:hint="eastAsia" w:ascii="微软雅黑" w:hAnsi="微软雅黑" w:eastAsia="微软雅黑" w:cs="微软雅黑"/>
                <w:color w:val="333333"/>
                <w:kern w:val="0"/>
                <w:sz w:val="21"/>
                <w:szCs w:val="21"/>
                <w:lang w:val="en-US" w:eastAsia="zh-CN"/>
              </w:rPr>
              <w:t>十、合同履行期间，投标方若违反国家法律法规及采购方相关管理制度，应按每次1000元向采购方支付违约金；若因此造成采购方经济损失及法律责任，投标方须承担全部经济损失及法律责任，采购方有权终止本合同。</w:t>
            </w:r>
          </w:p>
        </w:tc>
      </w:tr>
    </w:tbl>
    <w:p>
      <w:pPr>
        <w:rPr>
          <w:rFonts w:hint="eastAsia" w:ascii="微软雅黑" w:hAnsi="微软雅黑" w:eastAsia="微软雅黑" w:cs="微软雅黑"/>
          <w:b/>
          <w:sz w:val="44"/>
          <w:szCs w:val="20"/>
        </w:rPr>
      </w:pPr>
      <w:bookmarkStart w:id="86" w:name="_Toc106030887"/>
      <w:bookmarkStart w:id="87" w:name="_Toc6692"/>
      <w:bookmarkStart w:id="88" w:name="_Toc76462332"/>
      <w:r>
        <w:rPr>
          <w:rFonts w:hint="eastAsia" w:ascii="微软雅黑" w:hAnsi="微软雅黑" w:eastAsia="微软雅黑" w:cs="微软雅黑"/>
          <w:b/>
          <w:sz w:val="44"/>
          <w:szCs w:val="20"/>
        </w:rPr>
        <w:br w:type="page"/>
      </w:r>
    </w:p>
    <w:bookmarkEnd w:id="86"/>
    <w:bookmarkEnd w:id="87"/>
    <w:bookmarkEnd w:id="88"/>
    <w:p>
      <w:pPr>
        <w:pStyle w:val="4"/>
        <w:pageBreakBefore w:val="0"/>
        <w:spacing w:before="200" w:after="200" w:line="240" w:lineRule="auto"/>
        <w:jc w:val="center"/>
        <w:rPr>
          <w:rFonts w:hint="eastAsia" w:ascii="微软雅黑" w:hAnsi="微软雅黑" w:eastAsia="微软雅黑" w:cs="微软雅黑"/>
          <w:b/>
          <w:sz w:val="44"/>
          <w:szCs w:val="20"/>
        </w:rPr>
      </w:pPr>
      <w:bookmarkStart w:id="89" w:name="_Toc641"/>
      <w:bookmarkStart w:id="90" w:name="_Toc16738"/>
      <w:bookmarkStart w:id="91" w:name="_Toc32163"/>
      <w:r>
        <w:rPr>
          <w:rFonts w:hint="eastAsia" w:ascii="微软雅黑" w:hAnsi="微软雅黑" w:eastAsia="微软雅黑" w:cs="微软雅黑"/>
          <w:b/>
          <w:sz w:val="44"/>
          <w:szCs w:val="20"/>
        </w:rPr>
        <w:t xml:space="preserve">第四篇  </w:t>
      </w:r>
      <w:r>
        <w:rPr>
          <w:rFonts w:hint="eastAsia" w:ascii="微软雅黑" w:hAnsi="微软雅黑" w:eastAsia="微软雅黑" w:cs="微软雅黑"/>
          <w:b/>
          <w:sz w:val="44"/>
          <w:szCs w:val="20"/>
          <w:lang w:val="en-US" w:eastAsia="zh-CN"/>
        </w:rPr>
        <w:t>公开比选采购</w:t>
      </w:r>
      <w:r>
        <w:rPr>
          <w:rFonts w:hint="eastAsia" w:ascii="微软雅黑" w:hAnsi="微软雅黑" w:eastAsia="微软雅黑" w:cs="微软雅黑"/>
          <w:b/>
          <w:sz w:val="44"/>
          <w:szCs w:val="20"/>
        </w:rPr>
        <w:t>程序及方法、评审标准、无效响应和采购终止</w:t>
      </w:r>
      <w:bookmarkEnd w:id="89"/>
      <w:bookmarkEnd w:id="90"/>
      <w:bookmarkEnd w:id="91"/>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2" w:name="_Toc5181"/>
      <w:bookmarkStart w:id="93" w:name="_Toc26698"/>
      <w:bookmarkStart w:id="94" w:name="_Toc106030888"/>
      <w:bookmarkStart w:id="95" w:name="_Toc14958"/>
      <w:bookmarkStart w:id="96" w:name="_Toc76462333"/>
      <w:bookmarkStart w:id="97" w:name="_Toc5379"/>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程序</w:t>
      </w:r>
      <w:bookmarkEnd w:id="92"/>
      <w:bookmarkEnd w:id="93"/>
      <w:bookmarkEnd w:id="94"/>
      <w:bookmarkEnd w:id="95"/>
      <w:bookmarkEnd w:id="96"/>
      <w:bookmarkEnd w:id="9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文件规定的时间和地点进行，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须有</w:t>
      </w:r>
      <w:r>
        <w:rPr>
          <w:rFonts w:hint="eastAsia" w:ascii="微软雅黑" w:hAnsi="微软雅黑" w:eastAsia="微软雅黑" w:cs="微软雅黑"/>
          <w:sz w:val="24"/>
          <w:szCs w:val="24"/>
          <w:lang w:eastAsia="zh-CN"/>
        </w:rPr>
        <w:t>单位负责人</w:t>
      </w:r>
      <w:r>
        <w:rPr>
          <w:rFonts w:hint="eastAsia" w:ascii="微软雅黑" w:hAnsi="微软雅黑" w:eastAsia="微软雅黑" w:cs="微软雅黑"/>
          <w:sz w:val="24"/>
          <w:szCs w:val="24"/>
        </w:rPr>
        <w:t>（或其授权代表）或自然人参加。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小组对各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的资格条件进行审查。各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只有在完全符合要求的前提下，才能参与正式</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val="en-US" w:eastAsia="zh-CN"/>
        </w:rPr>
        <w:t>公开比选采购</w:t>
      </w:r>
      <w:r>
        <w:rPr>
          <w:rFonts w:hint="eastAsia" w:ascii="微软雅黑" w:hAnsi="微软雅黑" w:eastAsia="微软雅黑" w:cs="微软雅黑"/>
          <w:kern w:val="0"/>
          <w:sz w:val="24"/>
          <w:szCs w:val="24"/>
        </w:rPr>
        <w:t>文件的规定，对响应文件中的资格证明等进行审查，以确定</w:t>
      </w:r>
      <w:r>
        <w:rPr>
          <w:rFonts w:hint="eastAsia" w:ascii="微软雅黑" w:hAnsi="微软雅黑" w:eastAsia="微软雅黑" w:cs="微软雅黑"/>
          <w:kern w:val="0"/>
          <w:sz w:val="24"/>
          <w:szCs w:val="24"/>
          <w:lang w:val="en-US" w:eastAsia="zh-CN"/>
        </w:rPr>
        <w:t>投标人</w:t>
      </w:r>
      <w:r>
        <w:rPr>
          <w:rFonts w:hint="eastAsia" w:ascii="微软雅黑" w:hAnsi="微软雅黑" w:eastAsia="微软雅黑" w:cs="微软雅黑"/>
          <w:kern w:val="0"/>
          <w:sz w:val="24"/>
          <w:szCs w:val="24"/>
        </w:rPr>
        <w:t>是否具备</w:t>
      </w:r>
      <w:r>
        <w:rPr>
          <w:rFonts w:hint="eastAsia" w:ascii="微软雅黑" w:hAnsi="微软雅黑" w:eastAsia="微软雅黑" w:cs="微软雅黑"/>
          <w:kern w:val="0"/>
          <w:sz w:val="24"/>
          <w:szCs w:val="24"/>
          <w:lang w:val="en-US" w:eastAsia="zh-CN"/>
        </w:rPr>
        <w:t>比选</w:t>
      </w:r>
      <w:r>
        <w:rPr>
          <w:rFonts w:hint="eastAsia" w:ascii="微软雅黑" w:hAnsi="微软雅黑" w:eastAsia="微软雅黑" w:cs="微软雅黑"/>
          <w:kern w:val="0"/>
          <w:sz w:val="24"/>
          <w:szCs w:val="24"/>
        </w:rPr>
        <w:t>资格。资格性审查资料表如下：</w:t>
      </w:r>
    </w:p>
    <w:tbl>
      <w:tblPr>
        <w:tblStyle w:val="5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3706" w:type="dxa"/>
            <w:gridSpan w:val="2"/>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检查因素</w:t>
            </w:r>
          </w:p>
        </w:tc>
        <w:tc>
          <w:tcPr>
            <w:tcW w:w="5105" w:type="dxa"/>
            <w:tcBorders>
              <w:top w:val="single" w:color="auto" w:sz="4" w:space="0"/>
              <w:left w:val="single" w:color="auto" w:sz="4" w:space="0"/>
              <w:bottom w:val="single" w:color="auto" w:sz="4" w:space="0"/>
              <w:right w:val="single" w:color="auto" w:sz="4" w:space="0"/>
            </w:tcBorders>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（一）</w:t>
            </w:r>
          </w:p>
        </w:tc>
        <w:tc>
          <w:tcPr>
            <w:tcW w:w="891"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《中华人民共和国政府采购法》第二十二条规定</w:t>
            </w: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1.具有独立承担民事责任的能力</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 xml:space="preserve">营业执照（副本）或事业单位证书（副本）或个体工商户营业执照或有效的自然人身份证明或社会团体法人登记证书（提供复印件）。 </w:t>
            </w:r>
          </w:p>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r>
              <w:rPr>
                <w:rFonts w:hint="eastAsia" w:ascii="微软雅黑" w:hAnsi="微软雅黑" w:eastAsia="微软雅黑" w:cs="微软雅黑"/>
                <w:sz w:val="21"/>
                <w:szCs w:val="21"/>
                <w:lang w:val="en-US" w:eastAsia="zh-CN"/>
              </w:rPr>
              <w:t>投标人单位负责人</w:t>
            </w:r>
            <w:r>
              <w:rPr>
                <w:rFonts w:hint="eastAsia" w:ascii="微软雅黑" w:hAnsi="微软雅黑" w:eastAsia="微软雅黑" w:cs="微软雅黑"/>
                <w:sz w:val="21"/>
                <w:szCs w:val="21"/>
              </w:rPr>
              <w:t>身份证明和</w:t>
            </w:r>
            <w:r>
              <w:rPr>
                <w:rFonts w:hint="eastAsia" w:ascii="微软雅黑" w:hAnsi="微软雅黑" w:eastAsia="微软雅黑" w:cs="微软雅黑"/>
                <w:sz w:val="21"/>
                <w:szCs w:val="21"/>
                <w:lang w:val="en-US" w:eastAsia="zh-CN"/>
              </w:rPr>
              <w:t>负责人</w:t>
            </w:r>
            <w:r>
              <w:rPr>
                <w:rFonts w:hint="eastAsia" w:ascii="微软雅黑" w:hAnsi="微软雅黑" w:eastAsia="微软雅黑" w:cs="微软雅黑"/>
                <w:sz w:val="21"/>
                <w:szCs w:val="21"/>
              </w:rPr>
              <w:t>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zh-CN"/>
              </w:rPr>
              <w:t>2.</w:t>
            </w:r>
            <w:r>
              <w:rPr>
                <w:rFonts w:hint="eastAsia" w:ascii="微软雅黑" w:hAnsi="微软雅黑" w:eastAsia="微软雅黑" w:cs="微软雅黑"/>
                <w:sz w:val="21"/>
                <w:szCs w:val="21"/>
              </w:rPr>
              <w:t>具有良好的商业信誉和健全的财务会计制度</w:t>
            </w:r>
          </w:p>
        </w:tc>
        <w:tc>
          <w:tcPr>
            <w:tcW w:w="5105" w:type="dxa"/>
            <w:vMerge w:val="restart"/>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提供“基本资格条件承诺函”（格式详见第</w:t>
            </w:r>
            <w:r>
              <w:rPr>
                <w:rFonts w:hint="eastAsia" w:ascii="微软雅黑" w:hAnsi="微软雅黑" w:eastAsia="微软雅黑" w:cs="微软雅黑"/>
                <w:sz w:val="21"/>
                <w:szCs w:val="21"/>
                <w:lang w:val="en-US" w:eastAsia="zh-CN"/>
              </w:rPr>
              <w:t>六</w:t>
            </w:r>
            <w:r>
              <w:rPr>
                <w:rFonts w:hint="eastAsia" w:ascii="微软雅黑" w:hAnsi="微软雅黑" w:eastAsia="微软雅黑" w:cs="微软雅黑"/>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3.具有履行合同所必需的设备和专业技术能力</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lang w:val="zh-CN"/>
              </w:rPr>
              <w:t>4.有依法缴纳税收和社会保障金的良好记录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lang w:val="zh-CN"/>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val="zh-CN"/>
              </w:rPr>
            </w:pPr>
            <w:r>
              <w:rPr>
                <w:rFonts w:hint="eastAsia" w:ascii="微软雅黑" w:hAnsi="微软雅黑" w:eastAsia="微软雅黑" w:cs="微软雅黑"/>
                <w:sz w:val="21"/>
                <w:szCs w:val="21"/>
              </w:rPr>
              <w:t>5.参加政府采购活动前三年内，在经营活动中没有重大违法记录</w:t>
            </w:r>
          </w:p>
        </w:tc>
        <w:tc>
          <w:tcPr>
            <w:tcW w:w="5105"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6.法律、行政法规规定的其他条件</w:t>
            </w:r>
          </w:p>
        </w:tc>
        <w:tc>
          <w:tcPr>
            <w:tcW w:w="5105" w:type="dxa"/>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891" w:type="dxa"/>
            <w:vMerge w:val="continue"/>
            <w:noWrap w:val="0"/>
            <w:vAlign w:val="center"/>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281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7.本项目的特定资格要求</w:t>
            </w:r>
          </w:p>
        </w:tc>
        <w:tc>
          <w:tcPr>
            <w:tcW w:w="5105" w:type="dxa"/>
            <w:noWrap w:val="0"/>
            <w:vAlign w:val="center"/>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按“第一篇三、</w:t>
            </w:r>
            <w:r>
              <w:rPr>
                <w:rFonts w:hint="eastAsia" w:ascii="微软雅黑" w:hAnsi="微软雅黑" w:eastAsia="微软雅黑" w:cs="微软雅黑"/>
                <w:sz w:val="21"/>
                <w:szCs w:val="21"/>
                <w:lang w:val="en-US" w:eastAsia="zh-CN"/>
              </w:rPr>
              <w:t>投标人</w:t>
            </w:r>
            <w:r>
              <w:rPr>
                <w:rFonts w:hint="eastAsia" w:ascii="微软雅黑" w:hAnsi="微软雅黑" w:eastAsia="微软雅黑" w:cs="微软雅黑"/>
                <w:sz w:val="21"/>
                <w:szCs w:val="21"/>
              </w:rPr>
              <w:t>资格要求（三）本项目的特定资格要求”的要求提交（如果有）。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r>
              <w:rPr>
                <w:rFonts w:hint="eastAsia" w:ascii="微软雅黑" w:hAnsi="微软雅黑" w:eastAsia="微软雅黑" w:cs="微软雅黑"/>
                <w:sz w:val="21"/>
                <w:szCs w:val="21"/>
                <w:lang w:val="en-US" w:eastAsia="zh-CN"/>
              </w:rPr>
              <w:t>二</w:t>
            </w:r>
            <w:r>
              <w:rPr>
                <w:rFonts w:hint="eastAsia" w:ascii="微软雅黑" w:hAnsi="微软雅黑" w:eastAsia="微软雅黑" w:cs="微软雅黑"/>
                <w:sz w:val="21"/>
                <w:szCs w:val="21"/>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保证金</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rPr>
            </w:pPr>
            <w:r>
              <w:rPr>
                <w:rFonts w:hint="eastAsia" w:ascii="微软雅黑" w:hAnsi="微软雅黑" w:eastAsia="微软雅黑" w:cs="微软雅黑"/>
                <w:sz w:val="21"/>
                <w:szCs w:val="21"/>
              </w:rPr>
              <w:t>按照</w:t>
            </w:r>
            <w:r>
              <w:rPr>
                <w:rFonts w:hint="eastAsia" w:ascii="微软雅黑" w:hAnsi="微软雅黑" w:eastAsia="微软雅黑" w:cs="微软雅黑"/>
                <w:sz w:val="21"/>
                <w:szCs w:val="21"/>
                <w:lang w:val="en-US" w:eastAsia="zh-CN"/>
              </w:rPr>
              <w:t>比选</w:t>
            </w:r>
            <w:r>
              <w:rPr>
                <w:rFonts w:hint="eastAsia" w:ascii="微软雅黑" w:hAnsi="微软雅黑" w:eastAsia="微软雅黑" w:cs="微软雅黑"/>
                <w:sz w:val="21"/>
                <w:szCs w:val="21"/>
              </w:rPr>
              <w:t>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pStyle w:val="143"/>
              <w:keepNext w:val="0"/>
              <w:keepLines w:val="0"/>
              <w:suppressLineNumbers w:val="0"/>
              <w:spacing w:before="0" w:beforeAutospacing="0" w:after="0" w:afterAutospacing="0" w:line="400" w:lineRule="exact"/>
              <w:ind w:left="0" w:right="0"/>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eastAsia="zh-CN"/>
              </w:rPr>
              <w:t>（</w:t>
            </w:r>
            <w:r>
              <w:rPr>
                <w:rFonts w:hint="eastAsia" w:ascii="微软雅黑" w:hAnsi="微软雅黑" w:eastAsia="微软雅黑" w:cs="微软雅黑"/>
                <w:sz w:val="21"/>
                <w:szCs w:val="21"/>
                <w:lang w:val="en-US" w:eastAsia="zh-CN"/>
              </w:rPr>
              <w:t>三</w:t>
            </w:r>
            <w:r>
              <w:rPr>
                <w:rFonts w:hint="eastAsia" w:ascii="微软雅黑" w:hAnsi="微软雅黑" w:eastAsia="微软雅黑" w:cs="微软雅黑"/>
                <w:sz w:val="21"/>
                <w:szCs w:val="21"/>
                <w:lang w:eastAsia="zh-CN"/>
              </w:rPr>
              <w:t>）</w:t>
            </w:r>
          </w:p>
        </w:tc>
        <w:tc>
          <w:tcPr>
            <w:tcW w:w="891"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IP地址</w:t>
            </w:r>
          </w:p>
        </w:tc>
        <w:tc>
          <w:tcPr>
            <w:tcW w:w="2815" w:type="dxa"/>
            <w:noWrap w:val="0"/>
            <w:vAlign w:val="top"/>
          </w:tcPr>
          <w:p>
            <w:pPr>
              <w:pStyle w:val="143"/>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 w:val="21"/>
                <w:szCs w:val="21"/>
              </w:rPr>
            </w:pPr>
          </w:p>
        </w:tc>
        <w:tc>
          <w:tcPr>
            <w:tcW w:w="5105" w:type="dxa"/>
            <w:noWrap w:val="0"/>
            <w:vAlign w:val="top"/>
          </w:tcPr>
          <w:p>
            <w:pPr>
              <w:pStyle w:val="143"/>
              <w:keepNext w:val="0"/>
              <w:keepLines w:val="0"/>
              <w:suppressLineNumbers w:val="0"/>
              <w:spacing w:before="0" w:beforeAutospacing="0" w:after="0" w:afterAutospacing="0" w:line="400" w:lineRule="exact"/>
              <w:ind w:left="0" w:right="0"/>
              <w:rPr>
                <w:rFonts w:hint="default" w:ascii="微软雅黑" w:hAnsi="微软雅黑" w:eastAsia="微软雅黑" w:cs="微软雅黑"/>
                <w:sz w:val="21"/>
                <w:szCs w:val="21"/>
                <w:lang w:val="en-US"/>
              </w:rPr>
            </w:pPr>
            <w:r>
              <w:rPr>
                <w:rFonts w:hint="eastAsia" w:ascii="微软雅黑" w:hAnsi="微软雅黑" w:eastAsia="微软雅黑" w:cs="微软雅黑"/>
                <w:sz w:val="21"/>
                <w:szCs w:val="21"/>
                <w:lang w:val="en-US" w:eastAsia="zh-CN"/>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98" w:name="_Toc27374"/>
      <w:r>
        <w:rPr>
          <w:rFonts w:hint="eastAsia" w:ascii="微软雅黑" w:hAnsi="微软雅黑" w:eastAsia="微软雅黑" w:cs="微软雅黑"/>
          <w:sz w:val="24"/>
        </w:rPr>
        <w:t>二、评标方法</w:t>
      </w:r>
      <w:bookmarkEnd w:id="9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sz w:val="24"/>
          <w:szCs w:val="24"/>
        </w:rPr>
      </w:pPr>
      <w:bookmarkStart w:id="99" w:name="_Toc76462334"/>
      <w:bookmarkStart w:id="100" w:name="_Toc106030889"/>
      <w:bookmarkStart w:id="101" w:name="_Toc30944"/>
      <w:bookmarkStart w:id="102" w:name="_Toc24315"/>
      <w:bookmarkStart w:id="103" w:name="_Toc102227320"/>
      <w:bookmarkStart w:id="104" w:name="_Toc342913394"/>
      <w:r>
        <w:rPr>
          <w:rFonts w:hint="eastAsia" w:ascii="微软雅黑" w:hAnsi="微软雅黑" w:eastAsia="微软雅黑" w:cs="微软雅黑"/>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（二）推荐中标候选人名单。</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u w:val="single"/>
          <w:lang w:eastAsia="zh-CN"/>
        </w:rPr>
      </w:pPr>
      <w:r>
        <w:rPr>
          <w:rFonts w:hint="eastAsia" w:ascii="微软雅黑" w:hAnsi="微软雅黑" w:eastAsia="微软雅黑" w:cs="微软雅黑"/>
          <w:sz w:val="24"/>
          <w:szCs w:val="24"/>
          <w:u w:val="none"/>
          <w:lang w:val="en-US" w:eastAsia="zh-CN"/>
        </w:rPr>
        <w:t>该项目为一次性报价，最终报价以响应文件上的报价为准，现场不再议价。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99"/>
      <w:bookmarkEnd w:id="100"/>
      <w:bookmarkEnd w:id="101"/>
      <w:bookmarkEnd w:id="102"/>
    </w:p>
    <w:p>
      <w:pPr>
        <w:snapToGrid w:val="0"/>
        <w:spacing w:line="400" w:lineRule="exact"/>
        <w:ind w:firstLine="480" w:firstLineChars="200"/>
        <w:rPr>
          <w:rFonts w:hint="eastAsia" w:ascii="微软雅黑" w:hAnsi="微软雅黑" w:eastAsia="微软雅黑" w:cs="微软雅黑"/>
          <w:sz w:val="24"/>
          <w:szCs w:val="24"/>
        </w:rPr>
      </w:pPr>
      <w:bookmarkStart w:id="105" w:name="_Toc31497"/>
      <w:bookmarkStart w:id="106" w:name="_Toc76462335"/>
      <w:bookmarkStart w:id="10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8" w:name="_Toc17606"/>
      <w:r>
        <w:rPr>
          <w:rFonts w:hint="eastAsia" w:ascii="微软雅黑" w:hAnsi="微软雅黑" w:eastAsia="微软雅黑" w:cs="微软雅黑"/>
          <w:sz w:val="24"/>
        </w:rPr>
        <w:t>四、无效响应</w:t>
      </w:r>
      <w:bookmarkEnd w:id="105"/>
      <w:bookmarkEnd w:id="106"/>
      <w:bookmarkEnd w:id="107"/>
      <w:bookmarkEnd w:id="10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09" w:name="_Toc12222"/>
      <w:bookmarkStart w:id="110" w:name="_Toc76462336"/>
      <w:bookmarkStart w:id="111" w:name="_Toc106030891"/>
      <w:bookmarkStart w:id="112" w:name="_Toc10687"/>
      <w:r>
        <w:rPr>
          <w:rFonts w:hint="eastAsia" w:ascii="微软雅黑" w:hAnsi="微软雅黑" w:eastAsia="微软雅黑" w:cs="微软雅黑"/>
          <w:sz w:val="24"/>
        </w:rPr>
        <w:t>五、</w:t>
      </w:r>
      <w:bookmarkEnd w:id="103"/>
      <w:bookmarkEnd w:id="104"/>
      <w:bookmarkEnd w:id="109"/>
      <w:bookmarkEnd w:id="110"/>
      <w:bookmarkEnd w:id="111"/>
      <w:bookmarkEnd w:id="11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3次的除外)</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微软雅黑" w:hAnsi="微软雅黑" w:eastAsia="微软雅黑" w:cs="微软雅黑"/>
          <w:b/>
          <w:bCs w:val="0"/>
          <w:sz w:val="44"/>
          <w:szCs w:val="20"/>
        </w:rPr>
      </w:pPr>
      <w:bookmarkStart w:id="113" w:name="_Toc76462337"/>
      <w:bookmarkStart w:id="114" w:name="_Toc106030892"/>
      <w:bookmarkStart w:id="115" w:name="_Toc12066"/>
      <w:bookmarkStart w:id="116" w:name="_Toc29948"/>
      <w:bookmarkStart w:id="117" w:name="_Toc102227313"/>
      <w:r>
        <w:rPr>
          <w:rFonts w:hint="eastAsia" w:ascii="微软雅黑" w:hAnsi="微软雅黑" w:eastAsia="微软雅黑" w:cs="微软雅黑"/>
          <w:b/>
          <w:bCs w:val="0"/>
          <w:sz w:val="44"/>
          <w:szCs w:val="20"/>
        </w:rPr>
        <w:t xml:space="preserve">第五篇  </w:t>
      </w:r>
      <w:r>
        <w:rPr>
          <w:rFonts w:hint="eastAsia" w:ascii="微软雅黑" w:hAnsi="微软雅黑" w:eastAsia="微软雅黑" w:cs="微软雅黑"/>
          <w:b/>
          <w:bCs w:val="0"/>
          <w:sz w:val="44"/>
          <w:szCs w:val="20"/>
          <w:lang w:eastAsia="zh-CN"/>
        </w:rPr>
        <w:t>投标人</w:t>
      </w:r>
      <w:r>
        <w:rPr>
          <w:rFonts w:hint="eastAsia" w:ascii="微软雅黑" w:hAnsi="微软雅黑" w:eastAsia="微软雅黑" w:cs="微软雅黑"/>
          <w:b/>
          <w:bCs w:val="0"/>
          <w:sz w:val="44"/>
          <w:szCs w:val="20"/>
        </w:rPr>
        <w:t>须知</w:t>
      </w:r>
      <w:bookmarkEnd w:id="113"/>
      <w:bookmarkEnd w:id="114"/>
      <w:bookmarkEnd w:id="115"/>
      <w:bookmarkEnd w:id="116"/>
      <w:bookmarkEnd w:id="11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106030893"/>
      <w:bookmarkStart w:id="119" w:name="_Toc76462338"/>
      <w:bookmarkStart w:id="120" w:name="_Toc342913389"/>
      <w:bookmarkStart w:id="121" w:name="_Toc16988"/>
      <w:bookmarkStart w:id="122" w:name="_Toc26717"/>
      <w:r>
        <w:rPr>
          <w:rFonts w:hint="eastAsia" w:ascii="微软雅黑" w:hAnsi="微软雅黑" w:eastAsia="微软雅黑" w:cs="微软雅黑"/>
          <w:sz w:val="24"/>
        </w:rPr>
        <w:t>一、</w:t>
      </w:r>
      <w:r>
        <w:rPr>
          <w:rFonts w:hint="eastAsia" w:ascii="微软雅黑" w:hAnsi="微软雅黑" w:eastAsia="微软雅黑" w:cs="微软雅黑"/>
          <w:sz w:val="24"/>
          <w:lang w:val="en-US" w:eastAsia="zh-CN"/>
        </w:rPr>
        <w:t>公开比选</w:t>
      </w:r>
      <w:r>
        <w:rPr>
          <w:rFonts w:hint="eastAsia" w:ascii="微软雅黑" w:hAnsi="微软雅黑" w:eastAsia="微软雅黑" w:cs="微软雅黑"/>
          <w:sz w:val="24"/>
        </w:rPr>
        <w:t>费用</w:t>
      </w:r>
      <w:bookmarkEnd w:id="118"/>
      <w:bookmarkEnd w:id="119"/>
      <w:bookmarkEnd w:id="120"/>
      <w:bookmarkEnd w:id="121"/>
      <w:bookmarkEnd w:id="122"/>
    </w:p>
    <w:p>
      <w:pPr>
        <w:pStyle w:val="143"/>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应承担其编制响应文件与递交响应文件所涉及的一切费用，不论</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3" w:name="_Toc342913391"/>
      <w:bookmarkStart w:id="124" w:name="_Toc31408"/>
      <w:bookmarkStart w:id="125" w:name="_Toc106030894"/>
      <w:bookmarkStart w:id="126" w:name="_Toc76462339"/>
      <w:bookmarkStart w:id="127" w:name="_Toc15712"/>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公开比选采购</w:t>
      </w:r>
      <w:r>
        <w:rPr>
          <w:rFonts w:hint="eastAsia" w:ascii="微软雅黑" w:hAnsi="微软雅黑" w:eastAsia="微软雅黑" w:cs="微软雅黑"/>
          <w:sz w:val="24"/>
        </w:rPr>
        <w:t>文件</w:t>
      </w:r>
      <w:bookmarkEnd w:id="123"/>
      <w:bookmarkEnd w:id="124"/>
      <w:bookmarkEnd w:id="125"/>
      <w:bookmarkEnd w:id="126"/>
      <w:bookmarkEnd w:id="12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文件由采购邀请书、项目服务需求、</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须知、项目商务需求、</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程序及方法、评审标准、无效响应和采购终止、</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如对</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文件有疑问，必须以书面形式在</w:t>
      </w:r>
      <w:r>
        <w:rPr>
          <w:rFonts w:hint="eastAsia" w:ascii="微软雅黑" w:hAnsi="微软雅黑" w:eastAsia="微软雅黑" w:cs="微软雅黑"/>
          <w:color w:val="auto"/>
          <w:sz w:val="24"/>
          <w:szCs w:val="24"/>
        </w:rPr>
        <w:t>提交响应文件截止时间</w:t>
      </w:r>
      <w:r>
        <w:rPr>
          <w:rFonts w:hint="eastAsia" w:ascii="微软雅黑" w:hAnsi="微软雅黑" w:eastAsia="微软雅黑" w:cs="微软雅黑"/>
          <w:color w:val="auto"/>
          <w:sz w:val="24"/>
          <w:szCs w:val="24"/>
          <w:lang w:val="en-US" w:eastAsia="zh-CN"/>
        </w:rPr>
        <w:t>2</w:t>
      </w:r>
      <w:r>
        <w:rPr>
          <w:rFonts w:hint="eastAsia" w:ascii="微软雅黑" w:hAnsi="微软雅黑" w:eastAsia="微软雅黑" w:cs="微软雅黑"/>
          <w:color w:val="auto"/>
          <w:sz w:val="24"/>
          <w:szCs w:val="24"/>
        </w:rPr>
        <w:t>个工作日前向采购人要求澄清，采购人可视具体情况做出处理或答复。如</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未提出疑问，视为完全理解并同意本</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w:t>
      </w:r>
      <w:r>
        <w:rPr>
          <w:rFonts w:hint="eastAsia" w:ascii="微软雅黑" w:hAnsi="微软雅黑" w:eastAsia="微软雅黑" w:cs="微软雅黑"/>
          <w:color w:val="auto"/>
          <w:sz w:val="24"/>
          <w:szCs w:val="24"/>
        </w:rPr>
        <w:t>。一经进入</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程序，即</w:t>
      </w:r>
      <w:r>
        <w:rPr>
          <w:rFonts w:hint="eastAsia" w:ascii="微软雅黑" w:hAnsi="微软雅黑" w:eastAsia="微软雅黑" w:cs="微软雅黑"/>
          <w:sz w:val="24"/>
          <w:szCs w:val="24"/>
        </w:rPr>
        <w:t>视为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已详细阅读全部文件资料，完全理解</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文件所有条款内容并同意放弃对这方面有不明白及误解的权利。</w:t>
      </w:r>
      <w:bookmarkStart w:id="128" w:name="_Toc318166429"/>
      <w:bookmarkStart w:id="129" w:name="_Toc318159349"/>
      <w:bookmarkStart w:id="130" w:name="_Toc318159780"/>
      <w:bookmarkStart w:id="131" w:name="_Toc318159160"/>
    </w:p>
    <w:bookmarkEnd w:id="128"/>
    <w:bookmarkEnd w:id="129"/>
    <w:bookmarkEnd w:id="130"/>
    <w:bookmarkEnd w:id="13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79714297"/>
      <w:bookmarkStart w:id="133" w:name="_Toc76462340"/>
      <w:bookmarkStart w:id="134" w:name="_Toc102227318"/>
      <w:bookmarkStart w:id="135" w:name="_Toc26007"/>
      <w:bookmarkStart w:id="136" w:name="_Toc342913392"/>
      <w:bookmarkStart w:id="137" w:name="_Toc7643"/>
      <w:bookmarkStart w:id="138" w:name="_Toc106030895"/>
      <w:r>
        <w:rPr>
          <w:rFonts w:hint="eastAsia" w:ascii="微软雅黑" w:hAnsi="微软雅黑" w:eastAsia="微软雅黑" w:cs="微软雅黑"/>
          <w:sz w:val="24"/>
        </w:rPr>
        <w:t>三、</w:t>
      </w:r>
      <w:r>
        <w:rPr>
          <w:rFonts w:hint="eastAsia" w:ascii="微软雅黑" w:hAnsi="微软雅黑" w:eastAsia="微软雅黑" w:cs="微软雅黑"/>
          <w:sz w:val="24"/>
          <w:lang w:val="en-US" w:eastAsia="zh-CN"/>
        </w:rPr>
        <w:t>比选</w:t>
      </w:r>
      <w:r>
        <w:rPr>
          <w:rFonts w:hint="eastAsia" w:ascii="微软雅黑" w:hAnsi="微软雅黑" w:eastAsia="微软雅黑" w:cs="微软雅黑"/>
          <w:sz w:val="24"/>
        </w:rPr>
        <w:t>要求</w:t>
      </w:r>
      <w:bookmarkEnd w:id="132"/>
      <w:bookmarkEnd w:id="133"/>
      <w:bookmarkEnd w:id="134"/>
      <w:bookmarkEnd w:id="135"/>
      <w:bookmarkEnd w:id="136"/>
      <w:bookmarkEnd w:id="137"/>
      <w:bookmarkEnd w:id="13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应当按照</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的要求编制响应文件，并对</w:t>
      </w:r>
      <w:r>
        <w:rPr>
          <w:rFonts w:hint="eastAsia" w:ascii="微软雅黑" w:hAnsi="微软雅黑" w:eastAsia="微软雅黑" w:cs="微软雅黑"/>
          <w:sz w:val="24"/>
          <w:szCs w:val="24"/>
          <w:lang w:val="en-US" w:eastAsia="zh-CN"/>
        </w:rPr>
        <w:t>公开比选采购文件</w:t>
      </w:r>
      <w:r>
        <w:rPr>
          <w:rFonts w:hint="eastAsia" w:ascii="微软雅黑" w:hAnsi="微软雅黑" w:eastAsia="微软雅黑" w:cs="微软雅黑"/>
          <w:sz w:val="24"/>
          <w:szCs w:val="24"/>
        </w:rPr>
        <w:t>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篇响应文件编制要求”规定的部分和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所作的一切有效补充、修改和承诺等文件组成，</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应按照“第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篇响应文件编制要求”规定的目录顺序组织编写和装订，也可在基本格式基础上对表格进行扩展，未规定格式的由</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自定格式。</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二</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比选</w:t>
      </w:r>
      <w:r>
        <w:rPr>
          <w:rFonts w:hint="eastAsia" w:ascii="微软雅黑" w:hAnsi="微软雅黑" w:eastAsia="微软雅黑" w:cs="微软雅黑"/>
          <w:color w:val="auto"/>
          <w:sz w:val="24"/>
          <w:szCs w:val="24"/>
        </w:rPr>
        <w:t>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）修正错误</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若响应文件出现计算或表达上的错误，修正错误的原则如下：</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1.响应文件中开标一览表（报价表）内容与响应文件中相应内容不一致的，以开标一览表（报价表）为准；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2.大写金额和小写金额不一致的，以大写金额为准；</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3.单价金额小数点或者百分比有明显错位的，以开标一览表的总价为准，并修改单价；</w:t>
      </w:r>
    </w:p>
    <w:p>
      <w:pPr>
        <w:pStyle w:val="50"/>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微软雅黑" w:hAnsi="微软雅黑" w:eastAsia="微软雅黑" w:cs="微软雅黑"/>
          <w:sz w:val="24"/>
          <w:szCs w:val="20"/>
          <w:lang w:val="en-US"/>
        </w:rPr>
      </w:pPr>
      <w:r>
        <w:rPr>
          <w:rFonts w:hint="eastAsia" w:ascii="微软雅黑" w:hAnsi="微软雅黑" w:eastAsia="微软雅黑" w:cs="微软雅黑"/>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小组</w:t>
      </w:r>
      <w:r>
        <w:rPr>
          <w:rFonts w:hint="eastAsia" w:ascii="微软雅黑" w:hAnsi="微软雅黑" w:eastAsia="微软雅黑" w:cs="微软雅黑"/>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kern w:val="2"/>
          <w:sz w:val="24"/>
          <w:szCs w:val="20"/>
          <w:lang w:val="en-US" w:eastAsia="zh-CN" w:bidi="ar"/>
        </w:rPr>
        <w:t>1.响应文件一式六份，其中正本一份，副本五份，电子文档一份</w:t>
      </w:r>
      <w:r>
        <w:rPr>
          <w:rFonts w:hint="eastAsia" w:ascii="微软雅黑" w:hAnsi="微软雅黑" w:eastAsia="微软雅黑" w:cs="微软雅黑"/>
          <w:sz w:val="24"/>
          <w:szCs w:val="24"/>
        </w:rPr>
        <w:t>（</w:t>
      </w:r>
      <w:r>
        <w:rPr>
          <w:rFonts w:hint="eastAsia" w:ascii="微软雅黑" w:hAnsi="微软雅黑" w:eastAsia="微软雅黑" w:cs="微软雅黑"/>
          <w:b/>
          <w:bCs/>
          <w:sz w:val="24"/>
          <w:szCs w:val="24"/>
          <w:u w:val="single"/>
          <w:lang w:val="en-US" w:eastAsia="zh-CN"/>
        </w:rPr>
        <w:t>电子文档须将完整的响应文件</w:t>
      </w:r>
      <w:r>
        <w:rPr>
          <w:rFonts w:hint="eastAsia" w:ascii="微软雅黑" w:hAnsi="微软雅黑" w:eastAsia="微软雅黑" w:cs="微软雅黑"/>
          <w:b/>
          <w:bCs/>
          <w:sz w:val="24"/>
          <w:szCs w:val="24"/>
          <w:u w:val="single"/>
        </w:rPr>
        <w:t>正本PDF版上传到电子招投标平台</w:t>
      </w:r>
      <w:r>
        <w:rPr>
          <w:rFonts w:hint="eastAsia" w:ascii="微软雅黑" w:hAnsi="微软雅黑" w:eastAsia="微软雅黑" w:cs="微软雅黑"/>
          <w:b/>
          <w:bCs/>
          <w:sz w:val="24"/>
          <w:szCs w:val="24"/>
          <w:u w:val="single"/>
          <w:lang w:eastAsia="zh-CN"/>
        </w:rPr>
        <w:t>，</w:t>
      </w:r>
      <w:r>
        <w:rPr>
          <w:rFonts w:hint="eastAsia" w:ascii="微软雅黑" w:hAnsi="微软雅黑" w:eastAsia="微软雅黑" w:cs="微软雅黑"/>
          <w:b/>
          <w:bCs/>
          <w:sz w:val="24"/>
          <w:szCs w:val="24"/>
          <w:u w:val="single"/>
          <w:lang w:val="en-US" w:eastAsia="zh-CN"/>
        </w:rPr>
        <w:t>如电子文档与纸质响应文件的实质性内容出现差异，则视为未报名成功</w:t>
      </w:r>
      <w:r>
        <w:rPr>
          <w:rFonts w:hint="eastAsia" w:ascii="微软雅黑" w:hAnsi="微软雅黑" w:eastAsia="微软雅黑" w:cs="微软雅黑"/>
          <w:sz w:val="24"/>
          <w:szCs w:val="24"/>
        </w:rPr>
        <w:t>）</w:t>
      </w:r>
      <w:r>
        <w:rPr>
          <w:rFonts w:hint="eastAsia" w:ascii="微软雅黑" w:hAnsi="微软雅黑" w:eastAsia="微软雅黑" w:cs="微软雅黑"/>
          <w:kern w:val="2"/>
          <w:sz w:val="24"/>
          <w:szCs w:val="20"/>
          <w:lang w:val="en-US" w:eastAsia="zh-CN" w:bidi="ar"/>
        </w:rPr>
        <w:t>；</w:t>
      </w:r>
      <w:r>
        <w:rPr>
          <w:rFonts w:hint="eastAsia" w:ascii="微软雅黑" w:hAnsi="微软雅黑" w:eastAsia="微软雅黑" w:cs="微软雅黑"/>
          <w:sz w:val="24"/>
          <w:szCs w:val="24"/>
        </w:rPr>
        <w:t>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val="en-US" w:eastAsia="zh-CN"/>
        </w:rPr>
        <w:t>公开比选采购文件</w:t>
      </w:r>
      <w:r>
        <w:rPr>
          <w:rFonts w:hint="eastAsia" w:ascii="微软雅黑" w:hAnsi="微软雅黑" w:eastAsia="微软雅黑" w:cs="微软雅黑"/>
          <w:sz w:val="24"/>
        </w:rPr>
        <w:t>“第</w:t>
      </w:r>
      <w:r>
        <w:rPr>
          <w:rFonts w:hint="eastAsia" w:ascii="微软雅黑" w:hAnsi="微软雅黑" w:eastAsia="微软雅黑" w:cs="微软雅黑"/>
          <w:sz w:val="24"/>
          <w:lang w:val="en-US" w:eastAsia="zh-CN"/>
        </w:rPr>
        <w:t>六</w:t>
      </w:r>
      <w:r>
        <w:rPr>
          <w:rFonts w:hint="eastAsia" w:ascii="微软雅黑" w:hAnsi="微软雅黑" w:eastAsia="微软雅黑" w:cs="微软雅黑"/>
          <w:sz w:val="24"/>
        </w:rPr>
        <w:t>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）响应文件的递交</w:t>
      </w:r>
    </w:p>
    <w:p>
      <w:pPr>
        <w:pStyle w:val="3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rPr>
        <w:t>项目名称、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应当派1-2名代表参与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，至少1人应为法定代表人（或其授权代表）或自然人（</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9" w:name="_Toc10580"/>
      <w:bookmarkStart w:id="140" w:name="_Toc76462341"/>
      <w:bookmarkStart w:id="141" w:name="_Toc6435"/>
      <w:bookmarkStart w:id="142" w:name="_Toc10603089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39"/>
      <w:bookmarkEnd w:id="140"/>
      <w:bookmarkEnd w:id="141"/>
      <w:bookmarkEnd w:id="142"/>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的确认</w:t>
      </w:r>
    </w:p>
    <w:p>
      <w:pPr>
        <w:snapToGrid w:val="0"/>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采购人从评审报告提出的成交候选</w:t>
      </w:r>
      <w:r>
        <w:rPr>
          <w:rFonts w:hint="eastAsia" w:ascii="微软雅黑" w:hAnsi="微软雅黑" w:eastAsia="微软雅黑" w:cs="微软雅黑"/>
          <w:color w:val="auto"/>
          <w:sz w:val="24"/>
          <w:szCs w:val="24"/>
          <w:lang w:eastAsia="zh-CN"/>
        </w:rPr>
        <w:t>投标人</w:t>
      </w:r>
      <w:r>
        <w:rPr>
          <w:rFonts w:hint="eastAsia" w:ascii="微软雅黑" w:hAnsi="微软雅黑" w:eastAsia="微软雅黑" w:cs="微软雅黑"/>
          <w:color w:val="auto"/>
          <w:sz w:val="24"/>
          <w:szCs w:val="24"/>
        </w:rPr>
        <w:t>中，按照排序由高到低的原则确定</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w:t>
      </w:r>
    </w:p>
    <w:p>
      <w:pPr>
        <w:snapToGrid w:val="0"/>
        <w:spacing w:line="400" w:lineRule="exact"/>
        <w:ind w:firstLine="480" w:firstLineChars="200"/>
        <w:outlineLvl w:val="2"/>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w:t>
      </w:r>
      <w:r>
        <w:rPr>
          <w:rFonts w:hint="eastAsia" w:ascii="微软雅黑" w:hAnsi="微软雅黑" w:eastAsia="微软雅黑" w:cs="微软雅黑"/>
          <w:color w:val="auto"/>
          <w:sz w:val="24"/>
          <w:szCs w:val="24"/>
          <w:lang w:eastAsia="zh-CN"/>
        </w:rPr>
        <w:t>中标人</w:t>
      </w:r>
      <w:r>
        <w:rPr>
          <w:rFonts w:hint="eastAsia" w:ascii="微软雅黑" w:hAnsi="微软雅黑" w:eastAsia="微软雅黑" w:cs="微软雅黑"/>
          <w:color w:val="auto"/>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拒绝与采购人签订合同的，采购人可以按照评标报告推荐的成交候选</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顺序，确定排名下一位的候选人为</w:t>
      </w:r>
      <w:r>
        <w:rPr>
          <w:rFonts w:hint="eastAsia" w:ascii="微软雅黑" w:hAnsi="微软雅黑" w:eastAsia="微软雅黑" w:cs="微软雅黑"/>
          <w:color w:val="auto"/>
          <w:sz w:val="24"/>
          <w:lang w:eastAsia="zh-CN"/>
        </w:rPr>
        <w:t>中标人</w:t>
      </w:r>
      <w:r>
        <w:rPr>
          <w:rFonts w:hint="eastAsia" w:ascii="微软雅黑" w:hAnsi="微软雅黑" w:eastAsia="微软雅黑" w:cs="微软雅黑"/>
          <w:color w:val="auto"/>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06030897"/>
      <w:bookmarkStart w:id="144" w:name="_Toc23469"/>
      <w:bookmarkStart w:id="145" w:name="_Toc21532"/>
      <w:bookmarkStart w:id="146" w:name="_Toc76462342"/>
      <w:bookmarkStart w:id="147" w:name="_Toc102227321"/>
      <w:bookmarkStart w:id="148" w:name="_Toc342913395"/>
      <w:r>
        <w:rPr>
          <w:rFonts w:hint="eastAsia" w:ascii="微软雅黑" w:hAnsi="微软雅黑" w:eastAsia="微软雅黑" w:cs="微软雅黑"/>
          <w:sz w:val="24"/>
        </w:rPr>
        <w:t>五、成交通知</w:t>
      </w:r>
      <w:bookmarkEnd w:id="143"/>
      <w:bookmarkEnd w:id="144"/>
      <w:bookmarkEnd w:id="145"/>
      <w:bookmarkEnd w:id="146"/>
      <w:bookmarkEnd w:id="147"/>
      <w:bookmarkEnd w:id="14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结果公告发出同时，</w:t>
      </w:r>
      <w:r>
        <w:rPr>
          <w:rFonts w:hint="eastAsia" w:ascii="微软雅黑" w:hAnsi="微软雅黑" w:eastAsia="微软雅黑" w:cs="微软雅黑"/>
          <w:sz w:val="24"/>
          <w:szCs w:val="24"/>
          <w:lang w:val="en-US" w:eastAsia="zh-CN"/>
        </w:rPr>
        <w:t>采购管理处公室</w:t>
      </w:r>
      <w:r>
        <w:rPr>
          <w:rFonts w:hint="eastAsia" w:ascii="微软雅黑" w:hAnsi="微软雅黑" w:eastAsia="微软雅黑" w:cs="微软雅黑"/>
          <w:sz w:val="24"/>
          <w:szCs w:val="24"/>
        </w:rPr>
        <w:t>将平台内发出《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中标通知书</w:t>
      </w:r>
      <w:r>
        <w:rPr>
          <w:rFonts w:hint="eastAsia" w:ascii="微软雅黑" w:hAnsi="微软雅黑" w:eastAsia="微软雅黑" w:cs="微软雅黑"/>
          <w:sz w:val="24"/>
          <w:szCs w:val="24"/>
        </w:rPr>
        <w:t>》将作为签订合同的依据。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9" w:name="_Toc76462343"/>
      <w:bookmarkStart w:id="150" w:name="_Toc21448"/>
      <w:bookmarkStart w:id="151" w:name="_Toc106030898"/>
      <w:bookmarkStart w:id="152" w:name="_Toc27460"/>
      <w:r>
        <w:rPr>
          <w:rFonts w:hint="eastAsia" w:ascii="微软雅黑" w:hAnsi="微软雅黑" w:eastAsia="微软雅黑" w:cs="微软雅黑"/>
          <w:sz w:val="24"/>
        </w:rPr>
        <w:t>六、质疑</w:t>
      </w:r>
      <w:r>
        <w:rPr>
          <w:rFonts w:hint="eastAsia" w:ascii="微软雅黑" w:hAnsi="微软雅黑" w:eastAsia="微软雅黑" w:cs="微软雅黑"/>
          <w:sz w:val="24"/>
          <w:lang w:val="en-US" w:eastAsia="zh-CN"/>
        </w:rPr>
        <w:t>处理</w:t>
      </w:r>
      <w:bookmarkEnd w:id="149"/>
      <w:bookmarkEnd w:id="150"/>
      <w:bookmarkEnd w:id="151"/>
      <w:bookmarkEnd w:id="15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提出质疑的应当是参与所质疑项目采购活动的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 xml:space="preserve">。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一）</w:t>
      </w:r>
      <w:r>
        <w:rPr>
          <w:rFonts w:hint="eastAsia" w:ascii="微软雅黑" w:hAnsi="微软雅黑" w:eastAsia="微软雅黑" w:cs="微软雅黑"/>
          <w:sz w:val="24"/>
        </w:rPr>
        <w:t>质疑时限、内容</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1.质疑时限</w:t>
      </w:r>
    </w:p>
    <w:p>
      <w:pPr>
        <w:snapToGrid w:val="0"/>
        <w:spacing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1.1对采购文件的质疑。</w:t>
      </w:r>
      <w:r>
        <w:rPr>
          <w:rFonts w:hint="eastAsia" w:ascii="微软雅黑" w:hAnsi="微软雅黑" w:eastAsia="微软雅黑" w:cs="微软雅黑"/>
          <w:sz w:val="24"/>
          <w:szCs w:val="24"/>
        </w:rPr>
        <w:t>投标人如对本</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文件有任何实质性疑问，应当以书面形式向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w:t>
      </w:r>
      <w:r>
        <w:rPr>
          <w:rFonts w:hint="eastAsia" w:ascii="微软雅黑" w:hAnsi="微软雅黑" w:eastAsia="微软雅黑" w:cs="微软雅黑"/>
          <w:sz w:val="24"/>
          <w:szCs w:val="24"/>
          <w:lang w:val="en-US" w:eastAsia="zh-CN"/>
        </w:rPr>
        <w:t>投标截至时间之前送达采购人</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val="en-US" w:eastAsia="zh-CN"/>
        </w:rPr>
        <w:t>1.2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认为采购过程、成交结果使自己的权益受到损害的，可以在知道或者应知其权益受到损害之日起</w:t>
      </w: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为自然人的，质疑函应当由本人签字；</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lang w:val="en-US" w:eastAsia="zh-CN"/>
        </w:rPr>
        <w:t>（二）</w:t>
      </w:r>
      <w:r>
        <w:rPr>
          <w:rFonts w:hint="eastAsia" w:ascii="微软雅黑" w:hAnsi="微软雅黑" w:eastAsia="微软雅黑" w:cs="微软雅黑"/>
          <w:sz w:val="24"/>
        </w:rPr>
        <w:t>质疑答复</w:t>
      </w:r>
    </w:p>
    <w:p>
      <w:pPr>
        <w:spacing w:line="400" w:lineRule="exact"/>
        <w:ind w:right="12" w:firstLine="480"/>
        <w:rPr>
          <w:rFonts w:hint="eastAsia" w:ascii="微软雅黑" w:hAnsi="微软雅黑" w:eastAsia="微软雅黑" w:cs="微软雅黑"/>
          <w:b w:val="0"/>
          <w:bCs w:val="0"/>
          <w:sz w:val="24"/>
        </w:rPr>
      </w:pPr>
      <w:r>
        <w:rPr>
          <w:rFonts w:hint="eastAsia" w:ascii="微软雅黑" w:hAnsi="微软雅黑" w:eastAsia="微软雅黑" w:cs="微软雅黑"/>
          <w:sz w:val="24"/>
        </w:rPr>
        <w:t>采购人应当在收到</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的书面质疑后</w:t>
      </w: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个工作日内作出答复，并以书面形式通知质疑</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和其他有关</w:t>
      </w:r>
      <w:r>
        <w:rPr>
          <w:rFonts w:hint="eastAsia" w:ascii="微软雅黑" w:hAnsi="微软雅黑" w:eastAsia="微软雅黑" w:cs="微软雅黑"/>
          <w:b w:val="0"/>
          <w:bCs w:val="0"/>
          <w:sz w:val="24"/>
          <w:lang w:eastAsia="zh-CN"/>
        </w:rPr>
        <w:t>投标人</w:t>
      </w:r>
      <w:r>
        <w:rPr>
          <w:rFonts w:hint="eastAsia" w:ascii="微软雅黑" w:hAnsi="微软雅黑" w:eastAsia="微软雅黑" w:cs="微软雅黑"/>
          <w:b w:val="0"/>
          <w:bCs w:val="0"/>
          <w:sz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三</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应在质疑期内一次性提出针对同一采购程序环节的质疑。</w:t>
      </w:r>
      <w:bookmarkStart w:id="153" w:name="_Toc28334"/>
      <w:bookmarkStart w:id="154" w:name="_Toc106030899"/>
      <w:bookmarkStart w:id="155" w:name="_Toc76462344"/>
    </w:p>
    <w:p>
      <w:pPr>
        <w:pStyle w:val="4"/>
        <w:numPr>
          <w:ilvl w:val="-1"/>
          <w:numId w:val="0"/>
        </w:numPr>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156" w:name="_Toc6600"/>
      <w:r>
        <w:rPr>
          <w:rFonts w:hint="eastAsia" w:ascii="微软雅黑" w:hAnsi="微软雅黑" w:eastAsia="微软雅黑" w:cs="微软雅黑"/>
          <w:sz w:val="24"/>
        </w:rPr>
        <w:t>七</w:t>
      </w:r>
      <w:r>
        <w:rPr>
          <w:rFonts w:hint="eastAsia" w:ascii="微软雅黑" w:hAnsi="微软雅黑" w:eastAsia="微软雅黑" w:cs="微软雅黑"/>
          <w:color w:val="auto"/>
          <w:sz w:val="24"/>
        </w:rPr>
        <w:t>、</w:t>
      </w:r>
      <w:bookmarkEnd w:id="153"/>
      <w:bookmarkEnd w:id="154"/>
      <w:bookmarkEnd w:id="155"/>
      <w:bookmarkStart w:id="157" w:name="_Toc102227322"/>
      <w:bookmarkStart w:id="158" w:name="_Toc76462346"/>
      <w:bookmarkStart w:id="159" w:name="_Toc106030901"/>
      <w:bookmarkStart w:id="160" w:name="_Toc342913396"/>
      <w:bookmarkStart w:id="161" w:name="_Toc3372"/>
      <w:bookmarkStart w:id="162" w:name="_Toc11641055"/>
      <w:bookmarkStart w:id="163" w:name="_Toc12789059"/>
      <w:r>
        <w:rPr>
          <w:rFonts w:hint="eastAsia" w:ascii="微软雅黑" w:hAnsi="微软雅黑" w:eastAsia="微软雅黑" w:cs="微软雅黑"/>
          <w:color w:val="auto"/>
          <w:sz w:val="24"/>
        </w:rPr>
        <w:t>签订</w:t>
      </w:r>
      <w:bookmarkEnd w:id="157"/>
      <w:r>
        <w:rPr>
          <w:rFonts w:hint="eastAsia" w:ascii="微软雅黑" w:hAnsi="微软雅黑" w:eastAsia="微软雅黑" w:cs="微软雅黑"/>
          <w:color w:val="auto"/>
          <w:sz w:val="24"/>
        </w:rPr>
        <w:t>合同</w:t>
      </w:r>
      <w:bookmarkEnd w:id="156"/>
      <w:bookmarkEnd w:id="158"/>
      <w:bookmarkEnd w:id="159"/>
      <w:bookmarkEnd w:id="160"/>
      <w:bookmarkEnd w:id="161"/>
    </w:p>
    <w:p>
      <w:pPr>
        <w:spacing w:line="4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（一）中标人应于收到中标通知书之日起5个工作日内，按照中标项目的</w:t>
      </w:r>
      <w:r>
        <w:rPr>
          <w:rFonts w:hint="eastAsia" w:ascii="微软雅黑" w:hAnsi="微软雅黑" w:eastAsia="微软雅黑" w:cs="微软雅黑"/>
          <w:color w:val="auto"/>
          <w:sz w:val="24"/>
          <w:lang w:eastAsia="zh-CN"/>
        </w:rPr>
        <w:t>公开比选采购文件</w:t>
      </w:r>
      <w:r>
        <w:rPr>
          <w:rFonts w:hint="eastAsia" w:ascii="微软雅黑" w:hAnsi="微软雅黑" w:eastAsia="微软雅黑" w:cs="微软雅黑"/>
          <w:color w:val="auto"/>
          <w:sz w:val="24"/>
        </w:rPr>
        <w:t>与</w:t>
      </w:r>
      <w:r>
        <w:rPr>
          <w:rFonts w:hint="eastAsia" w:ascii="微软雅黑" w:hAnsi="微软雅黑" w:eastAsia="微软雅黑" w:cs="微软雅黑"/>
          <w:color w:val="auto"/>
          <w:sz w:val="24"/>
          <w:lang w:eastAsia="zh-CN"/>
        </w:rPr>
        <w:t>响应文件</w:t>
      </w:r>
      <w:r>
        <w:rPr>
          <w:rFonts w:hint="eastAsia" w:ascii="微软雅黑" w:hAnsi="微软雅黑" w:eastAsia="微软雅黑" w:cs="微软雅黑"/>
          <w:color w:val="auto"/>
          <w:sz w:val="24"/>
        </w:rPr>
        <w:t>递交采购合同。</w:t>
      </w:r>
    </w:p>
    <w:p>
      <w:pPr>
        <w:spacing w:line="400" w:lineRule="exact"/>
        <w:ind w:firstLine="360" w:firstLineChars="15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 xml:space="preserve"> （二）中标人未在规定时间内递交合同或放弃中标资格，则</w:t>
      </w:r>
      <w:r>
        <w:rPr>
          <w:rFonts w:hint="eastAsia" w:ascii="微软雅黑" w:hAnsi="微软雅黑" w:eastAsia="微软雅黑" w:cs="微软雅黑"/>
          <w:color w:val="auto"/>
          <w:sz w:val="24"/>
          <w:lang w:eastAsia="zh-CN"/>
        </w:rPr>
        <w:t>采购人</w:t>
      </w:r>
      <w:r>
        <w:rPr>
          <w:rFonts w:hint="eastAsia" w:ascii="微软雅黑" w:hAnsi="微软雅黑" w:eastAsia="微软雅黑" w:cs="微软雅黑"/>
          <w:color w:val="auto"/>
          <w:sz w:val="24"/>
        </w:rPr>
        <w:t>将有充分的理由废除授标，将中标人纳入</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失信</w:t>
      </w:r>
      <w:r>
        <w:rPr>
          <w:rFonts w:hint="eastAsia" w:ascii="微软雅黑" w:hAnsi="微软雅黑" w:eastAsia="微软雅黑" w:cs="微软雅黑"/>
          <w:color w:val="auto"/>
          <w:sz w:val="24"/>
          <w:lang w:eastAsia="zh-CN"/>
        </w:rPr>
        <w:t>投标人</w:t>
      </w:r>
      <w:r>
        <w:rPr>
          <w:rFonts w:hint="eastAsia" w:ascii="微软雅黑" w:hAnsi="微软雅黑" w:eastAsia="微软雅黑" w:cs="微软雅黑"/>
          <w:color w:val="auto"/>
          <w:sz w:val="24"/>
        </w:rPr>
        <w:t>名单并扣除该项目的投标保证金，两年之内不得参与</w:t>
      </w:r>
      <w:r>
        <w:rPr>
          <w:rFonts w:hint="eastAsia" w:ascii="微软雅黑" w:hAnsi="微软雅黑" w:eastAsia="微软雅黑" w:cs="微软雅黑"/>
          <w:color w:val="auto"/>
          <w:sz w:val="24"/>
          <w:lang w:val="en-US" w:eastAsia="zh-CN"/>
        </w:rPr>
        <w:t>采购人</w:t>
      </w:r>
      <w:r>
        <w:rPr>
          <w:rFonts w:hint="eastAsia" w:ascii="微软雅黑" w:hAnsi="微软雅黑" w:eastAsia="微软雅黑" w:cs="微软雅黑"/>
          <w:color w:val="auto"/>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bookmarkEnd w:id="162"/>
      <w:bookmarkEnd w:id="163"/>
    </w:p>
    <w:p>
      <w:pPr>
        <w:pStyle w:val="4"/>
        <w:spacing w:before="200" w:after="200" w:line="240" w:lineRule="auto"/>
        <w:jc w:val="center"/>
        <w:rPr>
          <w:rFonts w:hint="eastAsia" w:ascii="微软雅黑" w:hAnsi="微软雅黑" w:eastAsia="微软雅黑" w:cs="微软雅黑"/>
          <w:b/>
          <w:sz w:val="44"/>
          <w:szCs w:val="20"/>
        </w:rPr>
      </w:pPr>
      <w:bookmarkStart w:id="164" w:name="_Hlt41879464"/>
      <w:bookmarkEnd w:id="164"/>
      <w:bookmarkStart w:id="165" w:name="_Toc27984"/>
      <w:bookmarkStart w:id="166" w:name="_Toc106030905"/>
      <w:bookmarkStart w:id="167" w:name="_Toc17106"/>
      <w:bookmarkStart w:id="168" w:name="_Toc76462349"/>
      <w:r>
        <w:rPr>
          <w:rFonts w:hint="eastAsia" w:ascii="微软雅黑" w:hAnsi="微软雅黑" w:eastAsia="微软雅黑" w:cs="微软雅黑"/>
          <w:b/>
          <w:sz w:val="44"/>
          <w:szCs w:val="20"/>
        </w:rPr>
        <w:t>第六篇  响应文件编制要求</w:t>
      </w:r>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（二）明细报价表</w:t>
      </w:r>
    </w:p>
    <w:p>
      <w:pPr>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技术响应承诺</w:t>
      </w:r>
      <w:r>
        <w:rPr>
          <w:rFonts w:hint="eastAsia" w:ascii="微软雅黑" w:hAnsi="微软雅黑" w:eastAsia="微软雅黑" w:cs="微软雅黑"/>
          <w:sz w:val="24"/>
          <w:szCs w:val="24"/>
        </w:rPr>
        <w:t>（格式自定）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商务响应</w:t>
      </w:r>
      <w:r>
        <w:rPr>
          <w:rFonts w:hint="eastAsia" w:ascii="微软雅黑" w:hAnsi="微软雅黑" w:eastAsia="微软雅黑" w:cs="微软雅黑"/>
          <w:sz w:val="24"/>
          <w:szCs w:val="24"/>
        </w:rPr>
        <w:t>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五、其他资料</w:t>
      </w:r>
    </w:p>
    <w:p>
      <w:pPr>
        <w:spacing w:line="360" w:lineRule="auto"/>
        <w:jc w:val="both"/>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jc w:val="center"/>
      <w:rPr>
        <w:rStyle w:val="61"/>
        <w:rFonts w:hint="eastAsia" w:ascii="宋体"/>
        <w:sz w:val="21"/>
        <w:szCs w:val="21"/>
      </w:rPr>
    </w:pPr>
    <w:r>
      <w:rPr>
        <w:rFonts w:ascii="宋体"/>
        <w:sz w:val="21"/>
        <w:szCs w:val="21"/>
      </w:rPr>
      <w:fldChar w:fldCharType="begin"/>
    </w:r>
    <w:r>
      <w:rPr>
        <w:rStyle w:val="61"/>
        <w:rFonts w:ascii="宋体"/>
        <w:sz w:val="21"/>
        <w:szCs w:val="21"/>
      </w:rPr>
      <w:instrText xml:space="preserve">PAGE  </w:instrText>
    </w:r>
    <w:r>
      <w:rPr>
        <w:rFonts w:ascii="宋体"/>
        <w:sz w:val="21"/>
        <w:szCs w:val="21"/>
      </w:rPr>
      <w:fldChar w:fldCharType="separate"/>
    </w:r>
    <w:r>
      <w:rPr>
        <w:rStyle w:val="61"/>
        <w:rFonts w:ascii="宋体"/>
        <w:sz w:val="21"/>
        <w:szCs w:val="21"/>
      </w:rPr>
      <w:t>- 5 -</w:t>
    </w:r>
    <w:r>
      <w:rPr>
        <w:rFonts w:ascii="宋体"/>
        <w:sz w:val="21"/>
        <w:szCs w:val="21"/>
      </w:rPr>
      <w:fldChar w:fldCharType="end"/>
    </w:r>
  </w:p>
  <w:p>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fldChar w:fldCharType="end"/>
    </w:r>
  </w:p>
  <w:p>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p>
  <w:p>
    <w:pPr>
      <w:pStyle w:val="35"/>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jc w:val="center"/>
      <w:rPr>
        <w:rFonts w:hint="eastAsia" w:ascii="宋体" w:hAnsi="宋体"/>
        <w:sz w:val="21"/>
        <w:szCs w:val="21"/>
      </w:rPr>
    </w:pPr>
    <w:r>
      <w:rPr>
        <w:rFonts w:ascii="宋体" w:hAnsi="宋体"/>
        <w:sz w:val="21"/>
        <w:szCs w:val="21"/>
      </w:rPr>
      <w:fldChar w:fldCharType="begin"/>
    </w:r>
    <w:r>
      <w:rPr>
        <w:rStyle w:val="61"/>
        <w:rFonts w:ascii="宋体" w:hAnsi="宋体"/>
        <w:sz w:val="21"/>
        <w:szCs w:val="21"/>
      </w:rPr>
      <w:instrText xml:space="preserve"> PAGE </w:instrText>
    </w:r>
    <w:r>
      <w:rPr>
        <w:rFonts w:ascii="宋体" w:hAnsi="宋体"/>
        <w:sz w:val="21"/>
        <w:szCs w:val="21"/>
      </w:rPr>
      <w:fldChar w:fldCharType="separate"/>
    </w:r>
    <w:r>
      <w:rPr>
        <w:rStyle w:val="61"/>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framePr w:wrap="around" w:vAnchor="text" w:hAnchor="margin" w:xAlign="center" w:y="1"/>
      <w:rPr>
        <w:rStyle w:val="61"/>
      </w:rPr>
    </w:pPr>
    <w:r>
      <w:fldChar w:fldCharType="begin"/>
    </w:r>
    <w:r>
      <w:rPr>
        <w:rStyle w:val="61"/>
      </w:rPr>
      <w:instrText xml:space="preserve">PAGE  </w:instrText>
    </w:r>
    <w:r>
      <w:fldChar w:fldCharType="separate"/>
    </w:r>
    <w:r>
      <w:rPr>
        <w:rStyle w:val="61"/>
      </w:rPr>
      <w:t>- 14 -</w:t>
    </w:r>
    <w:r>
      <w:fldChar w:fldCharType="end"/>
    </w:r>
  </w:p>
  <w:p>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Bdr>
        <w:bottom w:val="single" w:color="auto" w:sz="4" w:space="0"/>
      </w:pBdr>
      <w:rPr>
        <w:rFonts w:hint="default" w:eastAsia="宋体"/>
        <w:lang w:val="en-US" w:eastAsia="zh-CN"/>
      </w:rPr>
    </w:pPr>
    <w:r>
      <w:rPr>
        <w:rFonts w:hint="eastAsia"/>
        <w:lang w:val="en-US" w:eastAsia="zh-CN"/>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EDE2E06"/>
    <w:multiLevelType w:val="singleLevel"/>
    <w:tmpl w:val="EEDE2E06"/>
    <w:lvl w:ilvl="0" w:tentative="0">
      <w:start w:val="2"/>
      <w:numFmt w:val="chineseCounting"/>
      <w:suff w:val="nothing"/>
      <w:lvlText w:val="%1、"/>
      <w:lvlJc w:val="left"/>
      <w:rPr>
        <w:rFonts w:hint="eastAsia"/>
      </w:rPr>
    </w:lvl>
  </w:abstractNum>
  <w:abstractNum w:abstractNumId="1">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singleLevel"/>
    <w:tmpl w:val="0000000B"/>
    <w:lvl w:ilvl="0" w:tentative="0">
      <w:start w:val="1"/>
      <w:numFmt w:val="bullet"/>
      <w:pStyle w:val="172"/>
      <w:lvlText w:val=""/>
      <w:lvlJc w:val="left"/>
      <w:pPr>
        <w:tabs>
          <w:tab w:val="left" w:pos="360"/>
        </w:tabs>
        <w:ind w:left="360" w:hanging="360"/>
      </w:pPr>
      <w:rPr>
        <w:rFonts w:hint="default" w:ascii="Wingdings" w:hAnsi="Wingdings"/>
      </w:rPr>
    </w:lvl>
  </w:abstractNum>
  <w:abstractNum w:abstractNumId="4">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5">
    <w:nsid w:val="0000000E"/>
    <w:multiLevelType w:val="multilevel"/>
    <w:tmpl w:val="0000000E"/>
    <w:lvl w:ilvl="0" w:tentative="0">
      <w:start w:val="1"/>
      <w:numFmt w:val="bullet"/>
      <w:pStyle w:val="205"/>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6">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7">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0000012"/>
    <w:multiLevelType w:val="multilevel"/>
    <w:tmpl w:val="00000012"/>
    <w:lvl w:ilvl="0" w:tentative="0">
      <w:start w:val="1"/>
      <w:numFmt w:val="bullet"/>
      <w:pStyle w:val="191"/>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10">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1">
    <w:nsid w:val="00000016"/>
    <w:multiLevelType w:val="singleLevel"/>
    <w:tmpl w:val="00000016"/>
    <w:lvl w:ilvl="0" w:tentative="0">
      <w:start w:val="1"/>
      <w:numFmt w:val="decimal"/>
      <w:pStyle w:val="234"/>
      <w:lvlText w:val="%1)"/>
      <w:lvlJc w:val="left"/>
      <w:pPr>
        <w:tabs>
          <w:tab w:val="left" w:pos="425"/>
        </w:tabs>
        <w:ind w:left="425" w:hanging="425"/>
      </w:pPr>
      <w:rPr>
        <w:rFonts w:hint="eastAsia"/>
      </w:rPr>
    </w:lvl>
  </w:abstractNum>
  <w:abstractNum w:abstractNumId="12">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7"/>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9"/>
  </w:num>
  <w:num w:numId="2">
    <w:abstractNumId w:val="6"/>
  </w:num>
  <w:num w:numId="3">
    <w:abstractNumId w:val="4"/>
  </w:num>
  <w:num w:numId="4">
    <w:abstractNumId w:val="10"/>
  </w:num>
  <w:num w:numId="5">
    <w:abstractNumId w:val="13"/>
  </w:num>
  <w:num w:numId="6">
    <w:abstractNumId w:val="1"/>
  </w:num>
  <w:num w:numId="7">
    <w:abstractNumId w:val="7"/>
  </w:num>
  <w:num w:numId="8">
    <w:abstractNumId w:val="12"/>
  </w:num>
  <w:num w:numId="9">
    <w:abstractNumId w:val="2"/>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21377C"/>
    <w:rsid w:val="026C7369"/>
    <w:rsid w:val="030620E3"/>
    <w:rsid w:val="043206CC"/>
    <w:rsid w:val="04FC5D6D"/>
    <w:rsid w:val="079B568B"/>
    <w:rsid w:val="07F103E0"/>
    <w:rsid w:val="092E6FC0"/>
    <w:rsid w:val="0A823A37"/>
    <w:rsid w:val="0AC159DE"/>
    <w:rsid w:val="0B264DAA"/>
    <w:rsid w:val="0B4077B6"/>
    <w:rsid w:val="0BB87E47"/>
    <w:rsid w:val="0BC54681"/>
    <w:rsid w:val="0D1F249B"/>
    <w:rsid w:val="0E727B5D"/>
    <w:rsid w:val="0EEF2BFF"/>
    <w:rsid w:val="11EB1626"/>
    <w:rsid w:val="147A5E14"/>
    <w:rsid w:val="14D956BC"/>
    <w:rsid w:val="15935DB5"/>
    <w:rsid w:val="15BB3449"/>
    <w:rsid w:val="17351C20"/>
    <w:rsid w:val="178B1D79"/>
    <w:rsid w:val="17A1211B"/>
    <w:rsid w:val="18ED7A84"/>
    <w:rsid w:val="19255AF5"/>
    <w:rsid w:val="193B151F"/>
    <w:rsid w:val="198C43BA"/>
    <w:rsid w:val="1A7E6296"/>
    <w:rsid w:val="1C5F6A76"/>
    <w:rsid w:val="1D004156"/>
    <w:rsid w:val="1F0D01CA"/>
    <w:rsid w:val="1FB23339"/>
    <w:rsid w:val="20FD7945"/>
    <w:rsid w:val="210746C9"/>
    <w:rsid w:val="21864056"/>
    <w:rsid w:val="21F05643"/>
    <w:rsid w:val="224815AE"/>
    <w:rsid w:val="2486441F"/>
    <w:rsid w:val="25707285"/>
    <w:rsid w:val="29D52E74"/>
    <w:rsid w:val="2A7C79AC"/>
    <w:rsid w:val="2AA01F44"/>
    <w:rsid w:val="2E2D3EDF"/>
    <w:rsid w:val="300C58E0"/>
    <w:rsid w:val="30B221E5"/>
    <w:rsid w:val="31ED6DCC"/>
    <w:rsid w:val="33226F4B"/>
    <w:rsid w:val="332D1E43"/>
    <w:rsid w:val="33564527"/>
    <w:rsid w:val="34CF6884"/>
    <w:rsid w:val="35397720"/>
    <w:rsid w:val="359927BC"/>
    <w:rsid w:val="37CB0DF6"/>
    <w:rsid w:val="38141CAD"/>
    <w:rsid w:val="39AA75C6"/>
    <w:rsid w:val="39C353F8"/>
    <w:rsid w:val="3AC32089"/>
    <w:rsid w:val="3ACE5D4F"/>
    <w:rsid w:val="3C045DD1"/>
    <w:rsid w:val="3C55524B"/>
    <w:rsid w:val="3CD2331B"/>
    <w:rsid w:val="3D525F31"/>
    <w:rsid w:val="3DF6488D"/>
    <w:rsid w:val="3E3B40E7"/>
    <w:rsid w:val="3EEC6CD3"/>
    <w:rsid w:val="3F120674"/>
    <w:rsid w:val="3F1C71CA"/>
    <w:rsid w:val="3FD26D34"/>
    <w:rsid w:val="3FDB0AF9"/>
    <w:rsid w:val="3FEA6A0B"/>
    <w:rsid w:val="406334F2"/>
    <w:rsid w:val="409F14A1"/>
    <w:rsid w:val="415F6EA3"/>
    <w:rsid w:val="41B20BF4"/>
    <w:rsid w:val="42395B6E"/>
    <w:rsid w:val="423A7D1B"/>
    <w:rsid w:val="452C7897"/>
    <w:rsid w:val="45C76B65"/>
    <w:rsid w:val="479F10AA"/>
    <w:rsid w:val="48794403"/>
    <w:rsid w:val="487A6880"/>
    <w:rsid w:val="48CC3872"/>
    <w:rsid w:val="494B5EE6"/>
    <w:rsid w:val="494C6B8D"/>
    <w:rsid w:val="497B7CB3"/>
    <w:rsid w:val="49DD37B6"/>
    <w:rsid w:val="4B2D12E0"/>
    <w:rsid w:val="4B303151"/>
    <w:rsid w:val="4BEB6B31"/>
    <w:rsid w:val="4D4E307F"/>
    <w:rsid w:val="4DD36371"/>
    <w:rsid w:val="4F070047"/>
    <w:rsid w:val="4F3C244F"/>
    <w:rsid w:val="50F458C0"/>
    <w:rsid w:val="5115115D"/>
    <w:rsid w:val="521E4A24"/>
    <w:rsid w:val="52D92ACB"/>
    <w:rsid w:val="52D93D20"/>
    <w:rsid w:val="53B4776F"/>
    <w:rsid w:val="53DF1E3A"/>
    <w:rsid w:val="558E730F"/>
    <w:rsid w:val="568C5652"/>
    <w:rsid w:val="56A55E74"/>
    <w:rsid w:val="57857077"/>
    <w:rsid w:val="57EF5962"/>
    <w:rsid w:val="596B5247"/>
    <w:rsid w:val="59C34BA9"/>
    <w:rsid w:val="5B9C3E91"/>
    <w:rsid w:val="5CA67F0E"/>
    <w:rsid w:val="600122C5"/>
    <w:rsid w:val="60E05AE3"/>
    <w:rsid w:val="614516F9"/>
    <w:rsid w:val="61625D90"/>
    <w:rsid w:val="63771B5C"/>
    <w:rsid w:val="639D20F7"/>
    <w:rsid w:val="65C328F3"/>
    <w:rsid w:val="66246E50"/>
    <w:rsid w:val="67A04914"/>
    <w:rsid w:val="68BD663A"/>
    <w:rsid w:val="692F74C0"/>
    <w:rsid w:val="69537A0E"/>
    <w:rsid w:val="696405DD"/>
    <w:rsid w:val="6B26444A"/>
    <w:rsid w:val="6B2E5407"/>
    <w:rsid w:val="6E5D2906"/>
    <w:rsid w:val="6F4859CD"/>
    <w:rsid w:val="6FE969BF"/>
    <w:rsid w:val="70003319"/>
    <w:rsid w:val="701245F9"/>
    <w:rsid w:val="71175C34"/>
    <w:rsid w:val="71342D51"/>
    <w:rsid w:val="718F7C4F"/>
    <w:rsid w:val="7462627B"/>
    <w:rsid w:val="747D277F"/>
    <w:rsid w:val="74D70DF7"/>
    <w:rsid w:val="750950F5"/>
    <w:rsid w:val="750D16CF"/>
    <w:rsid w:val="77557570"/>
    <w:rsid w:val="789F3DA6"/>
    <w:rsid w:val="78A52377"/>
    <w:rsid w:val="78EF15F1"/>
    <w:rsid w:val="79082185"/>
    <w:rsid w:val="7A4F5B94"/>
    <w:rsid w:val="7A6F77AB"/>
    <w:rsid w:val="7A98155F"/>
    <w:rsid w:val="7AAC4823"/>
    <w:rsid w:val="7B5B7497"/>
    <w:rsid w:val="7BEF5F10"/>
    <w:rsid w:val="7DF1049E"/>
    <w:rsid w:val="7E2157DA"/>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59">
    <w:name w:val="Default Paragraph Font"/>
    <w:qFormat/>
    <w:uiPriority w:val="0"/>
  </w:style>
  <w:style w:type="table" w:default="1" w:styleId="57">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toc 5"/>
    <w:basedOn w:val="1"/>
    <w:next w:val="1"/>
    <w:qFormat/>
    <w:uiPriority w:val="0"/>
    <w:pPr>
      <w:ind w:left="1680" w:leftChars="800"/>
    </w:pPr>
  </w:style>
  <w:style w:type="paragraph" w:styleId="29">
    <w:name w:val="toc 3"/>
    <w:basedOn w:val="1"/>
    <w:next w:val="1"/>
    <w:qFormat/>
    <w:uiPriority w:val="39"/>
    <w:pPr>
      <w:ind w:left="840" w:leftChars="400"/>
    </w:pPr>
  </w:style>
  <w:style w:type="paragraph" w:styleId="30">
    <w:name w:val="Plain Text"/>
    <w:basedOn w:val="1"/>
    <w:link w:val="240"/>
    <w:qFormat/>
    <w:uiPriority w:val="0"/>
    <w:rPr>
      <w:rFonts w:ascii="宋体" w:hAnsi="Courier New"/>
      <w:sz w:val="21"/>
    </w:rPr>
  </w:style>
  <w:style w:type="paragraph" w:styleId="31">
    <w:name w:val="toc 8"/>
    <w:basedOn w:val="1"/>
    <w:next w:val="1"/>
    <w:qFormat/>
    <w:uiPriority w:val="0"/>
    <w:pPr>
      <w:ind w:left="2940" w:leftChars="1400"/>
    </w:pPr>
  </w:style>
  <w:style w:type="paragraph" w:styleId="32">
    <w:name w:val="Date"/>
    <w:basedOn w:val="1"/>
    <w:next w:val="1"/>
    <w:link w:val="74"/>
    <w:qFormat/>
    <w:uiPriority w:val="0"/>
  </w:style>
  <w:style w:type="paragraph" w:styleId="33">
    <w:name w:val="Body Text Indent 2"/>
    <w:basedOn w:val="1"/>
    <w:link w:val="75"/>
    <w:qFormat/>
    <w:uiPriority w:val="0"/>
    <w:pPr>
      <w:snapToGrid w:val="0"/>
      <w:spacing w:line="560" w:lineRule="atLeast"/>
      <w:ind w:firstLine="540"/>
    </w:pPr>
  </w:style>
  <w:style w:type="paragraph" w:styleId="34">
    <w:name w:val="Balloon Text"/>
    <w:basedOn w:val="1"/>
    <w:qFormat/>
    <w:uiPriority w:val="0"/>
    <w:rPr>
      <w:sz w:val="18"/>
    </w:rPr>
  </w:style>
  <w:style w:type="paragraph" w:styleId="35">
    <w:name w:val="footer"/>
    <w:basedOn w:val="1"/>
    <w:qFormat/>
    <w:uiPriority w:val="0"/>
    <w:pPr>
      <w:tabs>
        <w:tab w:val="center" w:pos="4153"/>
        <w:tab w:val="right" w:pos="8306"/>
      </w:tabs>
      <w:snapToGrid w:val="0"/>
      <w:jc w:val="left"/>
    </w:pPr>
    <w:rPr>
      <w:sz w:val="18"/>
    </w:rPr>
  </w:style>
  <w:style w:type="paragraph" w:styleId="36">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7">
    <w:name w:val="toc 1"/>
    <w:basedOn w:val="1"/>
    <w:next w:val="1"/>
    <w:qFormat/>
    <w:uiPriority w:val="0"/>
    <w:pPr>
      <w:spacing w:line="180" w:lineRule="auto"/>
      <w:jc w:val="center"/>
    </w:pPr>
    <w:rPr>
      <w:sz w:val="30"/>
    </w:rPr>
  </w:style>
  <w:style w:type="paragraph" w:styleId="38">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9">
    <w:name w:val="toc 4"/>
    <w:basedOn w:val="1"/>
    <w:next w:val="1"/>
    <w:qFormat/>
    <w:uiPriority w:val="0"/>
    <w:pPr>
      <w:ind w:left="1260" w:leftChars="600"/>
    </w:pPr>
  </w:style>
  <w:style w:type="paragraph" w:styleId="40">
    <w:name w:val="footnote text"/>
    <w:basedOn w:val="1"/>
    <w:link w:val="76"/>
    <w:qFormat/>
    <w:uiPriority w:val="0"/>
    <w:pPr>
      <w:spacing w:line="360" w:lineRule="auto"/>
    </w:pPr>
    <w:rPr>
      <w:sz w:val="18"/>
    </w:rPr>
  </w:style>
  <w:style w:type="paragraph" w:styleId="41">
    <w:name w:val="toc 6"/>
    <w:basedOn w:val="1"/>
    <w:next w:val="1"/>
    <w:qFormat/>
    <w:uiPriority w:val="0"/>
    <w:pPr>
      <w:ind w:left="2100" w:leftChars="1000"/>
    </w:pPr>
  </w:style>
  <w:style w:type="paragraph" w:styleId="42">
    <w:name w:val="List 5"/>
    <w:basedOn w:val="1"/>
    <w:qFormat/>
    <w:uiPriority w:val="0"/>
    <w:pPr>
      <w:adjustRightInd w:val="0"/>
      <w:snapToGrid w:val="0"/>
      <w:spacing w:line="360" w:lineRule="auto"/>
      <w:ind w:left="100" w:leftChars="800" w:hanging="200" w:hangingChars="200"/>
    </w:pPr>
    <w:rPr>
      <w:sz w:val="24"/>
    </w:rPr>
  </w:style>
  <w:style w:type="paragraph" w:styleId="43">
    <w:name w:val="Body Text Indent 3"/>
    <w:basedOn w:val="1"/>
    <w:qFormat/>
    <w:uiPriority w:val="0"/>
    <w:pPr>
      <w:spacing w:line="360" w:lineRule="auto"/>
      <w:ind w:firstLine="632"/>
    </w:pPr>
    <w:rPr>
      <w:rFonts w:ascii="黑体" w:eastAsia="黑体"/>
    </w:rPr>
  </w:style>
  <w:style w:type="paragraph" w:styleId="44">
    <w:name w:val="table of figures"/>
    <w:basedOn w:val="1"/>
    <w:next w:val="1"/>
    <w:qFormat/>
    <w:uiPriority w:val="0"/>
    <w:pPr>
      <w:tabs>
        <w:tab w:val="right" w:leader="dot" w:pos="8640"/>
      </w:tabs>
      <w:spacing w:line="360" w:lineRule="auto"/>
      <w:ind w:left="400" w:hanging="400"/>
    </w:pPr>
    <w:rPr>
      <w:sz w:val="24"/>
    </w:rPr>
  </w:style>
  <w:style w:type="paragraph" w:styleId="45">
    <w:name w:val="toc 2"/>
    <w:basedOn w:val="1"/>
    <w:next w:val="1"/>
    <w:qFormat/>
    <w:uiPriority w:val="39"/>
    <w:pPr>
      <w:ind w:left="420" w:leftChars="200"/>
    </w:pPr>
  </w:style>
  <w:style w:type="paragraph" w:styleId="46">
    <w:name w:val="toc 9"/>
    <w:basedOn w:val="1"/>
    <w:next w:val="1"/>
    <w:qFormat/>
    <w:uiPriority w:val="0"/>
    <w:pPr>
      <w:ind w:left="3360" w:leftChars="1600"/>
    </w:pPr>
  </w:style>
  <w:style w:type="paragraph" w:styleId="47">
    <w:name w:val="Body Text 2"/>
    <w:basedOn w:val="1"/>
    <w:qFormat/>
    <w:uiPriority w:val="0"/>
    <w:pPr>
      <w:adjustRightInd w:val="0"/>
      <w:snapToGrid w:val="0"/>
      <w:spacing w:after="120" w:afterLines="0" w:afterAutospacing="0" w:line="480" w:lineRule="auto"/>
    </w:pPr>
    <w:rPr>
      <w:sz w:val="24"/>
    </w:rPr>
  </w:style>
  <w:style w:type="paragraph" w:styleId="48">
    <w:name w:val="List 4"/>
    <w:basedOn w:val="1"/>
    <w:qFormat/>
    <w:uiPriority w:val="0"/>
    <w:pPr>
      <w:adjustRightInd w:val="0"/>
      <w:snapToGrid w:val="0"/>
      <w:spacing w:line="360" w:lineRule="auto"/>
      <w:ind w:left="100" w:leftChars="600" w:hanging="200" w:hangingChars="200"/>
    </w:pPr>
    <w:rPr>
      <w:sz w:val="24"/>
    </w:rPr>
  </w:style>
  <w:style w:type="paragraph" w:styleId="49">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0">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1">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2">
    <w:name w:val="index 1"/>
    <w:basedOn w:val="1"/>
    <w:next w:val="1"/>
    <w:qFormat/>
    <w:uiPriority w:val="0"/>
    <w:pPr>
      <w:adjustRightInd w:val="0"/>
      <w:spacing w:line="240" w:lineRule="atLeast"/>
      <w:textAlignment w:val="baseline"/>
    </w:pPr>
    <w:rPr>
      <w:rFonts w:ascii="宋体"/>
      <w:kern w:val="0"/>
      <w:sz w:val="21"/>
    </w:rPr>
  </w:style>
  <w:style w:type="paragraph" w:styleId="53">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4">
    <w:name w:val="annotation subject"/>
    <w:basedOn w:val="20"/>
    <w:next w:val="20"/>
    <w:link w:val="77"/>
    <w:qFormat/>
    <w:uiPriority w:val="0"/>
    <w:pPr>
      <w:adjustRightInd/>
      <w:spacing w:line="240" w:lineRule="auto"/>
      <w:textAlignment w:val="auto"/>
    </w:pPr>
  </w:style>
  <w:style w:type="paragraph" w:styleId="55">
    <w:name w:val="Body Text First Indent"/>
    <w:basedOn w:val="1"/>
    <w:next w:val="1"/>
    <w:qFormat/>
    <w:uiPriority w:val="0"/>
    <w:pPr>
      <w:spacing w:line="360" w:lineRule="auto"/>
      <w:ind w:firstLine="420"/>
    </w:pPr>
    <w:rPr>
      <w:rFonts w:ascii="宋体" w:hAnsi="宋体"/>
      <w:sz w:val="24"/>
    </w:rPr>
  </w:style>
  <w:style w:type="paragraph" w:styleId="56">
    <w:name w:val="Body Text First Indent 2"/>
    <w:basedOn w:val="23"/>
    <w:link w:val="78"/>
    <w:qFormat/>
    <w:uiPriority w:val="0"/>
    <w:pPr>
      <w:spacing w:after="120" w:afterLines="0" w:line="240" w:lineRule="auto"/>
      <w:ind w:left="420" w:leftChars="200" w:firstLine="420" w:firstLineChars="200"/>
    </w:pPr>
  </w:style>
  <w:style w:type="table" w:styleId="58">
    <w:name w:val="Table Grid"/>
    <w:basedOn w:val="5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qFormat/>
    <w:uiPriority w:val="22"/>
    <w:rPr>
      <w:b/>
    </w:rPr>
  </w:style>
  <w:style w:type="character" w:styleId="61">
    <w:name w:val="page number"/>
    <w:qFormat/>
    <w:uiPriority w:val="0"/>
  </w:style>
  <w:style w:type="character" w:styleId="62">
    <w:name w:val="FollowedHyperlink"/>
    <w:qFormat/>
    <w:uiPriority w:val="0"/>
    <w:rPr>
      <w:color w:val="800080"/>
      <w:u w:val="single"/>
    </w:rPr>
  </w:style>
  <w:style w:type="character" w:styleId="63">
    <w:name w:val="Emphasis"/>
    <w:basedOn w:val="59"/>
    <w:qFormat/>
    <w:uiPriority w:val="0"/>
    <w:rPr>
      <w:i/>
    </w:rPr>
  </w:style>
  <w:style w:type="character" w:styleId="64">
    <w:name w:val="Hyperlink"/>
    <w:qFormat/>
    <w:uiPriority w:val="99"/>
    <w:rPr>
      <w:color w:val="0000FF"/>
      <w:u w:val="single"/>
    </w:rPr>
  </w:style>
  <w:style w:type="character" w:styleId="65">
    <w:name w:val="annotation reference"/>
    <w:qFormat/>
    <w:uiPriority w:val="0"/>
    <w:rPr>
      <w:sz w:val="21"/>
      <w:szCs w:val="21"/>
    </w:rPr>
  </w:style>
  <w:style w:type="character" w:styleId="66">
    <w:name w:val="footnote reference"/>
    <w:qFormat/>
    <w:uiPriority w:val="0"/>
    <w:rPr>
      <w:position w:val="6"/>
      <w:sz w:val="14"/>
      <w:vertAlign w:val="superscript"/>
    </w:rPr>
  </w:style>
  <w:style w:type="paragraph" w:customStyle="1" w:styleId="67">
    <w:name w:val="标题 5（有编号）（绿盟科技）"/>
    <w:basedOn w:val="1"/>
    <w:next w:val="68"/>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8">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69">
    <w:name w:val="Default"/>
    <w:next w:val="1"/>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2"/>
    <w:qFormat/>
    <w:uiPriority w:val="0"/>
    <w:rPr>
      <w:kern w:val="2"/>
      <w:sz w:val="28"/>
    </w:rPr>
  </w:style>
  <w:style w:type="character" w:customStyle="1" w:styleId="75">
    <w:name w:val="正文文本缩进 2 Char"/>
    <w:link w:val="33"/>
    <w:qFormat/>
    <w:uiPriority w:val="0"/>
    <w:rPr>
      <w:kern w:val="2"/>
      <w:sz w:val="28"/>
    </w:rPr>
  </w:style>
  <w:style w:type="character" w:customStyle="1" w:styleId="76">
    <w:name w:val="脚注文本 Char"/>
    <w:link w:val="40"/>
    <w:qFormat/>
    <w:uiPriority w:val="0"/>
    <w:rPr>
      <w:kern w:val="2"/>
      <w:sz w:val="18"/>
    </w:rPr>
  </w:style>
  <w:style w:type="character" w:customStyle="1" w:styleId="77">
    <w:name w:val="批注主题 Char"/>
    <w:link w:val="54"/>
    <w:qFormat/>
    <w:uiPriority w:val="0"/>
  </w:style>
  <w:style w:type="character" w:customStyle="1" w:styleId="78">
    <w:name w:val="正文首行缩进 2 Char"/>
    <w:link w:val="56"/>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5"/>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3"/>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0"/>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6">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7">
    <w:name w:val="关键词"/>
    <w:basedOn w:val="1"/>
    <w:next w:val="1"/>
    <w:qFormat/>
    <w:uiPriority w:val="0"/>
    <w:pPr>
      <w:spacing w:line="360" w:lineRule="auto"/>
    </w:pPr>
    <w:rPr>
      <w:rFonts w:eastAsia="黑体"/>
      <w:sz w:val="20"/>
    </w:rPr>
  </w:style>
  <w:style w:type="paragraph" w:customStyle="1" w:styleId="168">
    <w:name w:val="Title - Date"/>
    <w:basedOn w:val="53"/>
    <w:next w:val="1"/>
    <w:qFormat/>
    <w:uiPriority w:val="0"/>
    <w:pPr>
      <w:spacing w:before="240" w:beforeLines="0" w:beforeAutospacing="0" w:after="720" w:afterLines="0" w:afterAutospacing="0"/>
    </w:pPr>
    <w:rPr>
      <w:sz w:val="28"/>
    </w:rPr>
  </w:style>
  <w:style w:type="paragraph" w:customStyle="1" w:styleId="169">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1">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2">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3">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4">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5">
    <w:name w:val="样式4"/>
    <w:basedOn w:val="6"/>
    <w:qFormat/>
    <w:uiPriority w:val="0"/>
    <w:pPr>
      <w:adjustRightInd w:val="0"/>
      <w:snapToGrid w:val="0"/>
    </w:pPr>
  </w:style>
  <w:style w:type="paragraph" w:customStyle="1" w:styleId="176">
    <w:name w:val="摘要"/>
    <w:basedOn w:val="1"/>
    <w:next w:val="4"/>
    <w:qFormat/>
    <w:uiPriority w:val="0"/>
    <w:pPr>
      <w:spacing w:line="360" w:lineRule="auto"/>
    </w:pPr>
    <w:rPr>
      <w:rFonts w:eastAsia="黑体"/>
      <w:sz w:val="20"/>
    </w:rPr>
  </w:style>
  <w:style w:type="paragraph" w:customStyle="1" w:styleId="177">
    <w:name w:val=" Char Char 字元 字元 字元 Char Char Char Char"/>
    <w:basedOn w:val="1"/>
    <w:qFormat/>
    <w:uiPriority w:val="0"/>
    <w:pPr>
      <w:adjustRightInd w:val="0"/>
      <w:spacing w:line="360" w:lineRule="auto"/>
    </w:pPr>
    <w:rPr>
      <w:kern w:val="0"/>
      <w:sz w:val="24"/>
    </w:rPr>
  </w:style>
  <w:style w:type="paragraph" w:customStyle="1" w:styleId="178">
    <w:name w:val="可研正文"/>
    <w:basedOn w:val="2"/>
    <w:qFormat/>
    <w:uiPriority w:val="0"/>
    <w:pPr>
      <w:adjustRightInd w:val="0"/>
      <w:snapToGrid w:val="0"/>
      <w:spacing w:line="440" w:lineRule="exact"/>
      <w:ind w:firstLine="567"/>
    </w:pPr>
    <w:rPr>
      <w:sz w:val="28"/>
    </w:rPr>
  </w:style>
  <w:style w:type="paragraph" w:customStyle="1" w:styleId="179">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1">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2">
    <w:name w:val="标书正文:  0.74 厘米"/>
    <w:basedOn w:val="1"/>
    <w:qFormat/>
    <w:uiPriority w:val="0"/>
    <w:pPr>
      <w:snapToGrid w:val="0"/>
      <w:spacing w:line="360" w:lineRule="auto"/>
      <w:ind w:firstLine="420"/>
    </w:pPr>
    <w:rPr>
      <w:sz w:val="24"/>
    </w:rPr>
  </w:style>
  <w:style w:type="paragraph" w:customStyle="1" w:styleId="183">
    <w:name w:val="样式 正文缩进正文（首行缩进两字）表正文正文非缩进特点标题4段1 + 首行缩进:  2 字符"/>
    <w:basedOn w:val="16"/>
    <w:qFormat/>
    <w:uiPriority w:val="0"/>
    <w:pPr>
      <w:ind w:firstLine="480" w:firstLineChars="200"/>
    </w:pPr>
  </w:style>
  <w:style w:type="paragraph" w:customStyle="1" w:styleId="184">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5">
    <w:name w:val=" Char1 Char Char Char"/>
    <w:basedOn w:val="1"/>
    <w:qFormat/>
    <w:uiPriority w:val="0"/>
    <w:rPr>
      <w:rFonts w:ascii="Tahoma" w:hAnsi="Tahoma"/>
      <w:sz w:val="24"/>
    </w:rPr>
  </w:style>
  <w:style w:type="paragraph" w:customStyle="1" w:styleId="18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7">
    <w:name w:val="文章正文"/>
    <w:basedOn w:val="1"/>
    <w:qFormat/>
    <w:uiPriority w:val="0"/>
    <w:pPr>
      <w:ind w:firstLine="560" w:firstLineChars="200"/>
    </w:pPr>
    <w:rPr>
      <w:rFonts w:ascii="仿宋_GB2312" w:hAnsi="宋体" w:eastAsia="仿宋_GB2312"/>
      <w:color w:val="000000"/>
    </w:rPr>
  </w:style>
  <w:style w:type="paragraph" w:customStyle="1" w:styleId="188">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89">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0">
    <w:name w:val=" Char Char1 Char"/>
    <w:basedOn w:val="1"/>
    <w:qFormat/>
    <w:uiPriority w:val="0"/>
    <w:rPr>
      <w:rFonts w:ascii="Tahoma" w:hAnsi="Tahoma"/>
      <w:sz w:val="24"/>
      <w:szCs w:val="24"/>
    </w:rPr>
  </w:style>
  <w:style w:type="paragraph" w:customStyle="1" w:styleId="191">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2">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3">
    <w:name w:val="Char"/>
    <w:basedOn w:val="1"/>
    <w:qFormat/>
    <w:uiPriority w:val="0"/>
    <w:pPr>
      <w:spacing w:line="240" w:lineRule="atLeast"/>
      <w:ind w:left="420" w:firstLine="420"/>
    </w:pPr>
    <w:rPr>
      <w:kern w:val="0"/>
      <w:sz w:val="21"/>
    </w:rPr>
  </w:style>
  <w:style w:type="paragraph" w:customStyle="1" w:styleId="19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5">
    <w:name w:val="Char1 Char Char Char"/>
    <w:basedOn w:val="1"/>
    <w:qFormat/>
    <w:uiPriority w:val="0"/>
    <w:rPr>
      <w:rFonts w:ascii="Tahoma" w:hAnsi="Tahoma"/>
      <w:sz w:val="30"/>
    </w:rPr>
  </w:style>
  <w:style w:type="paragraph" w:customStyle="1" w:styleId="196">
    <w:name w:val="表头文本"/>
    <w:qFormat/>
    <w:uiPriority w:val="0"/>
    <w:pPr>
      <w:jc w:val="center"/>
    </w:pPr>
    <w:rPr>
      <w:rFonts w:ascii="Arial" w:hAnsi="Arial" w:eastAsia="宋体" w:cs="Times New Roman"/>
      <w:b/>
      <w:sz w:val="21"/>
      <w:lang w:val="en-US" w:eastAsia="zh-CN" w:bidi="ar-SA"/>
    </w:rPr>
  </w:style>
  <w:style w:type="paragraph" w:customStyle="1" w:styleId="197">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8">
    <w:name w:val=" Char Char Char"/>
    <w:basedOn w:val="1"/>
    <w:qFormat/>
    <w:uiPriority w:val="0"/>
    <w:rPr>
      <w:rFonts w:ascii="Tahoma" w:hAnsi="Tahoma"/>
      <w:sz w:val="24"/>
    </w:rPr>
  </w:style>
  <w:style w:type="paragraph" w:customStyle="1" w:styleId="199">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0">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1">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2">
    <w:name w:val="默认段落字体 Para Char Char Char Char Char Char Char"/>
    <w:basedOn w:val="1"/>
    <w:qFormat/>
    <w:uiPriority w:val="0"/>
    <w:rPr>
      <w:rFonts w:ascii="Tahoma" w:hAnsi="Tahoma"/>
      <w:sz w:val="24"/>
    </w:rPr>
  </w:style>
  <w:style w:type="paragraph" w:customStyle="1" w:styleId="203">
    <w:name w:val="IN Feature"/>
    <w:next w:val="204"/>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4">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5">
    <w:name w:val="首行缩进"/>
    <w:basedOn w:val="1"/>
    <w:qFormat/>
    <w:uiPriority w:val="0"/>
    <w:pPr>
      <w:numPr>
        <w:ilvl w:val="0"/>
        <w:numId w:val="12"/>
      </w:numPr>
      <w:spacing w:line="360" w:lineRule="auto"/>
    </w:pPr>
    <w:rPr>
      <w:rFonts w:eastAsia="仿宋_GB2312"/>
    </w:rPr>
  </w:style>
  <w:style w:type="paragraph" w:customStyle="1" w:styleId="206">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7">
    <w:name w:val="正文表格"/>
    <w:basedOn w:val="1"/>
    <w:qFormat/>
    <w:uiPriority w:val="0"/>
    <w:pPr>
      <w:adjustRightInd w:val="0"/>
      <w:spacing w:before="40" w:beforeLines="0" w:beforeAutospacing="0" w:after="40" w:afterLines="0" w:afterAutospacing="0"/>
    </w:pPr>
    <w:rPr>
      <w:sz w:val="24"/>
    </w:rPr>
  </w:style>
  <w:style w:type="paragraph" w:customStyle="1" w:styleId="208">
    <w:name w:val="表文字"/>
    <w:qFormat/>
    <w:uiPriority w:val="0"/>
    <w:rPr>
      <w:rFonts w:ascii="宋体" w:hAnsi="Times New Roman" w:eastAsia="宋体" w:cs="Times New Roman"/>
      <w:kern w:val="2"/>
      <w:lang w:val="en-US" w:eastAsia="zh-CN" w:bidi="ar-SA"/>
    </w:rPr>
  </w:style>
  <w:style w:type="paragraph" w:customStyle="1" w:styleId="209">
    <w:name w:val="表格内文字"/>
    <w:basedOn w:val="30"/>
    <w:qFormat/>
    <w:uiPriority w:val="0"/>
    <w:pPr>
      <w:adjustRightInd w:val="0"/>
    </w:pPr>
    <w:rPr>
      <w:color w:val="000000"/>
      <w:lang w:val="en-GB"/>
    </w:rPr>
  </w:style>
  <w:style w:type="paragraph" w:customStyle="1" w:styleId="210">
    <w:name w:val="Body Text Indent 2"/>
    <w:basedOn w:val="1"/>
    <w:qFormat/>
    <w:uiPriority w:val="0"/>
    <w:pPr>
      <w:adjustRightInd w:val="0"/>
      <w:spacing w:before="120" w:beforeLines="0" w:beforeAutospacing="0"/>
      <w:ind w:firstLine="420"/>
      <w:textAlignment w:val="baseline"/>
    </w:pPr>
    <w:rPr>
      <w:sz w:val="24"/>
    </w:rPr>
  </w:style>
  <w:style w:type="paragraph" w:customStyle="1" w:styleId="211">
    <w:name w:val="标题无"/>
    <w:basedOn w:val="1"/>
    <w:qFormat/>
    <w:uiPriority w:val="0"/>
    <w:pPr>
      <w:spacing w:line="360" w:lineRule="auto"/>
    </w:pPr>
    <w:rPr>
      <w:sz w:val="24"/>
    </w:rPr>
  </w:style>
  <w:style w:type="paragraph" w:customStyle="1" w:styleId="212">
    <w:name w:val="af"/>
    <w:basedOn w:val="1"/>
    <w:qFormat/>
    <w:uiPriority w:val="0"/>
    <w:pPr>
      <w:widowControl/>
      <w:spacing w:line="300" w:lineRule="atLeast"/>
      <w:jc w:val="left"/>
    </w:pPr>
    <w:rPr>
      <w:rFonts w:ascii="宋体" w:hAnsi="宋体"/>
      <w:kern w:val="0"/>
      <w:sz w:val="18"/>
    </w:rPr>
  </w:style>
  <w:style w:type="paragraph" w:customStyle="1" w:styleId="213">
    <w:name w:val="简单回函地址"/>
    <w:basedOn w:val="1"/>
    <w:qFormat/>
    <w:uiPriority w:val="0"/>
    <w:pPr>
      <w:adjustRightInd w:val="0"/>
      <w:snapToGrid w:val="0"/>
      <w:spacing w:line="360" w:lineRule="auto"/>
    </w:pPr>
    <w:rPr>
      <w:sz w:val="24"/>
    </w:rPr>
  </w:style>
  <w:style w:type="paragraph" w:customStyle="1" w:styleId="214">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5">
    <w:name w:val="正文（首行不缩进）"/>
    <w:basedOn w:val="1"/>
    <w:qFormat/>
    <w:uiPriority w:val="0"/>
    <w:pPr>
      <w:autoSpaceDE w:val="0"/>
      <w:autoSpaceDN w:val="0"/>
      <w:adjustRightInd w:val="0"/>
      <w:spacing w:line="360" w:lineRule="auto"/>
      <w:jc w:val="left"/>
    </w:pPr>
    <w:rPr>
      <w:kern w:val="0"/>
      <w:sz w:val="21"/>
    </w:rPr>
  </w:style>
  <w:style w:type="paragraph" w:customStyle="1" w:styleId="216">
    <w:name w:val="正文1"/>
    <w:basedOn w:val="1"/>
    <w:qFormat/>
    <w:uiPriority w:val="0"/>
    <w:pPr>
      <w:spacing w:line="300" w:lineRule="auto"/>
      <w:ind w:firstLine="200" w:firstLineChars="200"/>
    </w:pPr>
    <w:rPr>
      <w:sz w:val="24"/>
    </w:rPr>
  </w:style>
  <w:style w:type="paragraph" w:customStyle="1" w:styleId="217">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8">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19">
    <w:name w:val="表头样式"/>
    <w:basedOn w:val="1"/>
    <w:qFormat/>
    <w:uiPriority w:val="0"/>
    <w:pPr>
      <w:autoSpaceDE w:val="0"/>
      <w:autoSpaceDN w:val="0"/>
      <w:adjustRightInd w:val="0"/>
      <w:spacing w:line="360" w:lineRule="auto"/>
      <w:jc w:val="left"/>
    </w:pPr>
    <w:rPr>
      <w:b/>
      <w:kern w:val="0"/>
      <w:sz w:val="21"/>
    </w:rPr>
  </w:style>
  <w:style w:type="paragraph" w:customStyle="1" w:styleId="220">
    <w:name w:val="图片文字"/>
    <w:basedOn w:val="1"/>
    <w:qFormat/>
    <w:uiPriority w:val="0"/>
    <w:pPr>
      <w:spacing w:line="240" w:lineRule="atLeast"/>
      <w:jc w:val="center"/>
    </w:pPr>
    <w:rPr>
      <w:sz w:val="21"/>
    </w:rPr>
  </w:style>
  <w:style w:type="paragraph" w:customStyle="1" w:styleId="221">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2">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3">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4">
    <w:name w:val="首行缩进 1"/>
    <w:basedOn w:val="1"/>
    <w:qFormat/>
    <w:uiPriority w:val="0"/>
    <w:pPr>
      <w:spacing w:after="120" w:afterLines="0" w:afterAutospacing="0" w:line="360" w:lineRule="auto"/>
      <w:ind w:firstLine="200" w:firstLineChars="200"/>
    </w:pPr>
    <w:rPr>
      <w:sz w:val="24"/>
    </w:rPr>
  </w:style>
  <w:style w:type="paragraph" w:customStyle="1" w:styleId="225">
    <w:name w:val=" Char"/>
    <w:basedOn w:val="1"/>
    <w:qFormat/>
    <w:uiPriority w:val="0"/>
    <w:pPr>
      <w:spacing w:line="240" w:lineRule="atLeast"/>
      <w:ind w:left="420" w:firstLine="420"/>
    </w:pPr>
    <w:rPr>
      <w:kern w:val="0"/>
      <w:sz w:val="21"/>
    </w:rPr>
  </w:style>
  <w:style w:type="paragraph" w:customStyle="1" w:styleId="226">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7">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8">
    <w:name w:val="样式1xz"/>
    <w:basedOn w:val="1"/>
    <w:qFormat/>
    <w:uiPriority w:val="0"/>
    <w:pPr>
      <w:tabs>
        <w:tab w:val="left" w:pos="1050"/>
        <w:tab w:val="right" w:leader="dot" w:pos="8296"/>
      </w:tabs>
    </w:pPr>
    <w:rPr>
      <w:caps/>
      <w:spacing w:val="20"/>
      <w:sz w:val="24"/>
    </w:rPr>
  </w:style>
  <w:style w:type="paragraph" w:customStyle="1" w:styleId="229">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0">
    <w:name w:val=" Char1"/>
    <w:basedOn w:val="1"/>
    <w:qFormat/>
    <w:uiPriority w:val="0"/>
    <w:rPr>
      <w:sz w:val="21"/>
    </w:rPr>
  </w:style>
  <w:style w:type="paragraph" w:customStyle="1" w:styleId="231">
    <w:name w:val="Note"/>
    <w:basedOn w:val="1"/>
    <w:qFormat/>
    <w:uiPriority w:val="0"/>
    <w:pPr>
      <w:pBdr>
        <w:top w:val="single" w:color="auto" w:sz="12" w:space="3"/>
        <w:bottom w:val="single" w:color="auto" w:sz="12" w:space="3"/>
      </w:pBdr>
      <w:spacing w:line="360" w:lineRule="auto"/>
    </w:pPr>
    <w:rPr>
      <w:sz w:val="24"/>
    </w:rPr>
  </w:style>
  <w:style w:type="paragraph" w:customStyle="1" w:styleId="232">
    <w:name w:val=" Char Char Char Char Char Char Char Char Char Char Char Char Char Char Char Char"/>
    <w:basedOn w:val="1"/>
    <w:qFormat/>
    <w:uiPriority w:val="0"/>
    <w:pPr>
      <w:tabs>
        <w:tab w:val="left" w:pos="360"/>
      </w:tabs>
    </w:pPr>
    <w:rPr>
      <w:sz w:val="24"/>
    </w:rPr>
  </w:style>
  <w:style w:type="paragraph" w:customStyle="1" w:styleId="233">
    <w:name w:val="样式 宋体 五号 行距: 单倍行距"/>
    <w:basedOn w:val="1"/>
    <w:qFormat/>
    <w:uiPriority w:val="0"/>
    <w:pPr>
      <w:adjustRightInd w:val="0"/>
      <w:jc w:val="left"/>
    </w:pPr>
    <w:rPr>
      <w:rFonts w:ascii="宋体" w:hAnsi="宋体"/>
      <w:kern w:val="0"/>
      <w:sz w:val="21"/>
    </w:rPr>
  </w:style>
  <w:style w:type="paragraph" w:customStyle="1" w:styleId="234">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5">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6">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7">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8">
    <w:name w:val="标题 2 字符"/>
    <w:qFormat/>
    <w:uiPriority w:val="0"/>
    <w:rPr>
      <w:rFonts w:ascii="Arial" w:hAnsi="Arial" w:eastAsia="黑体"/>
      <w:b/>
      <w:kern w:val="2"/>
      <w:sz w:val="32"/>
    </w:rPr>
  </w:style>
  <w:style w:type="character" w:customStyle="1" w:styleId="239">
    <w:name w:val="正文文本缩进 2 字符"/>
    <w:qFormat/>
    <w:uiPriority w:val="0"/>
    <w:rPr>
      <w:kern w:val="2"/>
      <w:sz w:val="28"/>
    </w:rPr>
  </w:style>
  <w:style w:type="character" w:customStyle="1" w:styleId="240">
    <w:name w:val="纯文本 字符"/>
    <w:basedOn w:val="59"/>
    <w:link w:val="30"/>
    <w:qFormat/>
    <w:uiPriority w:val="0"/>
    <w:rPr>
      <w:rFonts w:hint="eastAsia" w:ascii="宋体" w:hAnsi="Courier New" w:eastAsia="宋体" w:cs="宋体"/>
      <w:kern w:val="2"/>
      <w:sz w:val="21"/>
    </w:rPr>
  </w:style>
  <w:style w:type="paragraph" w:styleId="241">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242">
    <w:name w:val="方案正文"/>
    <w:basedOn w:val="1"/>
    <w:qFormat/>
    <w:uiPriority w:val="0"/>
    <w:pPr>
      <w:spacing w:before="120" w:line="360" w:lineRule="auto"/>
      <w:ind w:firstLine="425" w:firstLineChars="177"/>
    </w:pPr>
    <w:rPr>
      <w:rFonts w:ascii="华文细黑" w:hAnsi="华文细黑" w:eastAsia="华文细黑" w:cstheme="minorBidi"/>
      <w:kern w:val="0"/>
      <w:sz w:val="24"/>
    </w:rPr>
  </w:style>
  <w:style w:type="paragraph" w:styleId="243">
    <w:name w:val="No Spacing"/>
    <w:qFormat/>
    <w:uiPriority w:val="1"/>
    <w:pPr>
      <w:widowControl w:val="0"/>
      <w:jc w:val="both"/>
    </w:pPr>
    <w:rPr>
      <w:rFonts w:ascii="Times New Roman" w:hAnsi="Times New Roman" w:eastAsia="宋体" w:cs="Times New Roman"/>
      <w:kern w:val="2"/>
      <w:sz w:val="28"/>
      <w:lang w:val="en-US" w:eastAsia="zh-CN" w:bidi="ar-SA"/>
    </w:rPr>
  </w:style>
  <w:style w:type="paragraph" w:customStyle="1" w:styleId="244">
    <w:name w:val="Table Paragraph"/>
    <w:basedOn w:val="1"/>
    <w:qFormat/>
    <w:uiPriority w:val="1"/>
    <w:pPr>
      <w:autoSpaceDE w:val="0"/>
      <w:autoSpaceDN w:val="0"/>
      <w:spacing w:before="99"/>
      <w:jc w:val="left"/>
    </w:pPr>
    <w:rPr>
      <w:rFonts w:hAnsi="宋体" w:cs="宋体"/>
      <w:sz w:val="22"/>
      <w:szCs w:val="22"/>
      <w:lang w:val="zh-CN" w:bidi="zh-CN"/>
    </w:rPr>
  </w:style>
  <w:style w:type="paragraph" w:customStyle="1" w:styleId="245">
    <w:name w:val="p0"/>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0</TotalTime>
  <ScaleCrop>false</ScaleCrop>
  <LinksUpToDate>false</LinksUpToDate>
  <CharactersWithSpaces>13743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李薛龙</cp:lastModifiedBy>
  <cp:lastPrinted>2015-03-25T02:14:00Z</cp:lastPrinted>
  <dcterms:modified xsi:type="dcterms:W3CDTF">2026-07-27T01:36:30Z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6B5EB5377A2141929531074515C26EFD</vt:lpwstr>
  </property>
</Properties>
</file>