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YHQ260377</w:t>
      </w:r>
    </w:p>
    <w:p>
      <w:pPr>
        <w:spacing w:line="360" w:lineRule="auto"/>
        <w:ind w:left="3592" w:leftChars="640" w:hanging="1800" w:hanging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重庆医科大学附属儿童医院两江院区病人服务中心改造工程</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8</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3"/>
        <w:spacing w:before="200" w:after="200" w:line="240" w:lineRule="auto"/>
        <w:jc w:val="center"/>
        <w:rPr>
          <w:rFonts w:hint="eastAsia" w:ascii="微软雅黑" w:hAnsi="微软雅黑" w:eastAsia="微软雅黑" w:cs="微软雅黑"/>
          <w:sz w:val="44"/>
        </w:rPr>
      </w:pPr>
      <w:bookmarkStart w:id="0" w:name="_Toc27110"/>
      <w:bookmarkStart w:id="1" w:name="_Toc12789052"/>
      <w:bookmarkStart w:id="2" w:name="_Toc106030870"/>
      <w:bookmarkStart w:id="3" w:name="_Toc24037"/>
      <w:bookmarkStart w:id="4" w:name="_Toc76462316"/>
      <w:bookmarkStart w:id="5" w:name="_Toc1164105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重庆医科大学附属儿童医院两江院区病人服务中心改造工程</w:t>
      </w:r>
      <w:r>
        <w:rPr>
          <w:rFonts w:hint="eastAsia" w:ascii="微软雅黑" w:hAnsi="微软雅黑" w:eastAsia="微软雅黑" w:cs="微软雅黑"/>
          <w:sz w:val="24"/>
          <w:szCs w:val="24"/>
        </w:rPr>
        <w:t>项目进行公开比选采购。欢迎有资格的投标人前来参与。</w:t>
      </w:r>
    </w:p>
    <w:p>
      <w:pPr>
        <w:pStyle w:val="3"/>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3856"/>
      <w:bookmarkStart w:id="8" w:name="_Toc76462317"/>
      <w:bookmarkStart w:id="9" w:name="_Toc13094"/>
      <w:bookmarkStart w:id="10" w:name="_Toc106030871"/>
      <w:bookmarkStart w:id="11" w:name="_Toc31389352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5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0"/>
        <w:gridCol w:w="2979"/>
        <w:gridCol w:w="1878"/>
        <w:gridCol w:w="95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3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087"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最高限价（元）</w:t>
            </w:r>
          </w:p>
        </w:tc>
        <w:tc>
          <w:tcPr>
            <w:tcW w:w="5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92"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9"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YHQ260377</w:t>
            </w:r>
          </w:p>
        </w:tc>
        <w:tc>
          <w:tcPr>
            <w:tcW w:w="172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重庆医科大学附属儿童医院两江院区病人服务中心改造工程</w:t>
            </w:r>
          </w:p>
        </w:tc>
        <w:tc>
          <w:tcPr>
            <w:tcW w:w="10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88939</w:t>
            </w:r>
          </w:p>
        </w:tc>
        <w:tc>
          <w:tcPr>
            <w:tcW w:w="5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7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9183"/>
      <w:bookmarkStart w:id="23" w:name="_Toc27954"/>
      <w:bookmarkStart w:id="24" w:name="_Toc106030874"/>
      <w:r>
        <w:rPr>
          <w:rFonts w:hint="eastAsia" w:ascii="微软雅黑" w:hAnsi="微软雅黑" w:eastAsia="微软雅黑" w:cs="微软雅黑"/>
          <w:sz w:val="24"/>
          <w:szCs w:val="24"/>
          <w:lang w:val="en-US" w:eastAsia="zh-CN"/>
        </w:rPr>
        <w:t>投标人具备建筑施工总承包三级或建筑装饰装修资质工程专业承包二级及以上资质。</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12841"/>
      <w:bookmarkStart w:id="27" w:name="_Toc525047161"/>
      <w:bookmarkStart w:id="28" w:name="_Toc6178"/>
      <w:bookmarkStart w:id="29" w:name="_Toc11956"/>
      <w:bookmarkStart w:id="30" w:name="_Toc521053053"/>
      <w:bookmarkStart w:id="31" w:name="_Toc26664"/>
      <w:bookmarkStart w:id="32" w:name="_Toc10603462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106034626"/>
      <w:bookmarkStart w:id="35" w:name="_Toc4355"/>
      <w:bookmarkStart w:id="36" w:name="_Toc2945"/>
      <w:bookmarkStart w:id="37" w:name="_Toc521053054"/>
      <w:bookmarkStart w:id="38" w:name="_Toc525047162"/>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521053055"/>
      <w:bookmarkStart w:id="43" w:name="_Toc16269"/>
      <w:bookmarkStart w:id="44" w:name="_Toc65660336"/>
      <w:bookmarkStart w:id="45" w:name="_Toc6563"/>
      <w:bookmarkStart w:id="46" w:name="_Toc106034627"/>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6034628"/>
      <w:bookmarkStart w:id="48" w:name="_Toc21079"/>
      <w:bookmarkStart w:id="49" w:name="_Toc521053056"/>
      <w:bookmarkStart w:id="50" w:name="_Toc1733"/>
      <w:bookmarkStart w:id="51" w:name="_Toc525047164"/>
      <w:bookmarkStart w:id="52" w:name="_Toc65660337"/>
      <w:bookmarkStart w:id="53" w:name="_Toc24901"/>
      <w:bookmarkStart w:id="54" w:name="_Toc10415"/>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2"/>
        <w:tabs>
          <w:tab w:val="left" w:pos="3360"/>
        </w:tabs>
        <w:spacing w:line="240" w:lineRule="auto"/>
        <w:jc w:val="center"/>
        <w:rPr>
          <w:rFonts w:hint="eastAsia" w:ascii="微软雅黑" w:hAnsi="微软雅黑" w:eastAsia="微软雅黑" w:cs="微软雅黑"/>
          <w:b/>
          <w:sz w:val="44"/>
        </w:rPr>
      </w:pPr>
      <w:bookmarkStart w:id="55" w:name="_Toc19886"/>
      <w:bookmarkStart w:id="56" w:name="_Toc26176"/>
      <w:bookmarkStart w:id="57" w:name="_Toc12959"/>
      <w:bookmarkStart w:id="58" w:name="_Toc8649"/>
      <w:bookmarkStart w:id="59" w:name="_Toc11017"/>
      <w:bookmarkStart w:id="60" w:name="_Toc1625"/>
      <w:bookmarkStart w:id="61" w:name="_Toc32686"/>
      <w:bookmarkStart w:id="62" w:name="_Toc23143"/>
      <w:bookmarkStart w:id="63" w:name="_Toc725"/>
      <w:bookmarkStart w:id="64" w:name="_Toc1492"/>
      <w:bookmarkStart w:id="65" w:name="_Toc2422"/>
      <w:bookmarkStart w:id="66" w:name="_Toc25639"/>
      <w:bookmarkStart w:id="67" w:name="_Toc5461"/>
      <w:bookmarkStart w:id="68" w:name="_Toc2070"/>
      <w:bookmarkStart w:id="69" w:name="_Toc75793504"/>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2910"/>
      <w:bookmarkStart w:id="74" w:name="_Toc20979"/>
      <w:bookmarkStart w:id="75" w:name="_Toc106030381"/>
      <w:bookmarkStart w:id="76" w:name="_Toc4913"/>
      <w:bookmarkStart w:id="77" w:name="_Toc9261"/>
      <w:bookmarkStart w:id="78" w:name="_Toc7027"/>
      <w:bookmarkStart w:id="79" w:name="_Toc29985"/>
      <w:bookmarkStart w:id="80" w:name="_Toc19238"/>
      <w:bookmarkStart w:id="81" w:name="_Toc14433"/>
      <w:bookmarkStart w:id="82" w:name="_Toc4531"/>
      <w:bookmarkStart w:id="83" w:name="_Toc23504"/>
      <w:bookmarkStart w:id="84" w:name="_Toc8370"/>
      <w:bookmarkStart w:id="85" w:name="_Toc4519"/>
      <w:bookmarkStart w:id="86" w:name="_Toc23656"/>
      <w:bookmarkStart w:id="87" w:name="_Toc75793505"/>
      <w:bookmarkStart w:id="88" w:name="_Toc1170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889"/>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889"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施工期限</w:t>
            </w:r>
          </w:p>
        </w:tc>
        <w:tc>
          <w:tcPr>
            <w:tcW w:w="1035"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重庆医科大学附属儿童医院两江院区病人服务中心改造工程</w:t>
            </w:r>
          </w:p>
        </w:tc>
        <w:tc>
          <w:tcPr>
            <w:tcW w:w="1889"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30个日历日</w:t>
            </w:r>
          </w:p>
        </w:tc>
        <w:tc>
          <w:tcPr>
            <w:tcW w:w="1035" w:type="dxa"/>
            <w:vAlign w:val="center"/>
          </w:tcPr>
          <w:p>
            <w:pPr>
              <w:jc w:val="center"/>
              <w:rPr>
                <w:rFonts w:hint="eastAsia" w:ascii="微软雅黑" w:hAnsi="微软雅黑" w:eastAsia="微软雅黑" w:cs="微软雅黑"/>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7791"/>
      <w:bookmarkStart w:id="90" w:name="_Toc106030882"/>
      <w:bookmarkStart w:id="91" w:name="_Toc76462327"/>
      <w:bookmarkStart w:id="92" w:name="_Toc12473"/>
      <w:r>
        <w:rPr>
          <w:rFonts w:hint="eastAsia" w:ascii="微软雅黑" w:hAnsi="微软雅黑" w:eastAsia="微软雅黑" w:cs="微软雅黑"/>
          <w:b/>
          <w:bCs/>
          <w:sz w:val="24"/>
          <w:szCs w:val="24"/>
          <w:lang w:val="en-US" w:eastAsia="zh-CN"/>
        </w:rPr>
        <w:t>二、项目内容与技术要求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1.配合信息中心放网线；</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2.房间内地台拆除，补做地胶；</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3.窗口墙面全部拆除相关水电移位和拆除，大型显示屏拆除，新建墙体轻钢龙骨石膏板墙体，外贴A级防火水泥纤维饰面板，需考虑挂电视加固，做强弱电点位，数量满足现场需求。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4、室内吊顶修补，墙面修补刷漆；</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5、服务区增加15个5孔插座；</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6、电话移机3个，一键报警开关1套移机到接待间</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7.接待间监控移位2个，服务区监控移位2个，拆除监控2个，增加消防烟感1个接入大楼系统；</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8.接待间和工作区之间新增隔墙和新增M0921门，工作区新增M1021门和门禁接入大楼系统；</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9.服务器增加工作台，做法与大厅接待台做法一致，设活动可开柜台，台面需做为高低台面，需满足使用要求。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10.服务区增加设置一键报警一套，接入大楼系统；</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11.服务区增加照明灯具系统，需满足使用要求。</w:t>
      </w:r>
    </w:p>
    <w:p>
      <w:pPr>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（二）技术要求</w:t>
      </w:r>
    </w:p>
    <w:p>
      <w:pPr>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改造方案和工程量见《附件1-改造方案和工程量》，</w:t>
      </w:r>
      <w:r>
        <w:rPr>
          <w:rFonts w:hint="eastAsia" w:ascii="微软雅黑" w:hAnsi="微软雅黑" w:eastAsia="微软雅黑" w:cs="微软雅黑"/>
          <w:sz w:val="24"/>
          <w:szCs w:val="24"/>
          <w:u w:val="single"/>
          <w:lang w:val="en-US" w:eastAsia="zh-CN"/>
        </w:rPr>
        <w:t>方案工程量只做参考，以现场实际为准</w:t>
      </w:r>
      <w:r>
        <w:rPr>
          <w:rFonts w:hint="eastAsia" w:ascii="微软雅黑" w:hAnsi="微软雅黑" w:eastAsia="微软雅黑" w:cs="微软雅黑"/>
          <w:sz w:val="24"/>
          <w:szCs w:val="24"/>
          <w:lang w:val="en-US" w:eastAsia="zh-CN"/>
        </w:rPr>
        <w:t>。另外提供改造区域平面图见附件。部分工作内容需要夜间施工，施工区域需做围挡封闭保证医院正常运行，并满足医院管理制度和院感要求。投标人需在本次改造方案基础上进行深化设计，保证美观、安全、可靠、牢固，并满足使用要求。</w:t>
      </w:r>
    </w:p>
    <w:p>
      <w:pPr>
        <w:ind w:firstLine="480" w:firstLineChars="200"/>
        <w:rPr>
          <w:rFonts w:hint="eastAsia" w:ascii="微软雅黑" w:hAnsi="微软雅黑" w:eastAsia="微软雅黑" w:cs="微软雅黑"/>
          <w:sz w:val="44"/>
        </w:rPr>
      </w:pPr>
      <w:r>
        <w:rPr>
          <w:rFonts w:hint="eastAsia" w:ascii="微软雅黑" w:hAnsi="微软雅黑" w:eastAsia="微软雅黑" w:cs="微软雅黑"/>
          <w:sz w:val="24"/>
          <w:szCs w:val="24"/>
          <w:lang w:val="en-US" w:eastAsia="zh-CN"/>
        </w:rPr>
        <w:t>附件1-改造方案和工程量</w:t>
      </w:r>
    </w:p>
    <w:tbl>
      <w:tblPr>
        <w:tblStyle w:val="58"/>
        <w:tblW w:w="934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6508"/>
        <w:gridCol w:w="1050"/>
        <w:gridCol w:w="1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序号</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项目名称</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数量</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临时硬质围挡</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80</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拆除室内地台、LED门头屏、窗口台面石材、玻璃、门楣等</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拆除灯具、强弱电线路等</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新建轻钢龙骨硅酸钙板隔墙</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42</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A级无机预涂板饰面板粘贴</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lang w:val="en-US" w:eastAsia="zh-CN"/>
              </w:rPr>
            </w:pPr>
            <w:r>
              <w:rPr>
                <w:rFonts w:hint="eastAsia" w:ascii="微软雅黑" w:hAnsi="微软雅黑" w:eastAsia="微软雅黑" w:cs="微软雅黑"/>
                <w:i w:val="0"/>
                <w:iCs w:val="0"/>
                <w:color w:val="000000"/>
                <w:sz w:val="21"/>
                <w:szCs w:val="21"/>
                <w:u w:val="none"/>
                <w:lang w:val="en-US" w:eastAsia="zh-CN"/>
              </w:rPr>
              <w:t>32</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无机涂料墙顶面涂刷</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110</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室内石膏板天棚修复</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不锈钢脚线</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23</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9</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木质套装门</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开敞区定制服务台</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11</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同透地胶修复</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消防新增感烟探测器</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13</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原有监控点位移位</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14</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服务区新增一键报警</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工位新增插座点位</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16</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综合布线</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20</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17</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开敞区照明灯具</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18</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单门门禁</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19</w:t>
            </w:r>
          </w:p>
        </w:tc>
        <w:tc>
          <w:tcPr>
            <w:tcW w:w="6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建渣外运</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项</w:t>
            </w:r>
          </w:p>
        </w:tc>
      </w:tr>
    </w:tbl>
    <w:p>
      <w:pPr>
        <w:ind w:firstLine="480" w:firstLineChars="200"/>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附件2-平面图</w:t>
      </w:r>
    </w:p>
    <w:p>
      <w:pPr>
        <w:ind w:firstLine="480" w:firstLineChars="200"/>
        <w:jc w:val="left"/>
        <w:rPr>
          <w:rFonts w:hint="eastAsia" w:ascii="微软雅黑" w:hAnsi="微软雅黑" w:eastAsia="微软雅黑" w:cs="微软雅黑"/>
          <w:sz w:val="24"/>
          <w:szCs w:val="24"/>
          <w:lang w:val="en-US" w:eastAsia="zh-CN"/>
        </w:rPr>
      </w:pPr>
      <w:r>
        <w:rPr>
          <w:rFonts w:hint="eastAsia" w:ascii="宋体" w:hAnsi="宋体" w:cs="宋体"/>
          <w:b w:val="0"/>
          <w:bCs/>
          <w:color w:val="auto"/>
          <w:sz w:val="24"/>
          <w:szCs w:val="24"/>
          <w:lang w:val="en-US" w:eastAsia="zh-CN"/>
        </w:rPr>
        <w:drawing>
          <wp:anchor distT="0" distB="0" distL="114300" distR="114300" simplePos="0" relativeHeight="251659264" behindDoc="1" locked="0" layoutInCell="1" allowOverlap="1">
            <wp:simplePos x="0" y="0"/>
            <wp:positionH relativeFrom="column">
              <wp:posOffset>1410970</wp:posOffset>
            </wp:positionH>
            <wp:positionV relativeFrom="paragraph">
              <wp:posOffset>-420370</wp:posOffset>
            </wp:positionV>
            <wp:extent cx="2378710" cy="3293110"/>
            <wp:effectExtent l="0" t="0" r="2540" b="2540"/>
            <wp:wrapThrough wrapText="bothSides">
              <wp:wrapPolygon>
                <wp:start x="21600" y="0"/>
                <wp:lineTo x="150" y="0"/>
                <wp:lineTo x="150" y="21492"/>
                <wp:lineTo x="21600" y="21492"/>
                <wp:lineTo x="21600" y="0"/>
              </wp:wrapPolygon>
            </wp:wrapThrough>
            <wp:docPr id="5" name="图片 1" descr="bdf837e3e7cbd9e251240383b0ab3e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bdf837e3e7cbd9e251240383b0ab3e65"/>
                    <pic:cNvPicPr>
                      <a:picLocks noChangeAspect="1"/>
                    </pic:cNvPicPr>
                  </pic:nvPicPr>
                  <pic:blipFill>
                    <a:blip r:embed="rId14"/>
                    <a:stretch>
                      <a:fillRect/>
                    </a:stretch>
                  </pic:blipFill>
                  <pic:spPr>
                    <a:xfrm rot="-5400000">
                      <a:off x="0" y="0"/>
                      <a:ext cx="2378710" cy="3293110"/>
                    </a:xfrm>
                    <a:prstGeom prst="rect">
                      <a:avLst/>
                    </a:prstGeom>
                    <a:noFill/>
                    <a:ln>
                      <a:noFill/>
                    </a:ln>
                  </pic:spPr>
                </pic:pic>
              </a:graphicData>
            </a:graphic>
          </wp:anchor>
        </w:drawing>
      </w:r>
      <w:r>
        <w:rPr>
          <w:rFonts w:hint="eastAsia" w:ascii="微软雅黑" w:hAnsi="微软雅黑" w:eastAsia="微软雅黑" w:cs="微软雅黑"/>
          <w:sz w:val="24"/>
          <w:szCs w:val="24"/>
          <w:lang w:val="en-US" w:eastAsia="zh-CN"/>
        </w:rPr>
        <w:t>改造前：</w:t>
      </w: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p>
    <w:p>
      <w:pPr>
        <w:ind w:firstLine="480" w:firstLineChars="200"/>
        <w:jc w:val="left"/>
        <w:rPr>
          <w:rFonts w:hint="eastAsia" w:ascii="微软雅黑" w:hAnsi="微软雅黑" w:eastAsia="微软雅黑" w:cs="微软雅黑"/>
          <w:sz w:val="24"/>
          <w:szCs w:val="24"/>
          <w:lang w:val="en-US" w:eastAsia="zh-CN"/>
        </w:rPr>
      </w:pPr>
      <w:r>
        <w:rPr>
          <w:rFonts w:hint="eastAsia" w:ascii="宋体" w:hAnsi="宋体" w:cs="宋体"/>
          <w:b w:val="0"/>
          <w:bCs/>
          <w:color w:val="auto"/>
          <w:sz w:val="24"/>
          <w:szCs w:val="24"/>
          <w:lang w:val="en-US" w:eastAsia="zh-CN"/>
        </w:rPr>
        <w:drawing>
          <wp:anchor distT="0" distB="0" distL="114300" distR="114300" simplePos="0" relativeHeight="251660288" behindDoc="0" locked="0" layoutInCell="1" allowOverlap="1">
            <wp:simplePos x="0" y="0"/>
            <wp:positionH relativeFrom="column">
              <wp:posOffset>948055</wp:posOffset>
            </wp:positionH>
            <wp:positionV relativeFrom="paragraph">
              <wp:posOffset>261620</wp:posOffset>
            </wp:positionV>
            <wp:extent cx="3300730" cy="2291080"/>
            <wp:effectExtent l="0" t="0" r="13970" b="13970"/>
            <wp:wrapNone/>
            <wp:docPr id="6" name="图片 2" descr="4c2b7f271694668e61cac577dcef45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c2b7f271694668e61cac577dcef457e"/>
                    <pic:cNvPicPr>
                      <a:picLocks noChangeAspect="1"/>
                    </pic:cNvPicPr>
                  </pic:nvPicPr>
                  <pic:blipFill>
                    <a:blip r:embed="rId15"/>
                    <a:stretch>
                      <a:fillRect/>
                    </a:stretch>
                  </pic:blipFill>
                  <pic:spPr>
                    <a:xfrm>
                      <a:off x="0" y="0"/>
                      <a:ext cx="3300730" cy="2291080"/>
                    </a:xfrm>
                    <a:prstGeom prst="rect">
                      <a:avLst/>
                    </a:prstGeom>
                    <a:noFill/>
                    <a:ln>
                      <a:noFill/>
                    </a:ln>
                  </pic:spPr>
                </pic:pic>
              </a:graphicData>
            </a:graphic>
          </wp:anchor>
        </w:drawing>
      </w:r>
    </w:p>
    <w:p>
      <w:pPr>
        <w:ind w:firstLine="480" w:firstLineChars="200"/>
        <w:jc w:val="left"/>
        <w:rPr>
          <w:rFonts w:hint="eastAsia" w:ascii="微软雅黑" w:hAnsi="微软雅黑" w:eastAsia="微软雅黑" w:cs="微软雅黑"/>
          <w:sz w:val="44"/>
        </w:rPr>
      </w:pPr>
      <w:r>
        <w:rPr>
          <w:rFonts w:hint="eastAsia" w:ascii="微软雅黑" w:hAnsi="微软雅黑" w:eastAsia="微软雅黑" w:cs="微软雅黑"/>
          <w:sz w:val="24"/>
          <w:szCs w:val="24"/>
          <w:lang w:val="en-US" w:eastAsia="zh-CN"/>
        </w:rPr>
        <w:t>改造后：</w:t>
      </w:r>
      <w:r>
        <w:rPr>
          <w:rFonts w:hint="eastAsia" w:ascii="微软雅黑" w:hAnsi="微软雅黑" w:eastAsia="微软雅黑" w:cs="微软雅黑"/>
          <w:sz w:val="44"/>
        </w:rPr>
        <w:br w:type="page"/>
      </w:r>
    </w:p>
    <w:p>
      <w:pPr>
        <w:pStyle w:val="3"/>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93" w:name="_Toc76462332"/>
            <w:bookmarkStart w:id="94" w:name="_Toc6692"/>
            <w:bookmarkStart w:id="95" w:name="_Toc106030887"/>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施工期限、施工地点及验收方式</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施工期限：30个日历日。</w:t>
            </w:r>
          </w:p>
          <w:p>
            <w:pPr>
              <w:pStyle w:val="144"/>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施工地点：重庆医科大学附属儿童医院两江院区。</w:t>
            </w:r>
          </w:p>
          <w:p>
            <w:pPr>
              <w:pStyle w:val="144"/>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验收方式：归口管理部门现场验收。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464" w:type="dxa"/>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8590" w:type="dxa"/>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工程质量等级为合格工程，要求投标人经采购人一次性验收达到合格。投标人未能达到合格质量要求，视为违约，采购人有权要求返工，并追究其中标总价5%的违约责任金。工程</w:t>
            </w:r>
            <w:bookmarkStart w:id="172" w:name="_GoBack"/>
            <w:bookmarkEnd w:id="172"/>
            <w:r>
              <w:rPr>
                <w:rFonts w:hint="eastAsia" w:ascii="微软雅黑" w:hAnsi="微软雅黑" w:eastAsia="微软雅黑" w:cs="微软雅黑"/>
                <w:sz w:val="24"/>
                <w:szCs w:val="24"/>
                <w:lang w:val="en-US" w:eastAsia="zh-CN"/>
              </w:rPr>
              <w:t>质保期大于等于2年。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1.该项目为一次性报价，最终报价以响应文件上的报价为准，现场不再议价。</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2.本工程为交钥匙包干价工程，报价包括但不限于：深化设计、工程材料采购运输安装调试、安全措施、旧设施的拆除、出渣、成品保护、现场围挡文明施工等其他杂项。</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 本项目涉及的施工直接费、间接费、维护保养、税费、利润、管理费、上下车、运输费、出渣外运费、配合费等为完成本项目所产生的全部费用均包含在比选报价范围。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1.工程竣工验收合格后，支付合同金额97%。</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2.工程质保金按合同金额3%留取，质保期2年满后支付。</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3.中标人每次付款前，中标人应提供正规等额发票。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1.投标人应进行踏勘项目现场及周边环境，充分了解项目实施条件，踏勘产生的所有费用由投标单位自行承担，采购人可提供必要的配合。</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2.若中标人超过施工期限，按照200元/天扣罚违约金。</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合同履行期间，中标人若违反国家法律法规、采购人相关管理规定及合同约定，情节轻微的，发生一次扣罚1000元违约金；对采购人造成较大负面影响的，采购人有权单方面终止合同，没收全部履约保证金，由此产生的一切经济损失和法律责任由中标人全部承担，并将中标人纳入后续合作的黑名单。</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合同履行期间，中标人所发生的所有安全问题（如消防、治安、人身及财产安全等）的相应责任由中标人承担，由此造成的一切经济损失和法律责任由中标人承担，采购人有权单方面终止合同，没收全部履约保证金，并将中标人纳入后续合作的黑名单。</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中标人在履行本合同过程中发生侵害采购人或第三人人身及财产的情况，由中标人承担一切经济损失和法律责任，并负责解决。若造成较大影响或给采购人及第三方造成重大经济损失的，采购人有权单方面终止合同，没收全部履约保证金，并将中标人纳入后续合作的黑名单。</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中标人在合同履行期间，若受到相关政府行政主管部门警告、处罚、勒令整改，发生一次扣罚1000元违约金，并按要求进行整改；发生三次及以上的，采购人有权单方面终止合同，没收全部履约保证金，并将中标人纳入后续合作的黑名单。</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中标人未经采购人书面许可，不得在医院内外张贴任何广告或有偿告示。发生一次扣罚1000元违约金，并按要求进行整改；发生三次及以上的，采购人有权单方面终止合同，没收全部履约保证金，并将中标人纳入后续合作的黑名单。</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8.中标人如出现除上述约定的违约行为外的情况，应当立即更正。如在出现上述约定的违约行为三个月内仍未更正的，采购人有权单方面终止合同，没收全部履约保证金，并将中标人纳入后续合作的黑名单。</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1.投标人必须在响应文件中对以上条款和服务承诺明确列出，承诺内容必须达到本篇及协商文件其他条款的要求。</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2.其他未尽事宜由供需双方在采购合同中详细约定。</w:t>
            </w:r>
          </w:p>
        </w:tc>
      </w:tr>
    </w:tbl>
    <w:p>
      <w:pPr>
        <w:rPr>
          <w:rFonts w:hint="eastAsia" w:ascii="微软雅黑" w:hAnsi="微软雅黑" w:eastAsia="微软雅黑" w:cs="微软雅黑"/>
          <w:b/>
          <w:sz w:val="44"/>
        </w:rPr>
      </w:pPr>
      <w:r>
        <w:rPr>
          <w:rFonts w:hint="eastAsia" w:ascii="微软雅黑" w:hAnsi="微软雅黑" w:eastAsia="微软雅黑" w:cs="微软雅黑"/>
          <w:b/>
          <w:sz w:val="44"/>
        </w:rPr>
        <w:br w:type="page"/>
      </w:r>
    </w:p>
    <w:p>
      <w:pPr>
        <w:pStyle w:val="3"/>
        <w:spacing w:before="200" w:after="200" w:line="240" w:lineRule="auto"/>
        <w:jc w:val="center"/>
        <w:rPr>
          <w:rFonts w:hint="eastAsia" w:ascii="微软雅黑" w:hAnsi="微软雅黑" w:eastAsia="微软雅黑" w:cs="微软雅黑"/>
          <w:sz w:val="44"/>
        </w:rPr>
      </w:pPr>
      <w:bookmarkStart w:id="96" w:name="_Toc19431"/>
      <w:r>
        <w:rPr>
          <w:rFonts w:hint="eastAsia" w:ascii="微软雅黑" w:hAnsi="微软雅黑" w:eastAsia="微软雅黑" w:cs="微软雅黑"/>
          <w:sz w:val="44"/>
        </w:rPr>
        <w:t>第四篇  公开比选采购程序及方法、评审标准、无效响应和采购终止</w:t>
      </w:r>
      <w:bookmarkEnd w:id="93"/>
      <w:bookmarkEnd w:id="94"/>
      <w:bookmarkEnd w:id="95"/>
      <w:bookmarkEnd w:id="96"/>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97" w:name="_Toc106030888"/>
      <w:bookmarkStart w:id="98" w:name="_Toc76462333"/>
      <w:bookmarkStart w:id="99" w:name="_Toc14958"/>
      <w:bookmarkStart w:id="100" w:name="_Toc26127"/>
      <w:r>
        <w:rPr>
          <w:rFonts w:hint="eastAsia" w:ascii="微软雅黑" w:hAnsi="微软雅黑" w:eastAsia="微软雅黑" w:cs="微软雅黑"/>
          <w:sz w:val="24"/>
        </w:rPr>
        <w:t>一、公开比选采购程序</w:t>
      </w:r>
      <w:bookmarkEnd w:id="97"/>
      <w:bookmarkEnd w:id="98"/>
      <w:bookmarkEnd w:id="99"/>
      <w:bookmarkEnd w:id="1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01" w:name="_Toc27374"/>
      <w:r>
        <w:rPr>
          <w:rFonts w:hint="eastAsia" w:ascii="微软雅黑" w:hAnsi="微软雅黑" w:eastAsia="微软雅黑" w:cs="微软雅黑"/>
          <w:sz w:val="24"/>
        </w:rPr>
        <w:t>二、评标方法</w:t>
      </w:r>
      <w:bookmarkEnd w:id="101"/>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02" w:name="_Toc76462334"/>
      <w:bookmarkStart w:id="103" w:name="_Toc24315"/>
      <w:bookmarkStart w:id="104" w:name="_Toc30944"/>
      <w:bookmarkStart w:id="105" w:name="_Toc106030889"/>
      <w:bookmarkStart w:id="106" w:name="_Toc102227320"/>
      <w:bookmarkStart w:id="107"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kern w:val="2"/>
          <w:sz w:val="24"/>
          <w:szCs w:val="24"/>
          <w:lang w:val="en-US" w:eastAsia="zh-CN" w:bidi="ar-SA"/>
        </w:rPr>
        <w:t>该项目为一次性报价，最终报价以响应文件上的报价为准，现场不再议价。</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rPr>
      </w:pPr>
      <w:bookmarkStart w:id="108" w:name="_Toc76462335"/>
      <w:bookmarkStart w:id="109" w:name="_Toc106030890"/>
      <w:bookmarkStart w:id="110"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11" w:name="_Toc17606"/>
      <w:r>
        <w:rPr>
          <w:rFonts w:hint="eastAsia" w:ascii="微软雅黑" w:hAnsi="微软雅黑" w:eastAsia="微软雅黑" w:cs="微软雅黑"/>
          <w:sz w:val="24"/>
        </w:rPr>
        <w:t>四、无效响应</w:t>
      </w:r>
      <w:bookmarkEnd w:id="108"/>
      <w:bookmarkEnd w:id="109"/>
      <w:bookmarkEnd w:id="110"/>
      <w:bookmarkEnd w:id="11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授权</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06030891"/>
      <w:bookmarkStart w:id="113" w:name="_Toc10687"/>
      <w:bookmarkStart w:id="114" w:name="_Toc76462336"/>
      <w:bookmarkStart w:id="115" w:name="_Toc12222"/>
      <w:r>
        <w:rPr>
          <w:rFonts w:hint="eastAsia" w:ascii="微软雅黑" w:hAnsi="微软雅黑" w:eastAsia="微软雅黑" w:cs="微软雅黑"/>
          <w:sz w:val="24"/>
        </w:rPr>
        <w:t>五、</w:t>
      </w:r>
      <w:bookmarkEnd w:id="106"/>
      <w:bookmarkEnd w:id="107"/>
      <w:bookmarkEnd w:id="112"/>
      <w:bookmarkEnd w:id="113"/>
      <w:bookmarkEnd w:id="114"/>
      <w:bookmarkEnd w:id="115"/>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3"/>
        <w:spacing w:before="200" w:after="200" w:line="240" w:lineRule="auto"/>
        <w:jc w:val="center"/>
        <w:rPr>
          <w:rFonts w:hint="eastAsia" w:ascii="微软雅黑" w:hAnsi="微软雅黑" w:eastAsia="微软雅黑" w:cs="微软雅黑"/>
          <w:sz w:val="44"/>
        </w:rPr>
      </w:pPr>
      <w:bookmarkStart w:id="116" w:name="_Toc76462337"/>
      <w:bookmarkStart w:id="117" w:name="_Toc29948"/>
      <w:bookmarkStart w:id="118" w:name="_Toc13119"/>
      <w:bookmarkStart w:id="119" w:name="_Toc106030892"/>
      <w:bookmarkStart w:id="120" w:name="_Toc102227313"/>
      <w:r>
        <w:rPr>
          <w:rFonts w:hint="eastAsia" w:ascii="微软雅黑" w:hAnsi="微软雅黑" w:eastAsia="微软雅黑" w:cs="微软雅黑"/>
          <w:sz w:val="44"/>
        </w:rPr>
        <w:t>第五篇  投标人须知</w:t>
      </w:r>
      <w:bookmarkEnd w:id="116"/>
      <w:bookmarkEnd w:id="117"/>
      <w:bookmarkEnd w:id="118"/>
      <w:bookmarkEnd w:id="119"/>
      <w:bookmarkEnd w:id="120"/>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21" w:name="_Toc106030893"/>
      <w:bookmarkStart w:id="122" w:name="_Toc342913389"/>
      <w:bookmarkStart w:id="123" w:name="_Toc20271"/>
      <w:bookmarkStart w:id="124" w:name="_Toc76462338"/>
      <w:bookmarkStart w:id="125" w:name="_Toc26717"/>
      <w:r>
        <w:rPr>
          <w:rFonts w:hint="eastAsia" w:ascii="微软雅黑" w:hAnsi="微软雅黑" w:eastAsia="微软雅黑" w:cs="微软雅黑"/>
          <w:sz w:val="24"/>
        </w:rPr>
        <w:t>一、公开比选费用</w:t>
      </w:r>
      <w:bookmarkEnd w:id="121"/>
      <w:bookmarkEnd w:id="122"/>
      <w:bookmarkEnd w:id="123"/>
      <w:bookmarkEnd w:id="124"/>
      <w:bookmarkEnd w:id="12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76462339"/>
      <w:bookmarkStart w:id="127" w:name="_Toc342913391"/>
      <w:bookmarkStart w:id="128" w:name="_Toc27891"/>
      <w:bookmarkStart w:id="129" w:name="_Toc15712"/>
      <w:bookmarkStart w:id="130" w:name="_Toc106030894"/>
      <w:r>
        <w:rPr>
          <w:rFonts w:hint="eastAsia" w:ascii="微软雅黑" w:hAnsi="微软雅黑" w:eastAsia="微软雅黑" w:cs="微软雅黑"/>
          <w:sz w:val="24"/>
        </w:rPr>
        <w:t>二、公开比选采购文件</w:t>
      </w:r>
      <w:bookmarkEnd w:id="126"/>
      <w:bookmarkEnd w:id="127"/>
      <w:bookmarkEnd w:id="128"/>
      <w:bookmarkEnd w:id="129"/>
      <w:bookmarkEnd w:id="13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1" w:name="_Toc318159160"/>
      <w:bookmarkStart w:id="132" w:name="_Toc318159349"/>
      <w:bookmarkStart w:id="133" w:name="_Toc318166429"/>
      <w:bookmarkStart w:id="134" w:name="_Toc318159780"/>
    </w:p>
    <w:bookmarkEnd w:id="131"/>
    <w:bookmarkEnd w:id="132"/>
    <w:bookmarkEnd w:id="133"/>
    <w:bookmarkEnd w:id="134"/>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35" w:name="_Toc106030895"/>
      <w:bookmarkStart w:id="136" w:name="_Toc76462340"/>
      <w:bookmarkStart w:id="137" w:name="_Toc342913392"/>
      <w:bookmarkStart w:id="138" w:name="_Toc179714297"/>
      <w:bookmarkStart w:id="139" w:name="_Toc20510"/>
      <w:bookmarkStart w:id="140" w:name="_Toc102227318"/>
      <w:bookmarkStart w:id="141" w:name="_Toc26007"/>
      <w:r>
        <w:rPr>
          <w:rFonts w:hint="eastAsia" w:ascii="微软雅黑" w:hAnsi="微软雅黑" w:eastAsia="微软雅黑" w:cs="微软雅黑"/>
          <w:sz w:val="24"/>
        </w:rPr>
        <w:t>三、比选要求</w:t>
      </w:r>
      <w:bookmarkEnd w:id="135"/>
      <w:bookmarkEnd w:id="136"/>
      <w:bookmarkEnd w:id="137"/>
      <w:bookmarkEnd w:id="138"/>
      <w:bookmarkEnd w:id="139"/>
      <w:bookmarkEnd w:id="140"/>
      <w:bookmarkEnd w:id="14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6435"/>
      <w:bookmarkStart w:id="143" w:name="_Toc106030896"/>
      <w:bookmarkStart w:id="144" w:name="_Toc76462341"/>
      <w:bookmarkStart w:id="145" w:name="_Toc3216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2"/>
      <w:bookmarkEnd w:id="143"/>
      <w:bookmarkEnd w:id="144"/>
      <w:bookmarkEnd w:id="14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102227321"/>
      <w:bookmarkStart w:id="147" w:name="_Toc106030897"/>
      <w:bookmarkStart w:id="148" w:name="_Toc21532"/>
      <w:bookmarkStart w:id="149" w:name="_Toc342913395"/>
      <w:bookmarkStart w:id="150" w:name="_Toc2729"/>
      <w:bookmarkStart w:id="151" w:name="_Toc76462342"/>
      <w:r>
        <w:rPr>
          <w:rFonts w:hint="eastAsia" w:ascii="微软雅黑" w:hAnsi="微软雅黑" w:eastAsia="微软雅黑" w:cs="微软雅黑"/>
          <w:sz w:val="24"/>
        </w:rPr>
        <w:t>五、成交通知</w:t>
      </w:r>
      <w:bookmarkEnd w:id="146"/>
      <w:bookmarkEnd w:id="147"/>
      <w:bookmarkEnd w:id="148"/>
      <w:bookmarkEnd w:id="149"/>
      <w:bookmarkEnd w:id="150"/>
      <w:bookmarkEnd w:id="15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76462343"/>
      <w:bookmarkStart w:id="153" w:name="_Toc4796"/>
      <w:bookmarkStart w:id="154" w:name="_Toc21448"/>
      <w:bookmarkStart w:id="155" w:name="_Toc106030898"/>
      <w:r>
        <w:rPr>
          <w:rFonts w:hint="eastAsia" w:ascii="微软雅黑" w:hAnsi="微软雅黑" w:eastAsia="微软雅黑" w:cs="微软雅黑"/>
          <w:sz w:val="24"/>
        </w:rPr>
        <w:t>六、质疑处理</w:t>
      </w:r>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56" w:name="_Toc76462344"/>
      <w:bookmarkStart w:id="157" w:name="_Toc106030899"/>
      <w:bookmarkStart w:id="158" w:name="_Toc28334"/>
    </w:p>
    <w:p>
      <w:pPr>
        <w:pStyle w:val="3"/>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23896"/>
      <w:r>
        <w:rPr>
          <w:rFonts w:hint="eastAsia" w:ascii="微软雅黑" w:hAnsi="微软雅黑" w:eastAsia="微软雅黑" w:cs="微软雅黑"/>
          <w:sz w:val="24"/>
        </w:rPr>
        <w:t>七、</w:t>
      </w:r>
      <w:bookmarkEnd w:id="156"/>
      <w:bookmarkEnd w:id="157"/>
      <w:bookmarkEnd w:id="158"/>
      <w:bookmarkStart w:id="160" w:name="_Toc102227322"/>
      <w:bookmarkStart w:id="161" w:name="_Toc76462346"/>
      <w:bookmarkStart w:id="162" w:name="_Toc106030901"/>
      <w:bookmarkStart w:id="163" w:name="_Toc3372"/>
      <w:bookmarkStart w:id="164" w:name="_Toc342913396"/>
      <w:bookmarkStart w:id="165" w:name="_Toc11641055"/>
      <w:bookmarkStart w:id="166" w:name="_Toc12789059"/>
      <w:r>
        <w:rPr>
          <w:rFonts w:hint="eastAsia" w:ascii="微软雅黑" w:hAnsi="微软雅黑" w:eastAsia="微软雅黑" w:cs="微软雅黑"/>
          <w:sz w:val="24"/>
        </w:rPr>
        <w:t>签订</w:t>
      </w:r>
      <w:bookmarkEnd w:id="160"/>
      <w:r>
        <w:rPr>
          <w:rFonts w:hint="eastAsia" w:ascii="微软雅黑" w:hAnsi="微软雅黑" w:eastAsia="微软雅黑" w:cs="微软雅黑"/>
          <w:sz w:val="24"/>
        </w:rPr>
        <w:t>合同</w:t>
      </w:r>
      <w:bookmarkEnd w:id="159"/>
      <w:bookmarkEnd w:id="161"/>
      <w:bookmarkEnd w:id="162"/>
      <w:bookmarkEnd w:id="163"/>
      <w:bookmarkEnd w:id="16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65"/>
      <w:bookmarkEnd w:id="166"/>
    </w:p>
    <w:p>
      <w:pPr>
        <w:pStyle w:val="3"/>
        <w:spacing w:before="200" w:after="200" w:line="240" w:lineRule="auto"/>
        <w:jc w:val="center"/>
        <w:rPr>
          <w:rFonts w:hint="eastAsia" w:ascii="微软雅黑" w:hAnsi="微软雅黑" w:eastAsia="微软雅黑" w:cs="微软雅黑"/>
          <w:b/>
          <w:sz w:val="44"/>
          <w:szCs w:val="20"/>
        </w:rPr>
      </w:pPr>
      <w:bookmarkStart w:id="167" w:name="_Hlt41879464"/>
      <w:bookmarkEnd w:id="167"/>
      <w:bookmarkStart w:id="168" w:name="_Toc106030905"/>
      <w:bookmarkStart w:id="169" w:name="_Toc76462349"/>
      <w:bookmarkStart w:id="170" w:name="_Toc27984"/>
      <w:bookmarkStart w:id="171" w:name="_Toc21717"/>
      <w:r>
        <w:rPr>
          <w:rFonts w:hint="eastAsia" w:ascii="微软雅黑" w:hAnsi="微软雅黑" w:eastAsia="微软雅黑" w:cs="微软雅黑"/>
          <w:b/>
          <w:sz w:val="44"/>
          <w:szCs w:val="20"/>
        </w:rPr>
        <w:t>第六篇  响应文件编制要求</w:t>
      </w:r>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285137E"/>
    <w:rsid w:val="030620E3"/>
    <w:rsid w:val="03283A50"/>
    <w:rsid w:val="041E1336"/>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3C7366D"/>
    <w:rsid w:val="143E2110"/>
    <w:rsid w:val="147A5E14"/>
    <w:rsid w:val="14D11CFB"/>
    <w:rsid w:val="15935DB5"/>
    <w:rsid w:val="15BB3449"/>
    <w:rsid w:val="16404E7B"/>
    <w:rsid w:val="167215B9"/>
    <w:rsid w:val="17324323"/>
    <w:rsid w:val="17A1211B"/>
    <w:rsid w:val="18ED7A84"/>
    <w:rsid w:val="19255AF5"/>
    <w:rsid w:val="1A7E6296"/>
    <w:rsid w:val="1F0D01CA"/>
    <w:rsid w:val="1FB21338"/>
    <w:rsid w:val="20CA13E8"/>
    <w:rsid w:val="21226BB2"/>
    <w:rsid w:val="21864056"/>
    <w:rsid w:val="222348FC"/>
    <w:rsid w:val="22DD17AD"/>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2F1B1412"/>
    <w:rsid w:val="300C58E0"/>
    <w:rsid w:val="30607DAE"/>
    <w:rsid w:val="31093DAE"/>
    <w:rsid w:val="31DA5A58"/>
    <w:rsid w:val="32EF600F"/>
    <w:rsid w:val="32FD7152"/>
    <w:rsid w:val="332D1E43"/>
    <w:rsid w:val="33673EF7"/>
    <w:rsid w:val="343F0159"/>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348798E"/>
    <w:rsid w:val="440F6794"/>
    <w:rsid w:val="446528DF"/>
    <w:rsid w:val="44890FF5"/>
    <w:rsid w:val="44F64ED7"/>
    <w:rsid w:val="452C7897"/>
    <w:rsid w:val="46151D23"/>
    <w:rsid w:val="46BB1B1D"/>
    <w:rsid w:val="46D026EE"/>
    <w:rsid w:val="475E104C"/>
    <w:rsid w:val="47AA1B14"/>
    <w:rsid w:val="47DF47C8"/>
    <w:rsid w:val="47E44DA2"/>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242DA9"/>
    <w:rsid w:val="58340567"/>
    <w:rsid w:val="58EA1C45"/>
    <w:rsid w:val="59A45271"/>
    <w:rsid w:val="59D52FEA"/>
    <w:rsid w:val="5CA67F0E"/>
    <w:rsid w:val="5DAD4E7C"/>
    <w:rsid w:val="5E16050E"/>
    <w:rsid w:val="5E3D2C1E"/>
    <w:rsid w:val="5EE04623"/>
    <w:rsid w:val="5F7C4D42"/>
    <w:rsid w:val="60CB5C8F"/>
    <w:rsid w:val="61743609"/>
    <w:rsid w:val="61DB1F11"/>
    <w:rsid w:val="62772D29"/>
    <w:rsid w:val="6379050D"/>
    <w:rsid w:val="63FF2F06"/>
    <w:rsid w:val="648E3C9A"/>
    <w:rsid w:val="64DA4767"/>
    <w:rsid w:val="65170F5B"/>
    <w:rsid w:val="65215328"/>
    <w:rsid w:val="66C50E9A"/>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snapToGrid w:val="0"/>
      <w:spacing w:line="360" w:lineRule="atLeast"/>
      <w:outlineLvl w:val="0"/>
    </w:pPr>
    <w:rPr>
      <w:rFonts w:ascii="宋体"/>
    </w:rPr>
  </w:style>
  <w:style w:type="paragraph" w:styleId="3">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2"/>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3"/>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1"/>
    <w:qFormat/>
    <w:uiPriority w:val="0"/>
    <w:rPr>
      <w:rFonts w:ascii="仿宋_GB2312" w:eastAsia="仿宋_GB2312"/>
      <w:sz w:val="32"/>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6"/>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19"/>
    <w:next w:val="19"/>
    <w:link w:val="78"/>
    <w:qFormat/>
    <w:uiPriority w:val="0"/>
    <w:pPr>
      <w:adjustRightInd/>
      <w:spacing w:line="240" w:lineRule="auto"/>
      <w:textAlignment w:val="auto"/>
    </w:pPr>
  </w:style>
  <w:style w:type="paragraph" w:styleId="56">
    <w:name w:val="Body Text First Indent"/>
    <w:basedOn w:val="2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3"/>
    <w:qFormat/>
    <w:uiPriority w:val="0"/>
    <w:rPr>
      <w:rFonts w:ascii="Arial" w:hAnsi="Arial" w:eastAsia="黑体"/>
      <w:b/>
      <w:kern w:val="2"/>
      <w:sz w:val="32"/>
    </w:rPr>
  </w:style>
  <w:style w:type="character" w:customStyle="1" w:styleId="72">
    <w:name w:val="标题 3 字符"/>
    <w:link w:val="4"/>
    <w:qFormat/>
    <w:uiPriority w:val="0"/>
    <w:rPr>
      <w:rFonts w:eastAsia="宋体"/>
      <w:b/>
      <w:kern w:val="2"/>
      <w:sz w:val="32"/>
      <w:lang w:val="en-US" w:eastAsia="zh-CN"/>
    </w:rPr>
  </w:style>
  <w:style w:type="character" w:customStyle="1" w:styleId="73">
    <w:name w:val="批注文字 字符"/>
    <w:link w:val="19"/>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4"/>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2"/>
    <w:next w:val="2"/>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3"/>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5"/>
    <w:qFormat/>
    <w:uiPriority w:val="0"/>
    <w:pPr>
      <w:numPr>
        <w:ilvl w:val="0"/>
        <w:numId w:val="8"/>
      </w:numPr>
      <w:spacing w:before="560" w:line="400" w:lineRule="exact"/>
      <w:jc w:val="center"/>
      <w:outlineLvl w:val="0"/>
    </w:pPr>
    <w:rPr>
      <w:b w:val="0"/>
      <w:sz w:val="44"/>
    </w:rPr>
  </w:style>
  <w:style w:type="paragraph" w:customStyle="1" w:styleId="142">
    <w:name w:val="内容标题"/>
    <w:basedOn w:val="17"/>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7"/>
    <w:qFormat/>
    <w:uiPriority w:val="0"/>
    <w:rPr>
      <w:rFonts w:ascii="宋体" w:hAnsi="Tahoma"/>
    </w:rPr>
  </w:style>
  <w:style w:type="paragraph" w:customStyle="1" w:styleId="14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5"/>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4"/>
    <w:qFormat/>
    <w:uiPriority w:val="0"/>
    <w:pPr>
      <w:numPr>
        <w:ilvl w:val="2"/>
        <w:numId w:val="2"/>
      </w:numPr>
      <w:tabs>
        <w:tab w:val="left" w:pos="709"/>
        <w:tab w:val="left" w:pos="1620"/>
      </w:tabs>
    </w:pPr>
  </w:style>
  <w:style w:type="paragraph" w:customStyle="1" w:styleId="176">
    <w:name w:val="样式4"/>
    <w:basedOn w:val="5"/>
    <w:qFormat/>
    <w:uiPriority w:val="0"/>
    <w:pPr>
      <w:adjustRightInd w:val="0"/>
      <w:snapToGrid w:val="0"/>
    </w:pPr>
  </w:style>
  <w:style w:type="paragraph" w:customStyle="1" w:styleId="177">
    <w:name w:val="摘要"/>
    <w:basedOn w:val="1"/>
    <w:next w:val="3"/>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5"/>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2"/>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2"/>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 w:type="character" w:customStyle="1" w:styleId="246">
    <w:name w:val="font41"/>
    <w:basedOn w:val="60"/>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13</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2026-07-30T03:52:51Z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B306DAB865D444B4B97BFD738E88BB4D</vt:lpwstr>
  </property>
</Properties>
</file>