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rPr>
      </w:pPr>
    </w:p>
    <w:p>
      <w:pPr>
        <w:spacing w:line="1600" w:lineRule="exact"/>
        <w:jc w:val="center"/>
        <w:outlineLvl w:val="0"/>
        <w:rPr>
          <w:rFonts w:hint="eastAsia" w:ascii="方正黑体_GBK" w:eastAsia="方正黑体_GBK"/>
          <w:sz w:val="100"/>
        </w:rPr>
      </w:pP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rPr>
        <w:t>竞争性磋商</w:t>
      </w: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rPr>
        <w:t>文件</w:t>
      </w:r>
    </w:p>
    <w:p>
      <w:pPr>
        <w:spacing w:line="700" w:lineRule="exact"/>
        <w:jc w:val="center"/>
        <w:rPr>
          <w:rFonts w:hint="eastAsia" w:ascii="黑体" w:eastAsia="黑体"/>
          <w:sz w:val="32"/>
        </w:rPr>
      </w:pPr>
    </w:p>
    <w:p>
      <w:pPr>
        <w:pStyle w:val="67"/>
        <w:rPr>
          <w:rFonts w:hint="eastAsia"/>
        </w:rPr>
      </w:pPr>
    </w:p>
    <w:p>
      <w:pPr>
        <w:pStyle w:val="68"/>
        <w:rPr>
          <w:rFonts w:hint="eastAsia" w:ascii="黑体" w:eastAsia="黑体"/>
          <w:sz w:val="32"/>
        </w:rPr>
      </w:pPr>
    </w:p>
    <w:p>
      <w:pPr>
        <w:pStyle w:val="68"/>
        <w:rPr>
          <w:rFonts w:hint="eastAsia" w:ascii="黑体" w:eastAsia="黑体"/>
          <w:sz w:val="32"/>
        </w:rPr>
      </w:pPr>
    </w:p>
    <w:p>
      <w:pPr>
        <w:spacing w:line="360" w:lineRule="auto"/>
        <w:ind w:firstLine="1080" w:firstLineChars="3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YSB230037</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石蜡切片机及配套设备</w:t>
      </w:r>
    </w:p>
    <w:p>
      <w:pPr>
        <w:spacing w:line="700" w:lineRule="exact"/>
        <w:ind w:firstLine="1749" w:firstLineChars="486"/>
        <w:rPr>
          <w:rFonts w:hint="eastAsia" w:ascii="方正小标宋_GBK" w:hAnsi="宋体" w:eastAsia="方正小标宋_GBK"/>
          <w:sz w:val="36"/>
          <w:szCs w:val="36"/>
        </w:rPr>
      </w:pPr>
    </w:p>
    <w:p>
      <w:pPr>
        <w:pStyle w:val="67"/>
        <w:rPr>
          <w:rFonts w:hint="eastAsia"/>
        </w:rPr>
      </w:pPr>
    </w:p>
    <w:p>
      <w:pPr>
        <w:spacing w:line="500" w:lineRule="exact"/>
        <w:jc w:val="both"/>
        <w:outlineLvl w:val="0"/>
        <w:rPr>
          <w:rFonts w:ascii="方正小标宋_GBK" w:eastAsia="方正小标宋_GBK"/>
          <w:sz w:val="36"/>
          <w:szCs w:val="36"/>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4</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6" w:type="first"/>
          <w:headerReference r:id="rId3" w:type="default"/>
          <w:footerReference r:id="rId5"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_Toc31139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lang w:val="en-US" w:eastAsia="zh-CN"/>
        </w:rPr>
        <w:t>第一</w:t>
      </w:r>
      <w:r>
        <w:rPr>
          <w:rFonts w:hint="eastAsia" w:ascii="方正仿宋_GBK" w:hAnsi="Times New Roman" w:eastAsia="方正仿宋_GBK" w:cs="Times New Roman"/>
          <w:kern w:val="2"/>
          <w:sz w:val="24"/>
          <w:szCs w:val="24"/>
          <w:lang w:val="en-US" w:eastAsia="zh-CN" w:bidi="ar-SA"/>
        </w:rPr>
        <w:t>篇  采购邀请书</w:t>
      </w:r>
      <w:r>
        <w:rPr>
          <w:sz w:val="24"/>
          <w:szCs w:val="24"/>
        </w:rPr>
        <w:tab/>
      </w:r>
      <w:r>
        <w:rPr>
          <w:sz w:val="24"/>
          <w:szCs w:val="24"/>
        </w:rPr>
        <w:fldChar w:fldCharType="begin"/>
      </w:r>
      <w:r>
        <w:rPr>
          <w:sz w:val="24"/>
          <w:szCs w:val="24"/>
        </w:rPr>
        <w:instrText xml:space="preserve"> PAGEREF _Toc31139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_Toc21892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一、竞争性磋商内容</w:t>
      </w:r>
      <w:r>
        <w:rPr>
          <w:sz w:val="24"/>
          <w:szCs w:val="24"/>
        </w:rPr>
        <w:tab/>
      </w:r>
      <w:r>
        <w:rPr>
          <w:sz w:val="24"/>
          <w:szCs w:val="24"/>
        </w:rPr>
        <w:fldChar w:fldCharType="begin"/>
      </w:r>
      <w:r>
        <w:rPr>
          <w:sz w:val="24"/>
          <w:szCs w:val="24"/>
        </w:rPr>
        <w:instrText xml:space="preserve"> PAGEREF _Toc21892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_Toc17154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_Toc17154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_Toc29204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三、磋商有关说明</w:t>
      </w:r>
      <w:r>
        <w:rPr>
          <w:sz w:val="24"/>
          <w:szCs w:val="24"/>
        </w:rPr>
        <w:tab/>
      </w:r>
      <w:r>
        <w:rPr>
          <w:sz w:val="24"/>
          <w:szCs w:val="24"/>
        </w:rPr>
        <w:fldChar w:fldCharType="begin"/>
      </w:r>
      <w:r>
        <w:rPr>
          <w:sz w:val="24"/>
          <w:szCs w:val="24"/>
        </w:rPr>
        <w:instrText xml:space="preserve"> PAGEREF _Toc29204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_Toc19824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_Toc19824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_Toc21526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_Toc21526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_Toc16037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_Toc16037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_Toc26981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lang w:val="en-US" w:eastAsia="zh-CN"/>
        </w:rPr>
        <w:t>第二篇  项目技术需求</w:t>
      </w:r>
      <w:r>
        <w:rPr>
          <w:sz w:val="24"/>
          <w:szCs w:val="24"/>
        </w:rPr>
        <w:tab/>
      </w:r>
      <w:r>
        <w:rPr>
          <w:sz w:val="24"/>
          <w:szCs w:val="24"/>
        </w:rPr>
        <w:fldChar w:fldCharType="begin"/>
      </w:r>
      <w:r>
        <w:rPr>
          <w:sz w:val="24"/>
          <w:szCs w:val="24"/>
        </w:rPr>
        <w:instrText xml:space="preserve"> PAGEREF _Toc26981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_Toc14348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一、项目一览表</w:t>
      </w:r>
      <w:r>
        <w:rPr>
          <w:sz w:val="24"/>
          <w:szCs w:val="24"/>
        </w:rPr>
        <w:tab/>
      </w:r>
      <w:r>
        <w:rPr>
          <w:sz w:val="24"/>
          <w:szCs w:val="24"/>
        </w:rPr>
        <w:fldChar w:fldCharType="begin"/>
      </w:r>
      <w:r>
        <w:rPr>
          <w:sz w:val="24"/>
          <w:szCs w:val="24"/>
        </w:rPr>
        <w:instrText xml:space="preserve"> PAGEREF _Toc14348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_Toc29908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二、技术规格及质量要求</w:t>
      </w:r>
      <w:r>
        <w:rPr>
          <w:sz w:val="24"/>
          <w:szCs w:val="24"/>
        </w:rPr>
        <w:tab/>
      </w:r>
      <w:r>
        <w:rPr>
          <w:sz w:val="24"/>
          <w:szCs w:val="24"/>
        </w:rPr>
        <w:fldChar w:fldCharType="begin"/>
      </w:r>
      <w:r>
        <w:rPr>
          <w:sz w:val="24"/>
          <w:szCs w:val="24"/>
        </w:rPr>
        <w:instrText xml:space="preserve"> PAGEREF _Toc29908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_Toc17400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lang w:val="en-US" w:eastAsia="zh-CN"/>
        </w:rPr>
        <w:t>第三篇  项目商务需求</w:t>
      </w:r>
      <w:r>
        <w:rPr>
          <w:sz w:val="24"/>
          <w:szCs w:val="24"/>
        </w:rPr>
        <w:tab/>
      </w:r>
      <w:r>
        <w:rPr>
          <w:sz w:val="24"/>
          <w:szCs w:val="24"/>
        </w:rPr>
        <w:fldChar w:fldCharType="begin"/>
      </w:r>
      <w:r>
        <w:rPr>
          <w:sz w:val="24"/>
          <w:szCs w:val="24"/>
        </w:rPr>
        <w:instrText xml:space="preserve"> PAGEREF _Toc17400 \h </w:instrText>
      </w:r>
      <w:r>
        <w:rPr>
          <w:sz w:val="24"/>
          <w:szCs w:val="24"/>
        </w:rPr>
        <w:fldChar w:fldCharType="separate"/>
      </w:r>
      <w:r>
        <w:rPr>
          <w:sz w:val="24"/>
          <w:szCs w:val="24"/>
        </w:rPr>
        <w:t>- 6 -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_Toc1801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lang w:val="en-US" w:eastAsia="zh-CN"/>
        </w:rPr>
        <w:t>第四篇  磋商程序及方法、评审标准、无效响应和采购终止</w:t>
      </w:r>
      <w:r>
        <w:rPr>
          <w:sz w:val="24"/>
          <w:szCs w:val="24"/>
        </w:rPr>
        <w:tab/>
      </w:r>
      <w:r>
        <w:rPr>
          <w:sz w:val="24"/>
          <w:szCs w:val="24"/>
        </w:rPr>
        <w:fldChar w:fldCharType="begin"/>
      </w:r>
      <w:r>
        <w:rPr>
          <w:sz w:val="24"/>
          <w:szCs w:val="24"/>
        </w:rPr>
        <w:instrText xml:space="preserve"> PAGEREF _Toc1801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_Toc10636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一、磋商程序及方法</w:t>
      </w:r>
      <w:r>
        <w:rPr>
          <w:sz w:val="24"/>
          <w:szCs w:val="24"/>
        </w:rPr>
        <w:tab/>
      </w:r>
      <w:r>
        <w:rPr>
          <w:sz w:val="24"/>
          <w:szCs w:val="24"/>
        </w:rPr>
        <w:fldChar w:fldCharType="begin"/>
      </w:r>
      <w:r>
        <w:rPr>
          <w:sz w:val="24"/>
          <w:szCs w:val="24"/>
        </w:rPr>
        <w:instrText xml:space="preserve"> PAGEREF _Toc10636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_Toc18253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二、评审标准</w:t>
      </w:r>
      <w:r>
        <w:rPr>
          <w:sz w:val="24"/>
          <w:szCs w:val="24"/>
        </w:rPr>
        <w:tab/>
      </w:r>
      <w:r>
        <w:rPr>
          <w:sz w:val="24"/>
          <w:szCs w:val="24"/>
        </w:rPr>
        <w:fldChar w:fldCharType="begin"/>
      </w:r>
      <w:r>
        <w:rPr>
          <w:sz w:val="24"/>
          <w:szCs w:val="24"/>
        </w:rPr>
        <w:instrText xml:space="preserve"> PAGEREF _Toc18253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_Toc17629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三、无效响应</w:t>
      </w:r>
      <w:r>
        <w:rPr>
          <w:sz w:val="24"/>
          <w:szCs w:val="24"/>
        </w:rPr>
        <w:tab/>
      </w:r>
      <w:r>
        <w:rPr>
          <w:sz w:val="24"/>
          <w:szCs w:val="24"/>
        </w:rPr>
        <w:fldChar w:fldCharType="begin"/>
      </w:r>
      <w:r>
        <w:rPr>
          <w:sz w:val="24"/>
          <w:szCs w:val="24"/>
        </w:rPr>
        <w:instrText xml:space="preserve"> PAGEREF _Toc17629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_Toc21414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四、采购终止</w:t>
      </w:r>
      <w:r>
        <w:rPr>
          <w:sz w:val="24"/>
          <w:szCs w:val="24"/>
        </w:rPr>
        <w:tab/>
      </w:r>
      <w:r>
        <w:rPr>
          <w:sz w:val="24"/>
          <w:szCs w:val="24"/>
        </w:rPr>
        <w:fldChar w:fldCharType="begin"/>
      </w:r>
      <w:r>
        <w:rPr>
          <w:sz w:val="24"/>
          <w:szCs w:val="24"/>
        </w:rPr>
        <w:instrText xml:space="preserve"> PAGEREF _Toc21414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_Toc11535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lang w:val="en-US" w:eastAsia="zh-CN"/>
        </w:rPr>
        <w:t>第五篇  投标人须知</w:t>
      </w:r>
      <w:r>
        <w:rPr>
          <w:sz w:val="24"/>
          <w:szCs w:val="24"/>
        </w:rPr>
        <w:tab/>
      </w:r>
      <w:r>
        <w:rPr>
          <w:sz w:val="24"/>
          <w:szCs w:val="24"/>
        </w:rPr>
        <w:fldChar w:fldCharType="begin"/>
      </w:r>
      <w:r>
        <w:rPr>
          <w:sz w:val="24"/>
          <w:szCs w:val="24"/>
        </w:rPr>
        <w:instrText xml:space="preserve"> PAGEREF _Toc11535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_Toc31480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一、磋商费用</w:t>
      </w:r>
      <w:r>
        <w:rPr>
          <w:sz w:val="24"/>
          <w:szCs w:val="24"/>
        </w:rPr>
        <w:tab/>
      </w:r>
      <w:r>
        <w:rPr>
          <w:sz w:val="24"/>
          <w:szCs w:val="24"/>
        </w:rPr>
        <w:fldChar w:fldCharType="begin"/>
      </w:r>
      <w:r>
        <w:rPr>
          <w:sz w:val="24"/>
          <w:szCs w:val="24"/>
        </w:rPr>
        <w:instrText xml:space="preserve"> PAGEREF _Toc31480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二、竞争性磋商文件</w:t>
      </w:r>
      <w:r>
        <w:rPr>
          <w:sz w:val="24"/>
          <w:szCs w:val="24"/>
        </w:rPr>
        <w:tab/>
      </w:r>
      <w:r>
        <w:rPr>
          <w:sz w:val="24"/>
          <w:szCs w:val="24"/>
        </w:rPr>
        <w:fldChar w:fldCharType="begin"/>
      </w:r>
      <w:r>
        <w:rPr>
          <w:sz w:val="24"/>
          <w:szCs w:val="24"/>
        </w:rPr>
        <w:instrText xml:space="preserve"> PAGEREF _Toc131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_Toc26883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三、磋商要求</w:t>
      </w:r>
      <w:r>
        <w:rPr>
          <w:sz w:val="24"/>
          <w:szCs w:val="24"/>
        </w:rPr>
        <w:tab/>
      </w:r>
      <w:r>
        <w:rPr>
          <w:sz w:val="24"/>
          <w:szCs w:val="24"/>
        </w:rPr>
        <w:fldChar w:fldCharType="begin"/>
      </w:r>
      <w:r>
        <w:rPr>
          <w:sz w:val="24"/>
          <w:szCs w:val="24"/>
        </w:rPr>
        <w:instrText xml:space="preserve"> PAGEREF _Toc26883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_Toc12110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的确认和变更</w:t>
      </w:r>
      <w:r>
        <w:rPr>
          <w:sz w:val="24"/>
          <w:szCs w:val="24"/>
        </w:rPr>
        <w:tab/>
      </w:r>
      <w:r>
        <w:rPr>
          <w:sz w:val="24"/>
          <w:szCs w:val="24"/>
        </w:rPr>
        <w:fldChar w:fldCharType="begin"/>
      </w:r>
      <w:r>
        <w:rPr>
          <w:sz w:val="24"/>
          <w:szCs w:val="24"/>
        </w:rPr>
        <w:instrText xml:space="preserve"> PAGEREF _Toc12110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_Toc23413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_Toc23413 \h </w:instrText>
      </w:r>
      <w:r>
        <w:rPr>
          <w:sz w:val="24"/>
          <w:szCs w:val="24"/>
        </w:rPr>
        <w:fldChar w:fldCharType="separate"/>
      </w:r>
      <w:r>
        <w:rPr>
          <w:sz w:val="24"/>
          <w:szCs w:val="24"/>
        </w:rPr>
        <w:t>- 14 -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_Toc7828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_Toc7828 \h </w:instrText>
      </w:r>
      <w:r>
        <w:rPr>
          <w:sz w:val="24"/>
          <w:szCs w:val="24"/>
        </w:rPr>
        <w:fldChar w:fldCharType="separate"/>
      </w:r>
      <w:r>
        <w:rPr>
          <w:sz w:val="24"/>
          <w:szCs w:val="24"/>
        </w:rPr>
        <w:t>- 14 -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_Toc28781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_Toc28781 \h </w:instrText>
      </w:r>
      <w:r>
        <w:rPr>
          <w:sz w:val="24"/>
          <w:szCs w:val="24"/>
        </w:rPr>
        <w:fldChar w:fldCharType="separate"/>
      </w:r>
      <w:r>
        <w:rPr>
          <w:sz w:val="24"/>
          <w:szCs w:val="24"/>
        </w:rPr>
        <w:t>- 14 -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_Toc4981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lang w:val="en-US" w:eastAsia="zh-CN"/>
        </w:rPr>
        <w:t>第六篇  响应文件编制要求</w:t>
      </w:r>
      <w:r>
        <w:rPr>
          <w:sz w:val="24"/>
          <w:szCs w:val="24"/>
        </w:rPr>
        <w:tab/>
      </w:r>
      <w:r>
        <w:rPr>
          <w:sz w:val="24"/>
          <w:szCs w:val="24"/>
        </w:rPr>
        <w:fldChar w:fldCharType="begin"/>
      </w:r>
      <w:r>
        <w:rPr>
          <w:sz w:val="24"/>
          <w:szCs w:val="24"/>
        </w:rPr>
        <w:instrText xml:space="preserve"> PAGEREF _Toc4981 \h </w:instrText>
      </w:r>
      <w:r>
        <w:rPr>
          <w:sz w:val="24"/>
          <w:szCs w:val="24"/>
        </w:rPr>
        <w:fldChar w:fldCharType="separate"/>
      </w:r>
      <w:r>
        <w:rPr>
          <w:sz w:val="24"/>
          <w:szCs w:val="24"/>
        </w:rPr>
        <w:t>- 16 -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_Toc25111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_Toc25111 \h </w:instrText>
      </w:r>
      <w:r>
        <w:rPr>
          <w:sz w:val="24"/>
          <w:szCs w:val="24"/>
        </w:rPr>
        <w:fldChar w:fldCharType="separate"/>
      </w:r>
      <w:r>
        <w:rPr>
          <w:sz w:val="24"/>
          <w:szCs w:val="24"/>
        </w:rPr>
        <w:t>- 18 -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_Toc2736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技术</w:t>
      </w:r>
      <w:r>
        <w:rPr>
          <w:rFonts w:hint="eastAsia" w:ascii="方正仿宋_GBK" w:hAnsi="宋体" w:eastAsia="方正仿宋_GBK"/>
          <w:sz w:val="24"/>
          <w:szCs w:val="24"/>
        </w:rPr>
        <w:t>部分</w:t>
      </w:r>
      <w:r>
        <w:rPr>
          <w:sz w:val="24"/>
          <w:szCs w:val="24"/>
        </w:rPr>
        <w:tab/>
      </w:r>
      <w:r>
        <w:rPr>
          <w:sz w:val="24"/>
          <w:szCs w:val="24"/>
        </w:rPr>
        <w:fldChar w:fldCharType="begin"/>
      </w:r>
      <w:r>
        <w:rPr>
          <w:sz w:val="24"/>
          <w:szCs w:val="24"/>
        </w:rPr>
        <w:instrText xml:space="preserve"> PAGEREF _Toc2736 \h </w:instrText>
      </w:r>
      <w:r>
        <w:rPr>
          <w:sz w:val="24"/>
          <w:szCs w:val="24"/>
        </w:rPr>
        <w:fldChar w:fldCharType="separate"/>
      </w:r>
      <w:r>
        <w:rPr>
          <w:sz w:val="24"/>
          <w:szCs w:val="24"/>
        </w:rPr>
        <w:t>- 21 -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_Toc24665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_Toc24665 \h </w:instrText>
      </w:r>
      <w:r>
        <w:rPr>
          <w:sz w:val="24"/>
          <w:szCs w:val="24"/>
        </w:rPr>
        <w:fldChar w:fldCharType="separate"/>
      </w:r>
      <w:r>
        <w:rPr>
          <w:sz w:val="24"/>
          <w:szCs w:val="24"/>
        </w:rPr>
        <w:t>- 23 -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_Toc2610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_Toc2610 \h </w:instrText>
      </w:r>
      <w:r>
        <w:rPr>
          <w:sz w:val="24"/>
          <w:szCs w:val="24"/>
        </w:rPr>
        <w:fldChar w:fldCharType="separate"/>
      </w:r>
      <w:r>
        <w:rPr>
          <w:sz w:val="24"/>
          <w:szCs w:val="24"/>
        </w:rPr>
        <w:t>- 25 -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_Toc160 \h </w:instrText>
      </w:r>
      <w:r>
        <w:rPr>
          <w:sz w:val="24"/>
          <w:szCs w:val="24"/>
        </w:rPr>
        <w:fldChar w:fldCharType="separate"/>
      </w:r>
      <w:r>
        <w:rPr>
          <w:sz w:val="24"/>
          <w:szCs w:val="24"/>
        </w:rPr>
        <w:t>- 31 -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02"/>
        </w:tabs>
        <w:spacing w:line="480" w:lineRule="exact"/>
        <w:ind w:left="560"/>
        <w:jc w:val="center"/>
        <w:rPr>
          <w:rFonts w:ascii="方正仿宋_GBK" w:hAnsi="Calibri" w:eastAsia="方正仿宋_GBK"/>
          <w:sz w:val="24"/>
          <w:szCs w:val="24"/>
        </w:rPr>
        <w:sectPr>
          <w:footerReference r:id="rId7" w:type="default"/>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 w:val="24"/>
          <w:szCs w:val="24"/>
        </w:rPr>
        <w:fldChar w:fldCharType="end"/>
      </w:r>
    </w:p>
    <w:p>
      <w:pPr>
        <w:pStyle w:val="4"/>
        <w:spacing w:before="200" w:after="200" w:line="240" w:lineRule="auto"/>
        <w:jc w:val="center"/>
        <w:rPr>
          <w:rFonts w:hint="eastAsia" w:ascii="方正小标宋_GBK" w:hAnsi="宋体" w:eastAsia="方正小标宋_GBK"/>
          <w:b w:val="0"/>
          <w:szCs w:val="30"/>
        </w:rPr>
      </w:pPr>
      <w:bookmarkStart w:id="0" w:name="_Toc24037"/>
      <w:bookmarkStart w:id="1" w:name="_Toc106030870"/>
      <w:bookmarkStart w:id="2" w:name="_Toc31139"/>
      <w:bookmarkStart w:id="3" w:name="_Toc76462316"/>
      <w:bookmarkStart w:id="4" w:name="_Toc11641050"/>
      <w:bookmarkStart w:id="5" w:name="_Toc12789052"/>
      <w:r>
        <w:rPr>
          <w:rFonts w:hint="eastAsia" w:ascii="方正仿宋_GBK" w:hAnsi="Times New Roman" w:eastAsia="方正仿宋_GBK" w:cs="Times New Roman"/>
          <w:b/>
          <w:sz w:val="44"/>
          <w:szCs w:val="20"/>
          <w:lang w:val="en-US" w:eastAsia="zh-CN"/>
        </w:rPr>
        <w:t>第一</w:t>
      </w:r>
      <w:r>
        <w:rPr>
          <w:rFonts w:hint="eastAsia" w:ascii="方正仿宋_GBK" w:hAnsi="Times New Roman" w:eastAsia="方正仿宋_GBK" w:cs="Times New Roman"/>
          <w:b/>
          <w:kern w:val="2"/>
          <w:sz w:val="44"/>
          <w:lang w:val="en-US" w:eastAsia="zh-CN" w:bidi="ar-SA"/>
        </w:rPr>
        <w:t>篇  采购邀请书</w:t>
      </w:r>
      <w:bookmarkEnd w:id="0"/>
      <w:bookmarkEnd w:id="1"/>
      <w:bookmarkEnd w:id="2"/>
      <w:bookmarkEnd w:id="3"/>
      <w:bookmarkEnd w:id="4"/>
      <w:bookmarkEnd w:id="5"/>
    </w:p>
    <w:p>
      <w:pPr>
        <w:snapToGrid/>
        <w:spacing w:line="240" w:lineRule="auto"/>
        <w:ind w:firstLine="0" w:firstLineChars="0"/>
        <w:rPr>
          <w:rFonts w:hint="eastAsia" w:ascii="Times New Roman" w:hAnsi="Times New Roman" w:eastAsia="宋体"/>
          <w:sz w:val="28"/>
          <w:szCs w:val="20"/>
        </w:rPr>
      </w:pPr>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重庆医科大学附属儿童医院对</w:t>
      </w:r>
      <w:r>
        <w:rPr>
          <w:rFonts w:hint="eastAsia" w:ascii="方正仿宋_GBK" w:hAnsi="宋体" w:eastAsia="方正仿宋_GBK"/>
          <w:sz w:val="24"/>
          <w:szCs w:val="24"/>
          <w:lang w:val="en-US" w:eastAsia="zh-CN"/>
        </w:rPr>
        <w:t>石蜡切片机及配套设备</w:t>
      </w:r>
      <w:r>
        <w:rPr>
          <w:rFonts w:hint="eastAsia" w:ascii="方正仿宋_GBK" w:hAnsi="宋体" w:eastAsia="方正仿宋_GBK"/>
          <w:sz w:val="24"/>
          <w:szCs w:val="24"/>
        </w:rPr>
        <w:t>项目进行竞争性</w:t>
      </w:r>
      <w:r>
        <w:rPr>
          <w:rFonts w:hint="eastAsia" w:ascii="方正仿宋_GBK" w:hAnsi="宋体" w:eastAsia="方正仿宋_GBK"/>
          <w:sz w:val="24"/>
          <w:szCs w:val="24"/>
          <w:lang w:val="en-US" w:eastAsia="zh-CN"/>
        </w:rPr>
        <w:t>磋商</w:t>
      </w:r>
      <w:r>
        <w:rPr>
          <w:rFonts w:hint="eastAsia" w:ascii="方正仿宋_GBK" w:hAnsi="宋体" w:eastAsia="方正仿宋_GBK"/>
          <w:sz w:val="24"/>
          <w:szCs w:val="24"/>
        </w:rPr>
        <w:t>采购。欢迎有资格的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前来参加</w:t>
      </w:r>
      <w:r>
        <w:rPr>
          <w:rFonts w:hint="eastAsia" w:ascii="方正仿宋_GBK" w:hAnsi="宋体" w:eastAsia="方正仿宋_GBK"/>
          <w:sz w:val="24"/>
          <w:szCs w:val="24"/>
          <w:lang w:val="en-US" w:eastAsia="zh-CN"/>
        </w:rPr>
        <w:t>磋商</w:t>
      </w:r>
      <w:r>
        <w:rPr>
          <w:rFonts w:hint="eastAsia" w:ascii="方正仿宋_GBK" w:hAnsi="宋体" w:eastAsia="方正仿宋_GBK"/>
          <w:sz w:val="24"/>
          <w:szCs w:val="24"/>
        </w:rPr>
        <w:t>。</w:t>
      </w:r>
    </w:p>
    <w:p>
      <w:pPr>
        <w:pStyle w:val="4"/>
        <w:adjustRightInd w:val="0"/>
        <w:snapToGrid w:val="0"/>
        <w:spacing w:before="0" w:after="0" w:line="400" w:lineRule="exact"/>
        <w:ind w:firstLine="480" w:firstLineChars="200"/>
        <w:rPr>
          <w:rFonts w:ascii="方正仿宋_GBK" w:hAnsi="宋体" w:eastAsia="方正仿宋_GBK"/>
          <w:sz w:val="24"/>
        </w:rPr>
      </w:pPr>
      <w:bookmarkStart w:id="6" w:name="_Toc21892"/>
      <w:bookmarkStart w:id="7" w:name="_Toc76462317"/>
      <w:bookmarkStart w:id="8" w:name="_Toc317775175"/>
      <w:bookmarkStart w:id="9" w:name="_Toc106030871"/>
      <w:bookmarkStart w:id="10" w:name="_Toc3856"/>
      <w:bookmarkStart w:id="11" w:name="_Toc313893526"/>
      <w:r>
        <w:rPr>
          <w:rFonts w:hint="eastAsia" w:ascii="方正仿宋_GBK" w:hAnsi="宋体" w:eastAsia="方正仿宋_GBK"/>
          <w:sz w:val="24"/>
        </w:rPr>
        <w:t>一、竞争性磋商内容</w:t>
      </w:r>
      <w:bookmarkEnd w:id="6"/>
      <w:bookmarkEnd w:id="7"/>
      <w:bookmarkEnd w:id="8"/>
      <w:bookmarkEnd w:id="9"/>
      <w:bookmarkEnd w:id="10"/>
      <w:bookmarkEnd w:id="11"/>
    </w:p>
    <w:tbl>
      <w:tblPr>
        <w:tblStyle w:val="57"/>
        <w:tblW w:w="44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8"/>
        <w:gridCol w:w="2370"/>
        <w:gridCol w:w="1103"/>
        <w:gridCol w:w="1416"/>
        <w:gridCol w:w="18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94" w:type="pct"/>
            <w:tcBorders>
              <w:top w:val="single" w:color="auto" w:sz="4" w:space="0"/>
              <w:left w:val="single" w:color="auto" w:sz="4" w:space="0"/>
              <w:right w:val="single" w:color="auto" w:sz="4" w:space="0"/>
            </w:tcBorders>
            <w:noWrap w:val="0"/>
            <w:vAlign w:val="center"/>
          </w:tcPr>
          <w:p>
            <w:pPr>
              <w:widowControl/>
              <w:jc w:val="center"/>
              <w:rPr>
                <w:rFonts w:ascii="方正仿宋_GBK" w:hAnsi="宋体" w:eastAsia="方正仿宋_GBK" w:cs="宋体"/>
                <w:b/>
                <w:bCs/>
                <w:kern w:val="0"/>
                <w:sz w:val="21"/>
                <w:szCs w:val="24"/>
              </w:rPr>
            </w:pPr>
            <w:bookmarkStart w:id="12" w:name="_Toc76462318"/>
            <w:bookmarkStart w:id="13" w:name="_Toc106030872"/>
            <w:bookmarkStart w:id="14" w:name="_Toc373860293"/>
            <w:bookmarkStart w:id="15" w:name="_Toc317775178"/>
            <w:r>
              <w:rPr>
                <w:rFonts w:hint="eastAsia" w:ascii="方正仿宋_GBK" w:hAnsi="宋体" w:eastAsia="方正仿宋_GBK" w:cs="宋体"/>
                <w:b/>
                <w:bCs/>
                <w:kern w:val="0"/>
                <w:sz w:val="21"/>
                <w:szCs w:val="24"/>
              </w:rPr>
              <w:t>项目编号</w:t>
            </w:r>
          </w:p>
        </w:tc>
        <w:tc>
          <w:tcPr>
            <w:tcW w:w="1433" w:type="pct"/>
            <w:tcBorders>
              <w:top w:val="single" w:color="auto" w:sz="4" w:space="0"/>
              <w:left w:val="single" w:color="auto" w:sz="4" w:space="0"/>
              <w:right w:val="single" w:color="auto" w:sz="4" w:space="0"/>
            </w:tcBorders>
            <w:noWrap w:val="0"/>
            <w:vAlign w:val="center"/>
          </w:tcPr>
          <w:p>
            <w:pPr>
              <w:widowControl/>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667" w:type="pct"/>
            <w:tcBorders>
              <w:top w:val="single" w:color="auto" w:sz="4" w:space="0"/>
              <w:left w:val="single" w:color="auto" w:sz="4" w:space="0"/>
              <w:right w:val="single" w:color="auto" w:sz="4" w:space="0"/>
            </w:tcBorders>
            <w:noWrap w:val="0"/>
            <w:vAlign w:val="center"/>
          </w:tcPr>
          <w:p>
            <w:pPr>
              <w:widowControl/>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最高限价（万元）</w:t>
            </w:r>
          </w:p>
        </w:tc>
        <w:tc>
          <w:tcPr>
            <w:tcW w:w="856" w:type="pct"/>
            <w:tcBorders>
              <w:top w:val="single" w:color="auto" w:sz="4" w:space="0"/>
              <w:left w:val="single" w:color="auto" w:sz="4" w:space="0"/>
              <w:right w:val="single" w:color="auto" w:sz="4" w:space="0"/>
            </w:tcBorders>
            <w:noWrap w:val="0"/>
            <w:vAlign w:val="center"/>
          </w:tcPr>
          <w:p>
            <w:pPr>
              <w:widowControl/>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147" w:type="pct"/>
            <w:tcBorders>
              <w:top w:val="single" w:color="auto" w:sz="4" w:space="0"/>
              <w:left w:val="single" w:color="auto" w:sz="4" w:space="0"/>
              <w:right w:val="single" w:color="auto" w:sz="4" w:space="0"/>
            </w:tcBorders>
            <w:noWrap w:val="0"/>
            <w:vAlign w:val="center"/>
          </w:tcPr>
          <w:p>
            <w:pPr>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94"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lang w:val="en-US" w:eastAsia="zh-CN"/>
              </w:rPr>
              <w:t>YSB230037</w:t>
            </w:r>
          </w:p>
        </w:tc>
        <w:tc>
          <w:tcPr>
            <w:tcW w:w="1433"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cs="宋体"/>
                <w:kern w:val="0"/>
                <w:sz w:val="21"/>
                <w:szCs w:val="24"/>
                <w:lang w:val="en-US" w:eastAsia="zh-CN"/>
              </w:rPr>
              <w:t>石蜡切片机及配套设备</w:t>
            </w:r>
          </w:p>
        </w:tc>
        <w:tc>
          <w:tcPr>
            <w:tcW w:w="667"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40</w:t>
            </w:r>
          </w:p>
        </w:tc>
        <w:tc>
          <w:tcPr>
            <w:tcW w:w="856"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1147"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1</w:t>
            </w:r>
          </w:p>
        </w:tc>
      </w:tr>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 w:name="_Toc9755"/>
      <w:bookmarkStart w:id="17" w:name="_Toc17154"/>
      <w:r>
        <w:rPr>
          <w:rFonts w:hint="eastAsia" w:ascii="方正仿宋_GBK" w:hAnsi="宋体" w:eastAsia="方正仿宋_GBK"/>
          <w:sz w:val="24"/>
        </w:rPr>
        <w:t>二、</w:t>
      </w:r>
      <w:bookmarkEnd w:id="12"/>
      <w:bookmarkEnd w:id="13"/>
      <w:bookmarkEnd w:id="16"/>
      <w:bookmarkStart w:id="18" w:name="_Toc76462319"/>
      <w:bookmarkStart w:id="19" w:name="_Toc4480"/>
      <w:bookmarkStart w:id="20" w:name="_Toc106030873"/>
      <w:r>
        <w:rPr>
          <w:rFonts w:hint="eastAsia" w:ascii="方正仿宋_GBK" w:hAnsi="宋体" w:eastAsia="方正仿宋_GBK"/>
          <w:sz w:val="24"/>
          <w:lang w:eastAsia="zh-CN"/>
        </w:rPr>
        <w:t>投标人</w:t>
      </w:r>
      <w:r>
        <w:rPr>
          <w:rFonts w:hint="eastAsia" w:ascii="方正仿宋_GBK" w:hAnsi="宋体" w:eastAsia="方正仿宋_GBK"/>
          <w:sz w:val="24"/>
        </w:rPr>
        <w:t>资格条件</w:t>
      </w:r>
      <w:bookmarkEnd w:id="17"/>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hint="eastAsia" w:ascii="方正仿宋_GBK" w:hAnsi="宋体" w:eastAsia="方正仿宋_GBK"/>
          <w:color w:val="FF0000"/>
          <w:sz w:val="24"/>
          <w:szCs w:val="24"/>
        </w:rPr>
      </w:pPr>
      <w:r>
        <w:rPr>
          <w:rFonts w:hint="eastAsia" w:ascii="方正仿宋_GBK" w:hAnsi="宋体" w:eastAsia="方正仿宋_GBK"/>
          <w:sz w:val="24"/>
          <w:szCs w:val="24"/>
        </w:rPr>
        <w:t>（二）本项目的特定资格要求：</w:t>
      </w:r>
      <w:r>
        <w:rPr>
          <w:rFonts w:hint="eastAsia" w:ascii="方正仿宋_GBK" w:hAnsi="宋体" w:eastAsia="方正仿宋_GBK" w:cs="Times New Roman"/>
          <w:sz w:val="24"/>
          <w:szCs w:val="24"/>
        </w:rPr>
        <w:t>投标人为所投标产品制造商或经销商</w:t>
      </w:r>
      <w:r>
        <w:rPr>
          <w:rFonts w:hint="eastAsia" w:ascii="方正仿宋_GBK" w:hAnsi="宋体" w:eastAsia="方正仿宋_GBK" w:cs="Times New Roman"/>
          <w:sz w:val="24"/>
          <w:szCs w:val="24"/>
          <w:lang w:eastAsia="zh-CN"/>
        </w:rPr>
        <w:t>；</w:t>
      </w:r>
      <w:r>
        <w:rPr>
          <w:rFonts w:hint="eastAsia" w:ascii="方正仿宋_GBK" w:hAnsi="宋体" w:eastAsia="方正仿宋_GBK" w:cs="Times New Roman"/>
          <w:sz w:val="24"/>
          <w:szCs w:val="24"/>
        </w:rPr>
        <w:t>若为经销商投标，须具备投标产品制造商或制造商中国境内代表机构认可的经销资格</w:t>
      </w:r>
      <w:r>
        <w:rPr>
          <w:rFonts w:hint="eastAsia" w:ascii="方正仿宋_GBK" w:hAnsi="宋体" w:eastAsia="方正仿宋_GBK" w:cs="Times New Roman"/>
          <w:sz w:val="24"/>
          <w:szCs w:val="24"/>
          <w:lang w:eastAsia="zh-CN"/>
        </w:rPr>
        <w:t>。</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21" w:name="_Toc29204"/>
      <w:bookmarkStart w:id="22" w:name="_Toc106030874"/>
      <w:bookmarkStart w:id="23" w:name="_Toc27954"/>
      <w:bookmarkStart w:id="24" w:name="_Toc76462320"/>
      <w:r>
        <w:rPr>
          <w:rFonts w:hint="eastAsia" w:ascii="方正仿宋_GBK" w:hAnsi="宋体" w:eastAsia="方正仿宋_GBK"/>
          <w:sz w:val="24"/>
        </w:rPr>
        <w:t>三、磋商有关说明</w:t>
      </w:r>
      <w:bookmarkEnd w:id="14"/>
      <w:bookmarkEnd w:id="21"/>
      <w:bookmarkEnd w:id="22"/>
      <w:bookmarkEnd w:id="23"/>
      <w:bookmarkEnd w:id="2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（二）凡有意参加磋商的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，请在重庆医科大学附属儿童医院电子招投标平台下载本项目竞争性磋商文件以及其他所有项目资料，无论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下载与否，均视为已知晓所有磋商实质性要求内容。</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（三）</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以提交的纸质版响应文件作为磋商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（四）竞争性磋商公告期限及报名截止期限：详见电子招投标平台该项目公告内容。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（五）磋商地点：详见电子招投标平台该项目公告内容。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（六）磋商开始时间：详见电子招投标平台该项目公告内容。</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ascii="方正仿宋_GBK" w:hAnsi="宋体" w:eastAsia="方正仿宋_GBK"/>
          <w:sz w:val="24"/>
        </w:rPr>
      </w:pPr>
      <w:bookmarkStart w:id="25" w:name="_Toc12841"/>
      <w:bookmarkStart w:id="26" w:name="_Toc106034625"/>
      <w:bookmarkStart w:id="27" w:name="_Toc525047161"/>
      <w:bookmarkStart w:id="28" w:name="_Toc6178"/>
      <w:bookmarkStart w:id="29" w:name="_Toc65660334"/>
      <w:bookmarkStart w:id="30" w:name="_Toc521053053"/>
      <w:bookmarkStart w:id="31" w:name="_Toc11956"/>
      <w:bookmarkStart w:id="32" w:name="_Toc19824"/>
      <w:r>
        <w:rPr>
          <w:rFonts w:hint="eastAsia" w:ascii="方正仿宋_GBK" w:hAnsi="宋体" w:eastAsia="方正仿宋_GBK"/>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3"/>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应足额交纳保证金（保证金金额详见本篇，一、竞争性磋商内容），并通过银行转账的方式直接转入重庆医科大学附属儿童医院对公账户（</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w:t>
      </w:r>
      <w:r>
        <w:rPr>
          <w:rFonts w:hint="eastAsia" w:ascii="方正仿宋_GBK" w:hAnsi="宋体" w:eastAsia="方正仿宋_GBK"/>
          <w:sz w:val="24"/>
          <w:szCs w:val="24"/>
        </w:rPr>
        <w:t>），并备注项目编号、项目名称（例：YXX220001服务器项目投标保证金），交纳凭据须在重庆医科大学附属儿童医院电子招投标平台报名过程中上传。</w:t>
      </w:r>
    </w:p>
    <w:p>
      <w:pPr>
        <w:pStyle w:val="33"/>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2.各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的保证金，在成交通知书发放后45个日历日内退还至项目报名时所填写的投标单位对公账户。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的保证金，将在与我院完成签订本项目合同并提交招标办公室（将合同扫描文件发送至zbb63632469@qq.com）之后45个日历日内，无息退还至项目报名时所填写的投标单位对公账户。</w:t>
      </w:r>
    </w:p>
    <w:p>
      <w:pPr>
        <w:pStyle w:val="4"/>
        <w:adjustRightInd w:val="0"/>
        <w:snapToGrid w:val="0"/>
        <w:spacing w:before="0" w:after="0" w:line="400" w:lineRule="exact"/>
        <w:ind w:firstLine="480" w:firstLineChars="200"/>
        <w:rPr>
          <w:rFonts w:ascii="方正仿宋_GBK" w:hAnsi="宋体" w:eastAsia="方正仿宋_GBK"/>
          <w:sz w:val="24"/>
        </w:rPr>
      </w:pPr>
      <w:bookmarkStart w:id="33" w:name="_Toc106034626"/>
      <w:bookmarkStart w:id="34" w:name="_Toc521053054"/>
      <w:bookmarkStart w:id="35" w:name="_Toc4355"/>
      <w:bookmarkStart w:id="36" w:name="_Toc2945"/>
      <w:bookmarkStart w:id="37" w:name="_Toc525047162"/>
      <w:bookmarkStart w:id="38" w:name="_Toc65660335"/>
      <w:bookmarkStart w:id="39" w:name="_Toc21526"/>
      <w:bookmarkStart w:id="40" w:name="_Toc1546"/>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3"/>
      <w:bookmarkEnd w:id="34"/>
      <w:bookmarkEnd w:id="35"/>
      <w:bookmarkEnd w:id="36"/>
      <w:bookmarkEnd w:id="37"/>
      <w:bookmarkEnd w:id="38"/>
      <w:bookmarkStart w:id="41" w:name="_Toc521053055"/>
      <w:bookmarkStart w:id="42" w:name="_Toc65660336"/>
      <w:bookmarkStart w:id="43" w:name="_Toc525047163"/>
      <w:bookmarkStart w:id="44" w:name="_Toc16269"/>
      <w:bookmarkStart w:id="45" w:name="_Toc6563"/>
      <w:bookmarkStart w:id="46" w:name="_Toc106034627"/>
      <w:r>
        <w:rPr>
          <w:rFonts w:hint="eastAsia" w:ascii="方正仿宋_GBK" w:hAnsi="宋体" w:eastAsia="方正仿宋_GBK"/>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（一）重庆医科大学附属儿童医院招标办公室所作出的一切书面通知、修改、补充说明、答疑等内容，都是邀标文件不可分割的组成部分。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磋商文件有任何实质性疑问，应当以书面形式向招标方提出质疑，并须将该质疑文件纸质版（须加盖提出质疑单位的公章确认）在预定开标时间前至少24小时送达重庆医科大学附属儿童医院招标办公室，否则即视为完全放弃对本邀标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（三）投标人应仔细阅读和检查磋商文件的全部内容。如发现缺页或附件不全，应及时提出，以便补齐。如有疑问，请在投标截止日前向招标单位提出，超过此时间规定，招标单位不再受理对于磋商文件的疑问。</w:t>
      </w:r>
    </w:p>
    <w:p>
      <w:pPr>
        <w:pStyle w:val="4"/>
        <w:adjustRightInd w:val="0"/>
        <w:snapToGrid w:val="0"/>
        <w:spacing w:before="0" w:after="0" w:line="400" w:lineRule="exact"/>
        <w:ind w:firstLine="480" w:firstLineChars="200"/>
        <w:rPr>
          <w:rFonts w:ascii="方正仿宋_GBK" w:hAnsi="宋体" w:eastAsia="方正仿宋_GBK"/>
          <w:sz w:val="24"/>
        </w:rPr>
      </w:pPr>
      <w:bookmarkStart w:id="47" w:name="_Toc525047164"/>
      <w:bookmarkStart w:id="48" w:name="_Toc521053056"/>
      <w:bookmarkStart w:id="49" w:name="_Toc106034628"/>
      <w:bookmarkStart w:id="50" w:name="_Toc1733"/>
      <w:bookmarkStart w:id="51" w:name="_Toc24901"/>
      <w:bookmarkStart w:id="52" w:name="_Toc10415"/>
      <w:bookmarkStart w:id="53" w:name="_Toc65660337"/>
      <w:bookmarkStart w:id="54" w:name="_Toc16037"/>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邮  箱：zbb63633469@qq.com</w:t>
      </w:r>
    </w:p>
    <w:p>
      <w:pPr>
        <w:snapToGrid w:val="0"/>
        <w:spacing w:line="400" w:lineRule="exact"/>
        <w:ind w:firstLine="480" w:firstLineChars="200"/>
        <w:rPr>
          <w:rFonts w:hint="default" w:ascii="方正仿宋_GBK" w:hAnsi="宋体" w:eastAsia="方正仿宋_GBK"/>
          <w:color w:val="auto"/>
          <w:sz w:val="24"/>
          <w:szCs w:val="24"/>
          <w:lang w:val="en-US" w:eastAsia="zh-CN"/>
        </w:rPr>
      </w:pPr>
      <w:r>
        <w:rPr>
          <w:rFonts w:hint="eastAsia" w:ascii="方正仿宋_GBK" w:hAnsi="宋体" w:eastAsia="方正仿宋_GBK"/>
          <w:sz w:val="24"/>
          <w:szCs w:val="24"/>
        </w:rPr>
        <w:t xml:space="preserve">地  </w:t>
      </w:r>
      <w:r>
        <w:rPr>
          <w:rFonts w:hint="eastAsia" w:ascii="方正仿宋_GBK" w:hAnsi="宋体" w:eastAsia="方正仿宋_GBK"/>
          <w:color w:val="auto"/>
          <w:sz w:val="24"/>
          <w:szCs w:val="24"/>
        </w:rPr>
        <w:t>址：重庆市</w:t>
      </w:r>
      <w:r>
        <w:rPr>
          <w:rFonts w:hint="eastAsia" w:ascii="方正仿宋_GBK" w:hAnsi="宋体" w:eastAsia="方正仿宋_GBK"/>
          <w:color w:val="auto"/>
          <w:sz w:val="24"/>
          <w:szCs w:val="24"/>
          <w:lang w:val="en-US" w:eastAsia="zh-CN"/>
        </w:rPr>
        <w:t>两江新区金渝大道20号重庆医科大学附属儿童医院两江院区科教楼630招标办公室</w:t>
      </w:r>
    </w:p>
    <w:bookmarkEnd w:id="15"/>
    <w:p>
      <w:pPr>
        <w:snapToGrid w:val="0"/>
        <w:spacing w:line="400" w:lineRule="exact"/>
        <w:ind w:firstLine="482" w:firstLineChars="200"/>
        <w:rPr>
          <w:rFonts w:hint="eastAsia" w:ascii="宋体" w:hAnsi="宋体"/>
          <w:b/>
          <w:sz w:val="24"/>
          <w:szCs w:val="24"/>
        </w:rPr>
        <w:sectPr>
          <w:pgSz w:w="11907" w:h="16840"/>
          <w:pgMar w:top="1134" w:right="1418" w:bottom="1134" w:left="1418" w:header="964" w:footer="992" w:gutter="0"/>
          <w:pgNumType w:fmt="numberInDash"/>
          <w:cols w:space="720" w:num="1"/>
          <w:docGrid w:linePitch="312" w:charSpace="0"/>
        </w:sectPr>
      </w:pPr>
    </w:p>
    <w:p>
      <w:pPr>
        <w:pStyle w:val="4"/>
        <w:spacing w:before="200" w:after="200" w:line="240" w:lineRule="auto"/>
        <w:jc w:val="center"/>
        <w:rPr>
          <w:rFonts w:hint="eastAsia" w:ascii="方正仿宋_GBK" w:hAnsi="Times New Roman" w:eastAsia="方正仿宋_GBK" w:cs="Times New Roman"/>
          <w:b/>
          <w:sz w:val="44"/>
          <w:szCs w:val="20"/>
          <w:lang w:val="en-US" w:eastAsia="zh-CN"/>
        </w:rPr>
      </w:pPr>
      <w:bookmarkStart w:id="55" w:name="_Toc76462324"/>
      <w:bookmarkStart w:id="56" w:name="_Toc19819"/>
      <w:bookmarkStart w:id="57" w:name="_Toc26981"/>
      <w:bookmarkStart w:id="58" w:name="_Toc106030878"/>
      <w:r>
        <w:rPr>
          <w:rFonts w:hint="eastAsia" w:ascii="方正仿宋_GBK" w:hAnsi="Times New Roman" w:eastAsia="方正仿宋_GBK" w:cs="Times New Roman"/>
          <w:b/>
          <w:sz w:val="44"/>
          <w:szCs w:val="20"/>
          <w:lang w:val="en-US" w:eastAsia="zh-CN"/>
        </w:rPr>
        <w:t>第二篇  项目技术需求</w:t>
      </w:r>
      <w:bookmarkEnd w:id="55"/>
      <w:bookmarkEnd w:id="56"/>
      <w:bookmarkEnd w:id="57"/>
      <w:bookmarkEnd w:id="58"/>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59" w:name="_Toc2230"/>
      <w:bookmarkStart w:id="60" w:name="_Toc14348"/>
      <w:bookmarkStart w:id="61" w:name="_Toc65660339"/>
      <w:bookmarkStart w:id="62" w:name="_Toc24129"/>
      <w:bookmarkStart w:id="63" w:name="_Toc26971"/>
      <w:bookmarkStart w:id="64" w:name="_Toc12789058"/>
      <w:r>
        <w:rPr>
          <w:rFonts w:hint="eastAsia" w:ascii="方正仿宋_GBK" w:hAnsi="宋体" w:eastAsia="方正仿宋_GBK"/>
          <w:sz w:val="24"/>
        </w:rPr>
        <w:t>一、项目一览表</w:t>
      </w:r>
      <w:bookmarkEnd w:id="59"/>
      <w:bookmarkEnd w:id="60"/>
      <w:bookmarkEnd w:id="61"/>
      <w:bookmarkEnd w:id="62"/>
      <w:bookmarkEnd w:id="63"/>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8"/>
        <w:gridCol w:w="3976"/>
        <w:gridCol w:w="1563"/>
        <w:gridCol w:w="2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688" w:type="dxa"/>
            <w:noWrap w:val="0"/>
            <w:vAlign w:val="center"/>
          </w:tcPr>
          <w:p>
            <w:pPr>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3976" w:type="dxa"/>
            <w:noWrap w:val="0"/>
            <w:vAlign w:val="center"/>
          </w:tcPr>
          <w:p>
            <w:pPr>
              <w:jc w:val="center"/>
              <w:rPr>
                <w:rFonts w:hint="eastAsia" w:ascii="方正仿宋_GBK" w:hAnsi="宋体" w:eastAsia="方正仿宋_GBK"/>
                <w:b/>
                <w:sz w:val="21"/>
                <w:szCs w:val="21"/>
              </w:rPr>
            </w:pPr>
            <w:r>
              <w:rPr>
                <w:rFonts w:hint="eastAsia" w:ascii="方正仿宋_GBK" w:hAnsi="宋体" w:eastAsia="方正仿宋_GBK"/>
                <w:b/>
                <w:sz w:val="21"/>
                <w:szCs w:val="21"/>
              </w:rPr>
              <w:t>产品名称（设备名称）</w:t>
            </w:r>
          </w:p>
        </w:tc>
        <w:tc>
          <w:tcPr>
            <w:tcW w:w="1563" w:type="dxa"/>
            <w:noWrap w:val="0"/>
            <w:vAlign w:val="center"/>
          </w:tcPr>
          <w:p>
            <w:pPr>
              <w:jc w:val="center"/>
              <w:rPr>
                <w:rFonts w:hint="eastAsia" w:ascii="方正仿宋_GBK" w:hAnsi="宋体" w:eastAsia="方正仿宋_GBK"/>
                <w:b/>
                <w:sz w:val="21"/>
                <w:szCs w:val="21"/>
              </w:rPr>
            </w:pPr>
            <w:r>
              <w:rPr>
                <w:rFonts w:hint="eastAsia" w:ascii="方正仿宋_GBK" w:hAnsi="宋体" w:eastAsia="方正仿宋_GBK"/>
                <w:b/>
                <w:sz w:val="21"/>
                <w:szCs w:val="21"/>
              </w:rPr>
              <w:t>数量/单位</w:t>
            </w:r>
          </w:p>
        </w:tc>
        <w:tc>
          <w:tcPr>
            <w:tcW w:w="2168" w:type="dxa"/>
            <w:noWrap w:val="0"/>
            <w:vAlign w:val="center"/>
          </w:tcPr>
          <w:p>
            <w:pPr>
              <w:jc w:val="center"/>
              <w:rPr>
                <w:rFonts w:hint="eastAsia" w:ascii="方正仿宋_GBK" w:hAnsi="宋体" w:eastAsia="方正仿宋_GBK"/>
                <w:b/>
                <w:sz w:val="21"/>
                <w:szCs w:val="21"/>
              </w:rPr>
            </w:pPr>
            <w:r>
              <w:rPr>
                <w:rFonts w:hint="eastAsia" w:ascii="方正仿宋_GBK" w:hAnsi="宋体" w:eastAsia="方正仿宋_GBK"/>
                <w:b/>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688" w:type="dxa"/>
            <w:noWrap w:val="0"/>
            <w:vAlign w:val="center"/>
          </w:tcPr>
          <w:p>
            <w:pPr>
              <w:pStyle w:val="23"/>
              <w:spacing w:line="240" w:lineRule="auto"/>
              <w:ind w:lef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3976" w:type="dxa"/>
            <w:noWrap w:val="0"/>
            <w:vAlign w:val="center"/>
          </w:tcPr>
          <w:p>
            <w:pPr>
              <w:pStyle w:val="23"/>
              <w:spacing w:line="240" w:lineRule="auto"/>
              <w:ind w:left="0"/>
              <w:jc w:val="center"/>
              <w:outlineLvl w:val="0"/>
              <w:rPr>
                <w:rFonts w:hint="default" w:ascii="方正仿宋_GBK" w:hAnsi="宋体" w:eastAsia="方正仿宋_GBK"/>
                <w:sz w:val="21"/>
                <w:szCs w:val="21"/>
                <w:lang w:val="en-US" w:eastAsia="zh-CN"/>
              </w:rPr>
            </w:pPr>
            <w:r>
              <w:rPr>
                <w:rFonts w:hint="eastAsia" w:ascii="方正仿宋_GBK" w:hAnsi="宋体" w:eastAsia="方正仿宋_GBK"/>
                <w:sz w:val="21"/>
                <w:szCs w:val="21"/>
              </w:rPr>
              <w:t>石蜡切片机及配套设备</w:t>
            </w:r>
          </w:p>
        </w:tc>
        <w:tc>
          <w:tcPr>
            <w:tcW w:w="1563" w:type="dxa"/>
            <w:noWrap w:val="0"/>
            <w:vAlign w:val="center"/>
          </w:tcPr>
          <w:p>
            <w:pPr>
              <w:pStyle w:val="23"/>
              <w:spacing w:line="240" w:lineRule="auto"/>
              <w:ind w:left="0"/>
              <w:jc w:val="center"/>
              <w:outlineLvl w:val="0"/>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1套</w:t>
            </w:r>
          </w:p>
        </w:tc>
        <w:tc>
          <w:tcPr>
            <w:tcW w:w="2168" w:type="dxa"/>
            <w:noWrap w:val="0"/>
            <w:vAlign w:val="center"/>
          </w:tcPr>
          <w:p>
            <w:pPr>
              <w:rPr>
                <w:rFonts w:hint="eastAsia" w:ascii="方正仿宋_GBK" w:hAnsi="宋体" w:eastAsia="方正仿宋_GBK"/>
                <w:sz w:val="21"/>
                <w:szCs w:val="21"/>
              </w:rPr>
            </w:pPr>
          </w:p>
        </w:tc>
      </w:tr>
    </w:tbl>
    <w:p>
      <w:pPr>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65" w:name="_Toc29908"/>
      <w:bookmarkStart w:id="66" w:name="_Toc32119"/>
      <w:bookmarkStart w:id="67" w:name="_Toc65660340"/>
      <w:bookmarkStart w:id="68" w:name="_Toc10723"/>
      <w:bookmarkStart w:id="69" w:name="_Toc11439"/>
      <w:r>
        <w:rPr>
          <w:rFonts w:hint="eastAsia" w:ascii="方正仿宋_GBK" w:hAnsi="宋体" w:eastAsia="方正仿宋_GBK"/>
          <w:sz w:val="24"/>
        </w:rPr>
        <w:t>二、技术规格及质量要求</w:t>
      </w:r>
      <w:bookmarkEnd w:id="65"/>
      <w:bookmarkEnd w:id="66"/>
      <w:bookmarkEnd w:id="67"/>
      <w:bookmarkEnd w:id="68"/>
      <w:bookmarkEnd w:id="69"/>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rPr>
        <w:t>石蜡切片机</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*1.应为半自动</w:t>
      </w:r>
      <w:r>
        <w:rPr>
          <w:rFonts w:hint="eastAsia" w:ascii="方正仿宋_GBK" w:hAnsi="宋体" w:eastAsia="方正仿宋_GBK"/>
          <w:sz w:val="24"/>
          <w:szCs w:val="24"/>
        </w:rPr>
        <w:t>轮转式切片机</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样本进样时，用户可自定义手轮顺时针及逆时针转动方向</w:t>
      </w:r>
      <w:r>
        <w:rPr>
          <w:rFonts w:hint="eastAsia" w:ascii="方正仿宋_GBK" w:hAnsi="宋体" w:eastAsia="方正仿宋_GBK"/>
          <w:sz w:val="24"/>
          <w:szCs w:val="24"/>
          <w:lang w:eastAsia="zh-CN"/>
        </w:rPr>
        <w:t>，</w:t>
      </w:r>
      <w:r>
        <w:rPr>
          <w:rFonts w:hint="eastAsia" w:ascii="方正仿宋_GBK" w:hAnsi="宋体" w:eastAsia="方正仿宋_GBK"/>
          <w:sz w:val="24"/>
          <w:szCs w:val="24"/>
        </w:rPr>
        <w:t>且两个方向均能控制样本前进；</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*3.</w:t>
      </w:r>
      <w:r>
        <w:rPr>
          <w:rFonts w:hint="eastAsia" w:ascii="方正仿宋_GBK" w:hAnsi="宋体" w:eastAsia="方正仿宋_GBK"/>
          <w:sz w:val="24"/>
          <w:szCs w:val="24"/>
        </w:rPr>
        <w:t>两种手动切片模式: 半刀和全手轮旋转模式</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4.</w:t>
      </w:r>
      <w:r>
        <w:rPr>
          <w:rFonts w:hint="eastAsia" w:ascii="方正仿宋_GBK" w:hAnsi="宋体" w:eastAsia="方正仿宋_GBK"/>
          <w:sz w:val="24"/>
          <w:szCs w:val="24"/>
        </w:rPr>
        <w:t>刀架可以同时适用于宽刀片和窄刀片，并具备侧向移动功能，可充分利用刀片全长；</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*5.</w:t>
      </w:r>
      <w:r>
        <w:rPr>
          <w:rFonts w:hint="eastAsia" w:ascii="方正仿宋_GBK" w:hAnsi="宋体" w:eastAsia="方正仿宋_GBK"/>
          <w:sz w:val="24"/>
          <w:szCs w:val="24"/>
        </w:rPr>
        <w:t>废屑槽具有抗静电功能，方便清洁废屑；</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*6.</w:t>
      </w:r>
      <w:r>
        <w:rPr>
          <w:rFonts w:hint="eastAsia" w:ascii="方正仿宋_GBK" w:hAnsi="宋体" w:eastAsia="方正仿宋_GBK"/>
          <w:sz w:val="24"/>
          <w:szCs w:val="24"/>
        </w:rPr>
        <w:t>带0位的样本定位系统，可X/Y轴调节，8度水平定位样本；</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*7.</w:t>
      </w:r>
      <w:r>
        <w:rPr>
          <w:rFonts w:hint="eastAsia" w:ascii="方正仿宋_GBK" w:hAnsi="宋体" w:eastAsia="方正仿宋_GBK"/>
          <w:sz w:val="24"/>
          <w:szCs w:val="24"/>
        </w:rPr>
        <w:t>最大样品尺寸至少有一边≥65mm</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8.</w:t>
      </w:r>
      <w:r>
        <w:rPr>
          <w:rFonts w:hint="eastAsia" w:ascii="方正仿宋_GBK" w:hAnsi="宋体" w:eastAsia="方正仿宋_GBK"/>
          <w:sz w:val="24"/>
          <w:szCs w:val="24"/>
        </w:rPr>
        <w:t>粗修时具备快速回缩和位置记忆功能，实现快速修片</w:t>
      </w:r>
      <w:r>
        <w:rPr>
          <w:rFonts w:hint="eastAsia" w:ascii="方正仿宋_GBK" w:hAnsi="宋体" w:eastAsia="方正仿宋_GBK"/>
          <w:sz w:val="24"/>
          <w:szCs w:val="24"/>
          <w:lang w:eastAsia="zh-CN"/>
        </w:rPr>
        <w:t>；</w:t>
      </w:r>
      <w:r>
        <w:rPr>
          <w:rFonts w:hint="eastAsia" w:ascii="方正仿宋_GBK" w:hAnsi="宋体" w:eastAsia="方正仿宋_GBK"/>
          <w:sz w:val="24"/>
          <w:szCs w:val="24"/>
        </w:rPr>
        <w:t>粗进速度：300μm/s，800μm/s和1800μm/s</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9.</w:t>
      </w:r>
      <w:r>
        <w:rPr>
          <w:rFonts w:hint="eastAsia" w:ascii="方正仿宋_GBK" w:hAnsi="宋体" w:eastAsia="方正仿宋_GBK"/>
          <w:sz w:val="24"/>
          <w:szCs w:val="24"/>
        </w:rPr>
        <w:t>静音样品回缩≥5-100μm，可关闭</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10.</w:t>
      </w:r>
      <w:r>
        <w:rPr>
          <w:rFonts w:hint="eastAsia" w:ascii="方正仿宋_GBK" w:hAnsi="宋体" w:eastAsia="方正仿宋_GBK"/>
          <w:sz w:val="24"/>
          <w:szCs w:val="24"/>
        </w:rPr>
        <w:t>标本回缩功能，防止样本刮伤，保证切片完整性；</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*11.</w:t>
      </w:r>
      <w:r>
        <w:rPr>
          <w:rFonts w:hint="eastAsia" w:ascii="方正仿宋_GBK" w:hAnsi="宋体" w:eastAsia="方正仿宋_GBK"/>
          <w:sz w:val="24"/>
          <w:szCs w:val="24"/>
        </w:rPr>
        <w:t>标本卡头底座，</w:t>
      </w:r>
      <w:r>
        <w:rPr>
          <w:rFonts w:hint="eastAsia" w:ascii="方正仿宋_GBK" w:hAnsi="宋体" w:eastAsia="方正仿宋_GBK"/>
          <w:sz w:val="24"/>
          <w:szCs w:val="24"/>
          <w:lang w:val="en-US" w:eastAsia="zh-CN"/>
        </w:rPr>
        <w:t>配备同品牌</w:t>
      </w:r>
      <w:r>
        <w:rPr>
          <w:rFonts w:hint="eastAsia" w:ascii="方正仿宋_GBK" w:hAnsi="宋体" w:eastAsia="方正仿宋_GBK"/>
          <w:sz w:val="24"/>
          <w:szCs w:val="24"/>
        </w:rPr>
        <w:t>包埋盒卡头</w:t>
      </w:r>
      <w:r>
        <w:rPr>
          <w:rFonts w:hint="eastAsia" w:ascii="方正仿宋_GBK" w:hAnsi="宋体" w:eastAsia="方正仿宋_GBK"/>
          <w:sz w:val="24"/>
          <w:szCs w:val="24"/>
          <w:lang w:val="en-US" w:eastAsia="zh-CN"/>
        </w:rPr>
        <w:t>和通用卡头各一个，配备更换工具一套；</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*12.</w:t>
      </w:r>
      <w:r>
        <w:rPr>
          <w:rFonts w:hint="eastAsia" w:ascii="方正仿宋_GBK" w:hAnsi="宋体" w:eastAsia="方正仿宋_GBK"/>
          <w:sz w:val="24"/>
          <w:szCs w:val="24"/>
        </w:rPr>
        <w:t>配备同品牌钨钢刀</w:t>
      </w:r>
      <w:r>
        <w:rPr>
          <w:rFonts w:hint="eastAsia" w:ascii="方正仿宋_GBK" w:hAnsi="宋体" w:eastAsia="方正仿宋_GBK"/>
          <w:sz w:val="24"/>
          <w:szCs w:val="24"/>
          <w:lang w:val="en-US" w:eastAsia="zh-CN"/>
        </w:rPr>
        <w:t>5片</w:t>
      </w:r>
      <w:r>
        <w:rPr>
          <w:rFonts w:hint="eastAsia" w:ascii="方正仿宋_GBK" w:hAnsi="宋体" w:eastAsia="方正仿宋_GBK"/>
          <w:sz w:val="24"/>
          <w:szCs w:val="24"/>
        </w:rPr>
        <w:t>和样本夹制冷配件</w:t>
      </w:r>
      <w:r>
        <w:rPr>
          <w:rFonts w:hint="eastAsia" w:ascii="方正仿宋_GBK" w:hAnsi="宋体" w:eastAsia="方正仿宋_GBK"/>
          <w:sz w:val="24"/>
          <w:szCs w:val="24"/>
          <w:lang w:val="en-US" w:eastAsia="zh-CN"/>
        </w:rPr>
        <w:t>1套</w:t>
      </w:r>
      <w:r>
        <w:rPr>
          <w:rFonts w:hint="eastAsia" w:ascii="方正仿宋_GBK" w:hAnsi="宋体" w:eastAsia="方正仿宋_GBK"/>
          <w:sz w:val="24"/>
          <w:szCs w:val="24"/>
        </w:rPr>
        <w:t>，便于硬组织的切片及样本的持续制冷</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13.</w:t>
      </w:r>
      <w:r>
        <w:rPr>
          <w:rFonts w:hint="eastAsia" w:ascii="方正仿宋_GBK" w:hAnsi="宋体" w:eastAsia="方正仿宋_GBK"/>
          <w:sz w:val="24"/>
          <w:szCs w:val="24"/>
        </w:rPr>
        <w:t>手轮有</w:t>
      </w:r>
      <w:r>
        <w:rPr>
          <w:rFonts w:hint="eastAsia" w:ascii="方正仿宋_GBK" w:hAnsi="宋体" w:eastAsia="方正仿宋_GBK"/>
          <w:sz w:val="24"/>
          <w:szCs w:val="24"/>
          <w:lang w:val="en-US" w:eastAsia="zh-CN"/>
        </w:rPr>
        <w:t>2个</w:t>
      </w:r>
      <w:r>
        <w:rPr>
          <w:rFonts w:hint="eastAsia" w:ascii="方正仿宋_GBK" w:hAnsi="宋体" w:eastAsia="方正仿宋_GBK"/>
          <w:sz w:val="24"/>
          <w:szCs w:val="24"/>
        </w:rPr>
        <w:t>独立的安全锁定系统；</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14.</w:t>
      </w:r>
      <w:r>
        <w:rPr>
          <w:rFonts w:hint="eastAsia" w:ascii="方正仿宋_GBK" w:hAnsi="宋体" w:eastAsia="方正仿宋_GBK"/>
          <w:sz w:val="24"/>
          <w:szCs w:val="24"/>
        </w:rPr>
        <w:t>刀架带有红色护手，确保操作者安全；</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*15.</w:t>
      </w:r>
      <w:r>
        <w:rPr>
          <w:rFonts w:hint="eastAsia" w:ascii="方正仿宋_GBK" w:hAnsi="宋体" w:eastAsia="方正仿宋_GBK"/>
          <w:sz w:val="24"/>
          <w:szCs w:val="24"/>
        </w:rPr>
        <w:t>切片、修片、计数都可以通过控制面板</w:t>
      </w:r>
      <w:r>
        <w:rPr>
          <w:rFonts w:hint="eastAsia" w:ascii="方正仿宋_GBK" w:hAnsi="宋体" w:eastAsia="方正仿宋_GBK"/>
          <w:sz w:val="24"/>
          <w:szCs w:val="24"/>
          <w:lang w:val="en-US" w:eastAsia="zh-CN"/>
        </w:rPr>
        <w:t>进行</w:t>
      </w:r>
      <w:r>
        <w:rPr>
          <w:rFonts w:hint="eastAsia" w:ascii="方正仿宋_GBK" w:hAnsi="宋体" w:eastAsia="方正仿宋_GBK"/>
          <w:sz w:val="24"/>
          <w:szCs w:val="24"/>
        </w:rPr>
        <w:t>简便的操作；切片厚度范围：≥0.</w:t>
      </w:r>
      <w:r>
        <w:rPr>
          <w:rFonts w:hint="eastAsia" w:ascii="方正仿宋_GBK" w:hAnsi="宋体" w:eastAsia="方正仿宋_GBK"/>
          <w:sz w:val="24"/>
          <w:szCs w:val="24"/>
          <w:lang w:val="en-US" w:eastAsia="zh-CN"/>
        </w:rPr>
        <w:t>5</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10</w:t>
      </w:r>
      <w:r>
        <w:rPr>
          <w:rFonts w:hint="eastAsia" w:ascii="方正仿宋_GBK" w:hAnsi="宋体" w:eastAsia="方正仿宋_GBK"/>
          <w:sz w:val="24"/>
          <w:szCs w:val="24"/>
        </w:rPr>
        <w:t>0μm</w:t>
      </w:r>
      <w:r>
        <w:rPr>
          <w:rFonts w:hint="eastAsia" w:ascii="方正仿宋_GBK" w:hAnsi="宋体" w:eastAsia="方正仿宋_GBK"/>
          <w:sz w:val="24"/>
          <w:szCs w:val="24"/>
          <w:lang w:eastAsia="zh-CN"/>
        </w:rPr>
        <w:t>，</w:t>
      </w:r>
      <w:r>
        <w:rPr>
          <w:rFonts w:hint="eastAsia" w:ascii="方正仿宋_GBK" w:hAnsi="宋体" w:eastAsia="方正仿宋_GBK"/>
          <w:sz w:val="24"/>
          <w:szCs w:val="24"/>
        </w:rPr>
        <w:t>修片厚度</w:t>
      </w:r>
      <w:r>
        <w:rPr>
          <w:rFonts w:hint="eastAsia" w:ascii="方正仿宋_GBK" w:hAnsi="宋体" w:eastAsia="方正仿宋_GBK"/>
          <w:sz w:val="24"/>
          <w:szCs w:val="24"/>
          <w:lang w:val="en-US" w:eastAsia="zh-CN"/>
        </w:rPr>
        <w:t>范围</w:t>
      </w:r>
      <w:r>
        <w:rPr>
          <w:rFonts w:hint="eastAsia" w:ascii="方正仿宋_GBK" w:hAnsi="宋体" w:eastAsia="方正仿宋_GBK"/>
          <w:sz w:val="24"/>
          <w:szCs w:val="24"/>
        </w:rPr>
        <w:t>≥1～</w:t>
      </w:r>
      <w:r>
        <w:rPr>
          <w:rFonts w:hint="eastAsia" w:ascii="方正仿宋_GBK" w:hAnsi="宋体" w:eastAsia="方正仿宋_GBK"/>
          <w:sz w:val="24"/>
          <w:szCs w:val="24"/>
          <w:lang w:val="en-US" w:eastAsia="zh-CN"/>
        </w:rPr>
        <w:t>60</w:t>
      </w:r>
      <w:r>
        <w:rPr>
          <w:rFonts w:hint="eastAsia" w:ascii="方正仿宋_GBK" w:hAnsi="宋体" w:eastAsia="方正仿宋_GBK"/>
          <w:sz w:val="24"/>
          <w:szCs w:val="24"/>
        </w:rPr>
        <w:t>0μm</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16.</w:t>
      </w:r>
      <w:r>
        <w:rPr>
          <w:rFonts w:hint="eastAsia" w:ascii="方正仿宋_GBK" w:hAnsi="宋体" w:eastAsia="方正仿宋_GBK"/>
          <w:sz w:val="24"/>
          <w:szCs w:val="24"/>
        </w:rPr>
        <w:t>标本垂直运动行程</w:t>
      </w:r>
      <w:r>
        <w:rPr>
          <w:rFonts w:hint="eastAsia" w:ascii="方正仿宋_GBK" w:hAnsi="宋体" w:eastAsia="方正仿宋_GBK"/>
          <w:sz w:val="24"/>
          <w:szCs w:val="24"/>
          <w:lang w:val="en-US" w:eastAsia="zh-CN"/>
        </w:rPr>
        <w:t>最大可达71</w:t>
      </w:r>
      <w:r>
        <w:rPr>
          <w:rFonts w:hint="eastAsia" w:ascii="方正仿宋_GBK" w:hAnsi="宋体" w:eastAsia="方正仿宋_GBK"/>
          <w:sz w:val="24"/>
          <w:szCs w:val="24"/>
        </w:rPr>
        <w:t>mm</w:t>
      </w:r>
      <w:r>
        <w:rPr>
          <w:rFonts w:hint="eastAsia" w:ascii="方正仿宋_GBK" w:hAnsi="宋体" w:eastAsia="方正仿宋_GBK"/>
          <w:sz w:val="24"/>
          <w:szCs w:val="24"/>
          <w:lang w:eastAsia="zh-CN"/>
        </w:rPr>
        <w:t>，</w:t>
      </w:r>
      <w:r>
        <w:rPr>
          <w:rFonts w:hint="eastAsia" w:ascii="方正仿宋_GBK" w:hAnsi="宋体" w:eastAsia="方正仿宋_GBK"/>
          <w:sz w:val="24"/>
          <w:szCs w:val="24"/>
        </w:rPr>
        <w:t>标本水平运动行程≥2</w:t>
      </w:r>
      <w:r>
        <w:rPr>
          <w:rFonts w:hint="eastAsia" w:ascii="方正仿宋_GBK" w:hAnsi="宋体" w:eastAsia="方正仿宋_GBK"/>
          <w:sz w:val="24"/>
          <w:szCs w:val="24"/>
          <w:lang w:val="en-US" w:eastAsia="zh-CN"/>
        </w:rPr>
        <w:t>4</w:t>
      </w:r>
      <w:r>
        <w:rPr>
          <w:rFonts w:hint="eastAsia" w:ascii="方正仿宋_GBK" w:hAnsi="宋体" w:eastAsia="方正仿宋_GBK"/>
          <w:sz w:val="24"/>
          <w:szCs w:val="24"/>
        </w:rPr>
        <w:t>mm</w:t>
      </w:r>
      <w:r>
        <w:rPr>
          <w:rFonts w:hint="eastAsia" w:ascii="方正仿宋_GBK" w:hAnsi="宋体" w:eastAsia="方正仿宋_GBK"/>
          <w:sz w:val="24"/>
          <w:szCs w:val="24"/>
          <w:lang w:eastAsia="zh-CN"/>
        </w:rPr>
        <w:t>；</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17.</w:t>
      </w:r>
      <w:r>
        <w:rPr>
          <w:rFonts w:hint="eastAsia" w:ascii="方正仿宋_GBK" w:hAnsi="宋体" w:eastAsia="方正仿宋_GBK"/>
          <w:sz w:val="24"/>
          <w:szCs w:val="24"/>
        </w:rPr>
        <w:t>有急停按钮和手轮电子手刹，确保操作安全</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18.配备2套同品牌刀架和刀座，配备2盒同品牌切片刀片；</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19.</w:t>
      </w:r>
      <w:r>
        <w:rPr>
          <w:rFonts w:hint="eastAsia" w:ascii="方正仿宋_GBK" w:hAnsi="宋体" w:eastAsia="方正仿宋_GBK"/>
          <w:sz w:val="24"/>
          <w:szCs w:val="24"/>
        </w:rPr>
        <w:t>可视信号和声音信号提示剩余进样距离</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20.配备环保的石蜡</w:t>
      </w:r>
      <w:r>
        <w:rPr>
          <w:rFonts w:hint="eastAsia" w:ascii="方正仿宋_GBK" w:hAnsi="宋体" w:eastAsia="方正仿宋_GBK"/>
          <w:sz w:val="24"/>
          <w:szCs w:val="24"/>
        </w:rPr>
        <w:t>清洁</w:t>
      </w:r>
      <w:r>
        <w:rPr>
          <w:rFonts w:hint="eastAsia" w:ascii="方正仿宋_GBK" w:hAnsi="宋体" w:eastAsia="方正仿宋_GBK"/>
          <w:sz w:val="24"/>
          <w:szCs w:val="24"/>
          <w:lang w:val="en-US" w:eastAsia="zh-CN"/>
        </w:rPr>
        <w:t>剂。</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lang w:eastAsia="zh-CN"/>
        </w:rPr>
        <w:t>）</w:t>
      </w:r>
      <w:r>
        <w:rPr>
          <w:rFonts w:hint="eastAsia" w:ascii="方正仿宋_GBK" w:hAnsi="宋体" w:eastAsia="方正仿宋_GBK"/>
          <w:sz w:val="24"/>
          <w:szCs w:val="24"/>
        </w:rPr>
        <w:t>组织包埋机</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1.石蜡出口控制夹可旋转，高度可调</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2.旋钮精确调节石蜡的流量</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3.工作台面可供预热≥20个包埋盒模子，热台可容纳≥100个包埋盒</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*4.预热的废蜡槽≥2个，并可拆卸，石蜡缸≤4.5升</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5.石蜡槽，工作台面与内置预热槽的温度范围：≥50℃～75℃，调节精度1℃</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*6.冷台具备环境自适应温度控制模块，可确保工作温度随环境温度变化而始终稳定在 -6℃ ，速冷点面积≥6cm*6cm</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*7.金属外壳，具备同品牌独立控温加热镊，控温范围+15～+40℃</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*8.采用≥5.5寸LCD触摸屏，无子菜单设计，所有信息一目了然，支持戴手套操作</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9</w:t>
      </w:r>
      <w:r>
        <w:rPr>
          <w:rFonts w:hint="eastAsia" w:ascii="方正仿宋_GBK" w:hAnsi="宋体" w:eastAsia="方正仿宋_GBK"/>
          <w:sz w:val="24"/>
          <w:szCs w:val="24"/>
          <w:lang w:val="en-US" w:eastAsia="zh-CN"/>
        </w:rPr>
        <w:t>.</w:t>
      </w:r>
      <w:r>
        <w:rPr>
          <w:rFonts w:hint="eastAsia" w:ascii="方正仿宋_GBK" w:hAnsi="宋体" w:eastAsia="方正仿宋_GBK"/>
          <w:sz w:val="24"/>
          <w:szCs w:val="24"/>
        </w:rPr>
        <w:t>预热槽和冷台在同一水平线上</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10</w:t>
      </w:r>
      <w:r>
        <w:rPr>
          <w:rFonts w:hint="eastAsia" w:ascii="方正仿宋_GBK" w:hAnsi="宋体" w:eastAsia="方正仿宋_GBK"/>
          <w:sz w:val="24"/>
          <w:szCs w:val="24"/>
          <w:lang w:val="en-US" w:eastAsia="zh-CN"/>
        </w:rPr>
        <w:t>.</w:t>
      </w:r>
      <w:r>
        <w:rPr>
          <w:rFonts w:hint="eastAsia" w:ascii="方正仿宋_GBK" w:hAnsi="宋体" w:eastAsia="方正仿宋_GBK"/>
          <w:sz w:val="24"/>
          <w:szCs w:val="24"/>
        </w:rPr>
        <w:t>包埋模子与预热槽可</w:t>
      </w:r>
      <w:r>
        <w:rPr>
          <w:rFonts w:hint="eastAsia" w:ascii="方正仿宋_GBK" w:hAnsi="宋体" w:eastAsia="方正仿宋_GBK"/>
          <w:sz w:val="24"/>
          <w:szCs w:val="24"/>
          <w:lang w:val="en-US" w:eastAsia="zh-CN"/>
        </w:rPr>
        <w:t>拆卸并互换</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val="en-US" w:eastAsia="zh-CN"/>
        </w:rPr>
        <w:t>11.</w:t>
      </w:r>
      <w:r>
        <w:rPr>
          <w:rFonts w:hint="eastAsia" w:ascii="方正仿宋_GBK" w:hAnsi="宋体" w:eastAsia="方正仿宋_GBK"/>
          <w:sz w:val="24"/>
          <w:szCs w:val="24"/>
        </w:rPr>
        <w:t>排蜡系统配有≥8个排蜡孔，避免石蜡在工作台面上聚集，方便清理</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12</w:t>
      </w:r>
      <w:r>
        <w:rPr>
          <w:rFonts w:hint="eastAsia" w:ascii="方正仿宋_GBK" w:hAnsi="宋体" w:eastAsia="方正仿宋_GBK"/>
          <w:sz w:val="24"/>
          <w:szCs w:val="24"/>
          <w:lang w:val="en-US" w:eastAsia="zh-CN"/>
        </w:rPr>
        <w:t>.</w:t>
      </w:r>
      <w:r>
        <w:rPr>
          <w:rFonts w:hint="eastAsia" w:ascii="方正仿宋_GBK" w:hAnsi="宋体" w:eastAsia="方正仿宋_GBK"/>
          <w:sz w:val="24"/>
          <w:szCs w:val="24"/>
        </w:rPr>
        <w:t>镊子孔设计更好的支持弯头镊子和修蜡刀，加热镊子左右都方便取出</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13.配备相匹配的不锈钢包埋模具50个。</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lang w:eastAsia="zh-CN"/>
        </w:rPr>
        <w:t>）</w:t>
      </w:r>
      <w:r>
        <w:rPr>
          <w:rFonts w:hint="eastAsia" w:ascii="方正仿宋_GBK" w:hAnsi="宋体" w:eastAsia="方正仿宋_GBK"/>
          <w:sz w:val="24"/>
          <w:szCs w:val="24"/>
        </w:rPr>
        <w:t>病理组织漂烘仪</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1.采用模块化设计，漂片、烘片、烤片三部分</w:t>
      </w:r>
      <w:r>
        <w:rPr>
          <w:rFonts w:hint="eastAsia" w:ascii="方正仿宋_GBK" w:hAnsi="宋体" w:eastAsia="方正仿宋_GBK"/>
          <w:sz w:val="24"/>
          <w:szCs w:val="24"/>
          <w:lang w:val="en-US" w:eastAsia="zh-CN"/>
        </w:rPr>
        <w:t>均能够</w:t>
      </w:r>
      <w:r>
        <w:rPr>
          <w:rFonts w:hint="eastAsia" w:ascii="方正仿宋_GBK" w:hAnsi="宋体" w:eastAsia="方正仿宋_GBK"/>
          <w:sz w:val="24"/>
          <w:szCs w:val="24"/>
        </w:rPr>
        <w:t>独立精确温度控制</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2.黑色的搪瓷聚合物漂片槽，捞片时对比清楚</w:t>
      </w:r>
      <w:r>
        <w:rPr>
          <w:rFonts w:hint="eastAsia" w:ascii="方正仿宋_GBK" w:hAnsi="宋体" w:eastAsia="方正仿宋_GBK"/>
          <w:sz w:val="24"/>
          <w:szCs w:val="24"/>
          <w:lang w:eastAsia="zh-CN"/>
        </w:rPr>
        <w:t>，</w:t>
      </w:r>
      <w:r>
        <w:rPr>
          <w:rFonts w:hint="eastAsia" w:ascii="方正仿宋_GBK" w:hAnsi="宋体" w:eastAsia="方正仿宋_GBK"/>
          <w:sz w:val="24"/>
          <w:szCs w:val="24"/>
        </w:rPr>
        <w:t>方便操作</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*3.瓦楞状烘片槽设计</w:t>
      </w:r>
      <w:r>
        <w:rPr>
          <w:rFonts w:hint="eastAsia" w:ascii="方正仿宋_GBK" w:hAnsi="宋体" w:eastAsia="方正仿宋_GBK"/>
          <w:sz w:val="24"/>
          <w:szCs w:val="24"/>
          <w:lang w:eastAsia="zh-CN"/>
        </w:rPr>
        <w:t>，</w:t>
      </w:r>
      <w:r>
        <w:rPr>
          <w:rFonts w:hint="eastAsia" w:ascii="方正仿宋_GBK" w:hAnsi="宋体" w:eastAsia="方正仿宋_GBK"/>
          <w:sz w:val="24"/>
          <w:szCs w:val="24"/>
        </w:rPr>
        <w:t>玻片呈60°斜角插入，方便实际操作，同时可处理</w:t>
      </w:r>
      <w:r>
        <w:rPr>
          <w:rFonts w:hint="eastAsia" w:ascii="方正仿宋_GBK" w:hAnsi="宋体" w:eastAsia="方正仿宋_GBK"/>
          <w:sz w:val="24"/>
          <w:szCs w:val="24"/>
          <w:lang w:val="en-US" w:eastAsia="zh-CN"/>
        </w:rPr>
        <w:t>≥</w:t>
      </w:r>
      <w:r>
        <w:rPr>
          <w:rFonts w:hint="eastAsia" w:ascii="方正仿宋_GBK" w:hAnsi="宋体" w:eastAsia="方正仿宋_GBK"/>
          <w:sz w:val="24"/>
          <w:szCs w:val="24"/>
        </w:rPr>
        <w:t>70块玻片</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*4.烤片室可容纳3个30至40片的染色架，也可同时放入2个250ml的烧杯融蜡，能满足大批量工作需求</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5.烤片室可根据温度设定不同的烤片时间，有声音报警</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6.温控范围：漂片、烘片、烤片三部份均为常温～99℃可调，自动恒温</w:t>
      </w:r>
      <w:r>
        <w:rPr>
          <w:rFonts w:hint="eastAsia" w:ascii="方正仿宋_GBK" w:hAnsi="宋体" w:eastAsia="方正仿宋_GBK"/>
          <w:sz w:val="24"/>
          <w:szCs w:val="24"/>
          <w:lang w:eastAsia="zh-CN"/>
        </w:rPr>
        <w:t>。</w:t>
      </w:r>
    </w:p>
    <w:p>
      <w:pPr>
        <w:spacing w:line="400" w:lineRule="exact"/>
        <w:ind w:firstLine="480" w:firstLineChars="200"/>
        <w:rPr>
          <w:rFonts w:hint="eastAsia" w:ascii="方正仿宋_GBK" w:hAnsi="宋体" w:eastAsia="方正仿宋_GBK"/>
          <w:sz w:val="24"/>
          <w:szCs w:val="24"/>
        </w:rPr>
        <w:sectPr>
          <w:footerReference r:id="rId8" w:type="default"/>
          <w:footerReference r:id="rId9" w:type="even"/>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方正仿宋_GBK" w:hAnsi="Times New Roman" w:eastAsia="方正仿宋_GBK" w:cs="Times New Roman"/>
          <w:b/>
          <w:sz w:val="44"/>
          <w:szCs w:val="20"/>
          <w:lang w:val="en-US" w:eastAsia="zh-CN"/>
        </w:rPr>
      </w:pPr>
      <w:bookmarkStart w:id="70" w:name="_Toc7791"/>
      <w:bookmarkStart w:id="71" w:name="_Toc106030882"/>
      <w:bookmarkStart w:id="72" w:name="_Toc17400"/>
      <w:bookmarkStart w:id="73" w:name="_Toc76462327"/>
      <w:r>
        <w:rPr>
          <w:rFonts w:hint="eastAsia" w:ascii="方正仿宋_GBK" w:hAnsi="Times New Roman" w:eastAsia="方正仿宋_GBK" w:cs="Times New Roman"/>
          <w:b/>
          <w:sz w:val="44"/>
          <w:szCs w:val="20"/>
          <w:lang w:val="en-US" w:eastAsia="zh-CN"/>
        </w:rPr>
        <w:t xml:space="preserve">第三篇  </w:t>
      </w:r>
      <w:bookmarkEnd w:id="64"/>
      <w:r>
        <w:rPr>
          <w:rFonts w:hint="eastAsia" w:ascii="方正仿宋_GBK" w:hAnsi="Times New Roman" w:eastAsia="方正仿宋_GBK" w:cs="Times New Roman"/>
          <w:b/>
          <w:sz w:val="44"/>
          <w:szCs w:val="20"/>
          <w:lang w:val="en-US" w:eastAsia="zh-CN"/>
        </w:rPr>
        <w:t>项目商务需求</w:t>
      </w:r>
      <w:bookmarkEnd w:id="70"/>
      <w:bookmarkEnd w:id="71"/>
      <w:bookmarkEnd w:id="72"/>
      <w:bookmarkEnd w:id="73"/>
    </w:p>
    <w:tbl>
      <w:tblPr>
        <w:tblStyle w:val="57"/>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2"/>
              <w:keepNext w:val="0"/>
              <w:keepLines w:val="0"/>
              <w:pageBreakBefore w:val="0"/>
              <w:widowControl/>
              <w:kinsoku/>
              <w:wordWrap/>
              <w:overflowPunct/>
              <w:topLinePunct w:val="0"/>
              <w:autoSpaceDE/>
              <w:autoSpaceDN/>
              <w:bidi w:val="0"/>
              <w:adjustRightInd/>
              <w:snapToGrid/>
              <w:spacing w:line="400" w:lineRule="exact"/>
              <w:ind w:firstLine="560" w:firstLineChars="200"/>
              <w:jc w:val="center"/>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交货时间、交货地点及验收方式</w:t>
            </w:r>
          </w:p>
        </w:tc>
        <w:tc>
          <w:tcPr>
            <w:tcW w:w="4277" w:type="pct"/>
            <w:vAlign w:val="center"/>
          </w:tcPr>
          <w:p>
            <w:pPr>
              <w:pStyle w:val="142"/>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b w:val="0"/>
                <w:bCs w:val="0"/>
                <w:kern w:val="2"/>
                <w:sz w:val="24"/>
                <w:szCs w:val="24"/>
                <w:lang w:val="en-US" w:eastAsia="zh-CN" w:bidi="ar-SA"/>
              </w:rPr>
              <w:t>交货时间：</w:t>
            </w:r>
            <w:r>
              <w:rPr>
                <w:rFonts w:hint="eastAsia" w:ascii="方正仿宋_GBK" w:hAnsi="宋体" w:eastAsia="方正仿宋_GBK"/>
                <w:sz w:val="24"/>
                <w:szCs w:val="24"/>
              </w:rPr>
              <w:t>采购合同签订后</w:t>
            </w:r>
            <w:r>
              <w:rPr>
                <w:rFonts w:hint="eastAsia" w:ascii="方正仿宋_GBK" w:hAnsi="宋体" w:eastAsia="方正仿宋_GBK"/>
                <w:sz w:val="24"/>
                <w:szCs w:val="24"/>
                <w:lang w:val="en-US" w:eastAsia="zh-CN"/>
              </w:rPr>
              <w:t>30</w:t>
            </w:r>
            <w:r>
              <w:rPr>
                <w:rFonts w:hint="eastAsia" w:ascii="方正仿宋_GBK" w:hAnsi="宋体" w:eastAsia="方正仿宋_GBK"/>
                <w:sz w:val="24"/>
                <w:szCs w:val="24"/>
              </w:rPr>
              <w:t>个日历日内交货，并完成安装调试</w:t>
            </w:r>
            <w:r>
              <w:rPr>
                <w:rFonts w:hint="eastAsia" w:ascii="方正仿宋_GBK" w:hAnsi="宋体" w:eastAsia="方正仿宋_GBK"/>
                <w:sz w:val="24"/>
                <w:szCs w:val="24"/>
                <w:lang w:val="en-US" w:eastAsia="zh-CN"/>
              </w:rPr>
              <w:t>验收合格</w:t>
            </w:r>
            <w:r>
              <w:rPr>
                <w:rFonts w:hint="eastAsia" w:ascii="方正仿宋_GBK" w:hAnsi="宋体" w:eastAsia="方正仿宋_GBK"/>
                <w:sz w:val="24"/>
                <w:szCs w:val="24"/>
              </w:rPr>
              <w:t>。</w:t>
            </w:r>
          </w:p>
          <w:p>
            <w:pPr>
              <w:pStyle w:val="142"/>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default"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b w:val="0"/>
                <w:bCs w:val="0"/>
                <w:kern w:val="2"/>
                <w:sz w:val="24"/>
                <w:szCs w:val="24"/>
                <w:lang w:val="en-US" w:eastAsia="zh-CN" w:bidi="ar-SA"/>
              </w:rPr>
              <w:t>交货地点：重庆医科大学附属儿童医院</w:t>
            </w:r>
          </w:p>
          <w:p>
            <w:pPr>
              <w:spacing w:line="400" w:lineRule="exact"/>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b w:val="0"/>
                <w:bCs w:val="0"/>
                <w:kern w:val="2"/>
                <w:sz w:val="24"/>
                <w:szCs w:val="24"/>
                <w:lang w:val="en-US" w:eastAsia="zh-CN" w:bidi="ar-SA"/>
              </w:rPr>
              <w:t>验收方式：</w:t>
            </w:r>
          </w:p>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lang w:eastAsia="zh-CN"/>
              </w:rPr>
              <w:t>）</w:t>
            </w:r>
            <w:r>
              <w:rPr>
                <w:rFonts w:hint="eastAsia" w:ascii="方正仿宋_GBK" w:hAnsi="宋体" w:eastAsia="方正仿宋_GBK"/>
                <w:sz w:val="24"/>
                <w:szCs w:val="24"/>
              </w:rPr>
              <w:t>货物到达现场后，</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应经采购人或其指定验收单位清点品名、规格、数量；检查外观，作出</w:t>
            </w:r>
            <w:r>
              <w:rPr>
                <w:rFonts w:hint="eastAsia" w:ascii="方正仿宋_GBK" w:hAnsi="宋体" w:eastAsia="方正仿宋_GBK"/>
                <w:sz w:val="24"/>
                <w:szCs w:val="24"/>
                <w:lang w:val="en-US" w:eastAsia="zh-CN"/>
              </w:rPr>
              <w:t>表面</w:t>
            </w:r>
            <w:r>
              <w:rPr>
                <w:rFonts w:hint="eastAsia" w:ascii="方正仿宋_GBK" w:hAnsi="宋体" w:eastAsia="方正仿宋_GBK"/>
                <w:sz w:val="24"/>
                <w:szCs w:val="24"/>
              </w:rPr>
              <w:t>验收记录，双方签字确认。</w:t>
            </w:r>
          </w:p>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应保证货物到达用户所在地完好无损，如有缺漏、损坏，由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负责调换、补齐或赔偿。</w:t>
            </w:r>
          </w:p>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应提供完备的技术资料、装箱单和合格证等，并派遣专业技术人员进行现场安装调试。验收合格条件如下：</w:t>
            </w:r>
          </w:p>
          <w:p>
            <w:pPr>
              <w:spacing w:line="400" w:lineRule="exact"/>
              <w:ind w:firstLine="240" w:firstLineChars="100"/>
              <w:rPr>
                <w:rFonts w:hint="eastAsia" w:ascii="方正仿宋_GBK" w:hAnsi="宋体" w:eastAsia="方正仿宋_GBK"/>
                <w:sz w:val="24"/>
                <w:szCs w:val="24"/>
              </w:rPr>
            </w:pPr>
            <w:r>
              <w:rPr>
                <w:rFonts w:hint="eastAsia" w:ascii="方正仿宋_GBK" w:hAnsi="宋体" w:eastAsia="方正仿宋_GBK"/>
                <w:sz w:val="24"/>
                <w:szCs w:val="24"/>
                <w:lang w:val="en-US" w:eastAsia="zh-CN"/>
              </w:rPr>
              <w:t>1.</w:t>
            </w:r>
            <w:r>
              <w:rPr>
                <w:rFonts w:hint="eastAsia" w:ascii="方正仿宋_GBK" w:hAnsi="宋体" w:eastAsia="方正仿宋_GBK"/>
                <w:sz w:val="24"/>
                <w:szCs w:val="24"/>
              </w:rPr>
              <w:t>设备品种、规格、数量、技术参数以及商品品牌、制造商等与采购合同一致，性能指标达到规定的标准。</w:t>
            </w:r>
          </w:p>
          <w:p>
            <w:pPr>
              <w:spacing w:line="400" w:lineRule="exact"/>
              <w:ind w:firstLine="240" w:firstLineChars="100"/>
              <w:rPr>
                <w:rFonts w:hint="eastAsia" w:ascii="方正仿宋_GBK" w:hAnsi="宋体" w:eastAsia="方正仿宋_GBK"/>
                <w:sz w:val="24"/>
                <w:szCs w:val="24"/>
              </w:rPr>
            </w:pP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货物技术资料、装箱单、合格证等资料齐全。</w:t>
            </w:r>
          </w:p>
          <w:p>
            <w:pPr>
              <w:spacing w:line="400" w:lineRule="exact"/>
              <w:ind w:firstLine="240" w:firstLineChars="100"/>
              <w:rPr>
                <w:rFonts w:hint="eastAsia" w:ascii="方正仿宋_GBK" w:hAnsi="宋体" w:eastAsia="方正仿宋_GBK"/>
                <w:sz w:val="24"/>
                <w:szCs w:val="24"/>
              </w:rPr>
            </w:pPr>
            <w:r>
              <w:rPr>
                <w:rFonts w:hint="eastAsia" w:ascii="方正仿宋_GBK" w:hAnsi="宋体" w:eastAsia="方正仿宋_GBK"/>
                <w:sz w:val="24"/>
                <w:szCs w:val="24"/>
                <w:lang w:val="en-US" w:eastAsia="zh-CN"/>
              </w:rPr>
              <w:t>3.</w:t>
            </w:r>
            <w:r>
              <w:rPr>
                <w:rFonts w:hint="eastAsia" w:ascii="方正仿宋_GBK" w:hAnsi="宋体" w:eastAsia="方正仿宋_GBK"/>
                <w:sz w:val="24"/>
                <w:szCs w:val="24"/>
              </w:rPr>
              <w:t>在规定时间内完成交货并验收，并经采购人确认。</w:t>
            </w:r>
          </w:p>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提供的货物未达到竞争性谈判规定要求，且对采购人造成损失的，由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承担一切责任，并赔偿所造成的损失。</w:t>
            </w:r>
          </w:p>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lang w:eastAsia="zh-CN"/>
              </w:rPr>
              <w:t>）</w:t>
            </w:r>
            <w:r>
              <w:rPr>
                <w:rFonts w:hint="eastAsia" w:ascii="方正仿宋_GBK" w:hAnsi="宋体" w:eastAsia="方正仿宋_GBK"/>
                <w:sz w:val="24"/>
                <w:szCs w:val="24"/>
              </w:rPr>
              <w:t>采购人需要制造商对</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交付的产品（包括质量、技术参数等）进行确认的，制造商应予以配合，并出具书面意见。</w:t>
            </w:r>
          </w:p>
          <w:p>
            <w:pPr>
              <w:pStyle w:val="142"/>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eastAsia" w:ascii="方正仿宋_GBK" w:hAnsi="宋体" w:eastAsia="方正仿宋_GBK" w:cs="Times New Roman"/>
                <w:b w:val="0"/>
                <w:bCs w:val="0"/>
                <w:kern w:val="2"/>
                <w:sz w:val="24"/>
                <w:szCs w:val="24"/>
                <w:lang w:val="en-US"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lang w:eastAsia="zh-CN"/>
              </w:rPr>
              <w:t>）</w:t>
            </w:r>
            <w:r>
              <w:rPr>
                <w:rFonts w:hint="eastAsia" w:ascii="方正仿宋_GBK" w:hAnsi="宋体" w:eastAsia="方正仿宋_GBK"/>
                <w:sz w:val="24"/>
                <w:szCs w:val="24"/>
              </w:rPr>
              <w:t>产品包装材料归采购人所有。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widowControl/>
              <w:adjustRightInd w:val="0"/>
              <w:snapToGrid w:val="0"/>
              <w:spacing w:line="400" w:lineRule="exact"/>
              <w:ind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质量保证及售后服务</w:t>
            </w:r>
          </w:p>
        </w:tc>
        <w:tc>
          <w:tcPr>
            <w:tcW w:w="4277" w:type="pct"/>
            <w:vAlign w:val="center"/>
          </w:tcPr>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rPr>
              <w:t>（一）产品质量保证期：自验收合格之日起，提供</w:t>
            </w:r>
            <w:r>
              <w:rPr>
                <w:rFonts w:hint="eastAsia" w:ascii="方正仿宋_GBK" w:hAnsi="宋体" w:eastAsia="方正仿宋_GBK"/>
                <w:sz w:val="24"/>
                <w:szCs w:val="24"/>
                <w:lang w:val="en-US" w:eastAsia="zh-CN"/>
              </w:rPr>
              <w:t>不低于三</w:t>
            </w:r>
            <w:r>
              <w:rPr>
                <w:rFonts w:hint="eastAsia" w:ascii="方正仿宋_GBK" w:hAnsi="宋体" w:eastAsia="方正仿宋_GBK"/>
                <w:sz w:val="24"/>
                <w:szCs w:val="24"/>
              </w:rPr>
              <w:t>年的免费质保期。</w:t>
            </w:r>
            <w:r>
              <w:rPr>
                <w:rFonts w:hint="eastAsia" w:ascii="方正仿宋_GBK" w:hAnsi="宋体" w:eastAsia="方正仿宋_GBK" w:cs="宋体"/>
                <w:kern w:val="0"/>
                <w:sz w:val="24"/>
                <w:szCs w:val="24"/>
              </w:rPr>
              <w:t>（提示：若为分段验收的，应明确</w:t>
            </w:r>
            <w:r>
              <w:rPr>
                <w:rFonts w:hint="eastAsia" w:ascii="方正仿宋_GBK" w:hAnsi="宋体" w:eastAsia="方正仿宋_GBK"/>
                <w:sz w:val="24"/>
                <w:szCs w:val="24"/>
              </w:rPr>
              <w:t>验收合格之日所属阶段</w:t>
            </w:r>
            <w:r>
              <w:rPr>
                <w:rFonts w:hint="eastAsia" w:ascii="方正仿宋_GBK" w:hAnsi="宋体" w:eastAsia="方正仿宋_GBK" w:cs="宋体"/>
                <w:kern w:val="0"/>
                <w:sz w:val="24"/>
                <w:szCs w:val="24"/>
              </w:rPr>
              <w:t>）</w:t>
            </w:r>
          </w:p>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rPr>
              <w:t>（二）售后服务内容</w:t>
            </w:r>
          </w:p>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在质量保证期内应当为采购人提供以下技术支持服务：</w:t>
            </w:r>
          </w:p>
          <w:p>
            <w:pPr>
              <w:spacing w:line="400" w:lineRule="exact"/>
              <w:ind w:firstLine="240" w:firstLineChars="100"/>
              <w:outlineLvl w:val="2"/>
              <w:rPr>
                <w:rFonts w:hint="eastAsia" w:ascii="方正仿宋_GBK" w:hAnsi="宋体" w:eastAsia="方正仿宋_GBK"/>
                <w:sz w:val="24"/>
                <w:szCs w:val="24"/>
              </w:rPr>
            </w:pPr>
            <w:r>
              <w:rPr>
                <w:rFonts w:hint="eastAsia" w:ascii="方正仿宋_GBK" w:hAnsi="宋体" w:eastAsia="方正仿宋_GBK"/>
                <w:sz w:val="24"/>
                <w:szCs w:val="24"/>
              </w:rPr>
              <w:t>1.质量保证期内服务要求</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1.1电话咨询</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应当为用户提供技术援助电话，解答用户在使用中遇到的问题，及时为用户提出解决问题的建议。</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1.2现场响应</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用户遇到使用及技术问题，电话咨询不能解决的，</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或制造商应在</w:t>
            </w: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小时内采取相应响应措施；无法在</w:t>
            </w: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小时内解决的，应在</w:t>
            </w:r>
            <w:r>
              <w:rPr>
                <w:rFonts w:hint="eastAsia" w:ascii="方正仿宋_GBK" w:hAnsi="宋体" w:eastAsia="方正仿宋_GBK"/>
                <w:sz w:val="24"/>
                <w:szCs w:val="24"/>
                <w:lang w:val="en-US" w:eastAsia="zh-CN"/>
              </w:rPr>
              <w:t>12</w:t>
            </w:r>
            <w:r>
              <w:rPr>
                <w:rFonts w:hint="eastAsia" w:ascii="方正仿宋_GBK" w:hAnsi="宋体" w:eastAsia="方正仿宋_GBK"/>
                <w:sz w:val="24"/>
                <w:szCs w:val="24"/>
              </w:rPr>
              <w:t>小时内派出专业人员进行技术支持。</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1.3技术升级</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在质保期内，如果</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的产品技术升级，</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应及时通知采购人，如采购人有相应要求，</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应对采购人进行</w:t>
            </w:r>
            <w:r>
              <w:rPr>
                <w:rFonts w:hint="eastAsia" w:ascii="方正仿宋_GBK" w:hAnsi="宋体" w:eastAsia="方正仿宋_GBK"/>
                <w:sz w:val="24"/>
                <w:szCs w:val="24"/>
                <w:lang w:val="en-US" w:eastAsia="zh-CN"/>
              </w:rPr>
              <w:t>无条件免费</w:t>
            </w:r>
            <w:r>
              <w:rPr>
                <w:rFonts w:hint="eastAsia" w:ascii="方正仿宋_GBK" w:hAnsi="宋体" w:eastAsia="方正仿宋_GBK"/>
                <w:sz w:val="24"/>
                <w:szCs w:val="24"/>
              </w:rPr>
              <w:t>升级服务。</w:t>
            </w:r>
          </w:p>
          <w:p>
            <w:pPr>
              <w:spacing w:line="400" w:lineRule="exact"/>
              <w:ind w:firstLine="240" w:firstLineChars="100"/>
              <w:outlineLvl w:val="2"/>
              <w:rPr>
                <w:rFonts w:hint="eastAsia" w:ascii="方正仿宋_GBK" w:hAnsi="宋体" w:eastAsia="方正仿宋_GBK"/>
                <w:sz w:val="24"/>
                <w:szCs w:val="24"/>
              </w:rPr>
            </w:pPr>
            <w:r>
              <w:rPr>
                <w:rFonts w:hint="eastAsia" w:ascii="方正仿宋_GBK" w:hAnsi="宋体" w:eastAsia="方正仿宋_GBK"/>
                <w:sz w:val="24"/>
                <w:szCs w:val="24"/>
              </w:rPr>
              <w:t>2.质保期外服务要求</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2.1质量保证期过后，</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应同样提供免费电话咨询服务，并应承诺提供产品上门维护服务。</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2.2质量保证期过后，采购人需要继续由原</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提供售后服务的，</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应以优惠价格提供售后服务。</w:t>
            </w:r>
          </w:p>
          <w:p>
            <w:pPr>
              <w:snapToGrid w:val="0"/>
              <w:spacing w:line="400" w:lineRule="exact"/>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（三）备品备件及易损件</w:t>
            </w:r>
          </w:p>
          <w:p>
            <w:pPr>
              <w:pStyle w:val="142"/>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售后服务中，维修使用的备品备件及易损件应为原厂配件，未经采购</w:t>
            </w:r>
          </w:p>
          <w:p>
            <w:pPr>
              <w:pStyle w:val="142"/>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人同意不得使用非原厂配件。</w:t>
            </w:r>
          </w:p>
          <w:p>
            <w:pPr>
              <w:pStyle w:val="142"/>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cs="宋体"/>
                <w:kern w:val="0"/>
                <w:sz w:val="24"/>
                <w:szCs w:val="24"/>
                <w:lang w:val="de-DE"/>
              </w:rPr>
              <w:t>进口设备需提供报关单、产品核酸检测报告、消杀证明</w:t>
            </w:r>
            <w:r>
              <w:rPr>
                <w:rFonts w:hint="eastAsia" w:ascii="方正仿宋_GBK" w:hAnsi="宋体" w:eastAsia="方正仿宋_GBK" w:cs="宋体"/>
                <w:kern w:val="0"/>
                <w:sz w:val="24"/>
                <w:szCs w:val="24"/>
                <w:lang w:val="de-DE"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2"/>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报价要求</w:t>
            </w:r>
          </w:p>
        </w:tc>
        <w:tc>
          <w:tcPr>
            <w:tcW w:w="4277" w:type="pct"/>
            <w:vAlign w:val="center"/>
          </w:tcPr>
          <w:p>
            <w:pPr>
              <w:pStyle w:val="142"/>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rPr>
              <w:t>谈判报价</w:t>
            </w:r>
            <w:r>
              <w:rPr>
                <w:rFonts w:hint="eastAsia" w:ascii="方正仿宋_GBK" w:hAnsi="宋体" w:eastAsia="方正仿宋_GBK" w:cs="宋体"/>
                <w:kern w:val="0"/>
                <w:sz w:val="24"/>
                <w:szCs w:val="24"/>
              </w:rPr>
              <w:t>须为人民币报价</w:t>
            </w:r>
            <w:r>
              <w:rPr>
                <w:rFonts w:hint="eastAsia" w:ascii="方正仿宋_GBK" w:hAnsi="宋体" w:eastAsia="方正仿宋_GBK"/>
                <w:sz w:val="24"/>
                <w:szCs w:val="24"/>
              </w:rPr>
              <w:t>，包括完成本项目所需</w:t>
            </w:r>
            <w:r>
              <w:rPr>
                <w:rFonts w:hint="eastAsia" w:ascii="方正仿宋_GBK" w:hAnsi="宋体" w:eastAsia="方正仿宋_GBK"/>
                <w:sz w:val="24"/>
                <w:szCs w:val="24"/>
                <w:lang w:val="en-US" w:eastAsia="zh-CN"/>
              </w:rPr>
              <w:t>的所有费用</w:t>
            </w:r>
            <w:r>
              <w:rPr>
                <w:rFonts w:hint="eastAsia" w:ascii="方正仿宋_GBK" w:hAnsi="宋体" w:eastAsia="方正仿宋_GBK"/>
                <w:sz w:val="24"/>
                <w:szCs w:val="24"/>
              </w:rPr>
              <w:t>及各种应纳的税费。因</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付款方式</w:t>
            </w:r>
          </w:p>
        </w:tc>
        <w:tc>
          <w:tcPr>
            <w:tcW w:w="4277" w:type="pct"/>
            <w:vAlign w:val="center"/>
          </w:tcPr>
          <w:p>
            <w:pPr>
              <w:pStyle w:val="142"/>
              <w:snapToGrid w:val="0"/>
              <w:spacing w:line="400" w:lineRule="exact"/>
              <w:rPr>
                <w:rFonts w:hint="eastAsia" w:ascii="方正仿宋_GBK" w:hAnsi="宋体" w:eastAsia="方正仿宋_GBK" w:cs="Times New Roman"/>
                <w:kern w:val="2"/>
                <w:sz w:val="24"/>
                <w:szCs w:val="24"/>
              </w:rPr>
            </w:pPr>
            <w:r>
              <w:rPr>
                <w:rFonts w:hint="eastAsia" w:ascii="方正仿宋_GBK" w:hAnsi="宋体" w:eastAsia="方正仿宋_GBK" w:cs="Times New Roman"/>
                <w:kern w:val="2"/>
                <w:sz w:val="24"/>
                <w:szCs w:val="24"/>
                <w:lang w:val="en-US" w:eastAsia="zh-CN"/>
              </w:rPr>
              <w:t>（一）</w:t>
            </w:r>
            <w:r>
              <w:rPr>
                <w:rFonts w:hint="eastAsia" w:ascii="方正仿宋_GBK" w:hAnsi="宋体" w:eastAsia="方正仿宋_GBK" w:cs="Times New Roman"/>
                <w:kern w:val="2"/>
                <w:sz w:val="24"/>
                <w:szCs w:val="24"/>
              </w:rPr>
              <w:t>合同签订时</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rPr>
              <w:t>向采购人缴纳合同金额</w:t>
            </w:r>
            <w:r>
              <w:rPr>
                <w:rFonts w:hint="eastAsia" w:ascii="方正仿宋_GBK" w:hAnsi="宋体" w:eastAsia="方正仿宋_GBK" w:cs="Times New Roman"/>
                <w:kern w:val="2"/>
                <w:sz w:val="24"/>
                <w:szCs w:val="24"/>
                <w:lang w:val="en-US" w:eastAsia="zh-CN"/>
              </w:rPr>
              <w:t>5</w:t>
            </w:r>
            <w:r>
              <w:rPr>
                <w:rFonts w:hint="eastAsia" w:ascii="方正仿宋_GBK" w:hAnsi="宋体" w:eastAsia="方正仿宋_GBK" w:cs="Times New Roman"/>
                <w:kern w:val="2"/>
                <w:sz w:val="24"/>
                <w:szCs w:val="24"/>
              </w:rPr>
              <w:t>%的履约保证金（以</w:t>
            </w:r>
            <w:r>
              <w:rPr>
                <w:rFonts w:hint="eastAsia" w:ascii="方正仿宋_GBK" w:hAnsi="宋体" w:eastAsia="方正仿宋_GBK" w:cs="Times New Roman"/>
                <w:kern w:val="2"/>
                <w:sz w:val="24"/>
                <w:szCs w:val="24"/>
                <w:lang w:val="en-US" w:eastAsia="zh-CN"/>
              </w:rPr>
              <w:t>银行转账方式</w:t>
            </w:r>
            <w:r>
              <w:rPr>
                <w:rFonts w:hint="eastAsia" w:ascii="方正仿宋_GBK" w:hAnsi="宋体" w:eastAsia="方正仿宋_GBK" w:cs="Times New Roman"/>
                <w:kern w:val="2"/>
                <w:sz w:val="24"/>
                <w:szCs w:val="24"/>
              </w:rPr>
              <w:t>提交）；</w:t>
            </w:r>
          </w:p>
          <w:p>
            <w:pPr>
              <w:pStyle w:val="142"/>
              <w:snapToGrid w:val="0"/>
              <w:spacing w:line="400" w:lineRule="exact"/>
              <w:rPr>
                <w:rFonts w:hint="eastAsia" w:ascii="方正仿宋_GBK" w:hAnsi="宋体" w:eastAsia="方正仿宋_GBK" w:cs="Times New Roman"/>
                <w:b w:val="0"/>
                <w:kern w:val="2"/>
                <w:sz w:val="24"/>
                <w:szCs w:val="24"/>
              </w:rPr>
            </w:pPr>
            <w:r>
              <w:rPr>
                <w:rFonts w:hint="eastAsia" w:ascii="方正仿宋_GBK" w:hAnsi="宋体" w:eastAsia="方正仿宋_GBK" w:cs="Times New Roman"/>
                <w:kern w:val="2"/>
                <w:sz w:val="24"/>
                <w:szCs w:val="24"/>
                <w:lang w:val="en-US" w:eastAsia="zh-CN"/>
              </w:rPr>
              <w:t>（二）合同签订后，</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rPr>
              <w:t>向采购人开具发票，采购人</w:t>
            </w:r>
            <w:r>
              <w:rPr>
                <w:rFonts w:hint="eastAsia" w:ascii="方正仿宋_GBK" w:hAnsi="宋体" w:eastAsia="方正仿宋_GBK" w:cs="Times New Roman"/>
                <w:kern w:val="2"/>
                <w:sz w:val="24"/>
                <w:szCs w:val="24"/>
                <w:lang w:val="en-US" w:eastAsia="zh-CN"/>
              </w:rPr>
              <w:t>收到发票后两个月内</w:t>
            </w:r>
            <w:r>
              <w:rPr>
                <w:rFonts w:hint="eastAsia" w:ascii="方正仿宋_GBK" w:hAnsi="宋体" w:eastAsia="方正仿宋_GBK" w:cs="Times New Roman"/>
                <w:kern w:val="2"/>
                <w:sz w:val="24"/>
                <w:szCs w:val="24"/>
              </w:rPr>
              <w:t>以转账方式向</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rPr>
              <w:t>支付</w:t>
            </w:r>
            <w:r>
              <w:rPr>
                <w:rFonts w:hint="eastAsia" w:ascii="方正仿宋_GBK" w:hAnsi="宋体" w:eastAsia="方正仿宋_GBK" w:cs="Times New Roman"/>
                <w:kern w:val="2"/>
                <w:sz w:val="24"/>
                <w:szCs w:val="24"/>
                <w:lang w:val="en-US" w:eastAsia="zh-CN"/>
              </w:rPr>
              <w:t>合同金额100%</w:t>
            </w:r>
            <w:r>
              <w:rPr>
                <w:rFonts w:hint="eastAsia" w:ascii="方正仿宋_GBK" w:hAnsi="宋体" w:eastAsia="方正仿宋_GBK" w:cs="Times New Roman"/>
                <w:kern w:val="2"/>
                <w:sz w:val="24"/>
                <w:szCs w:val="24"/>
              </w:rPr>
              <w:t>；</w:t>
            </w:r>
          </w:p>
          <w:p>
            <w:pPr>
              <w:rPr>
                <w:rFonts w:hint="eastAsia" w:ascii="方正仿宋_GBK" w:hAnsi="宋体" w:eastAsia="方正仿宋_GBK" w:cs="Times New Roman"/>
                <w:b w:val="0"/>
                <w:bCs w:val="0"/>
                <w:kern w:val="2"/>
                <w:sz w:val="24"/>
                <w:szCs w:val="24"/>
                <w:lang w:val="en-US" w:eastAsia="zh-CN"/>
              </w:rPr>
            </w:pPr>
            <w:r>
              <w:rPr>
                <w:rFonts w:hint="eastAsia" w:ascii="方正仿宋_GBK" w:hAnsi="宋体" w:eastAsia="方正仿宋_GBK" w:cs="Times New Roman"/>
                <w:kern w:val="2"/>
                <w:sz w:val="24"/>
                <w:szCs w:val="24"/>
                <w:lang w:val="en-US" w:eastAsia="zh-CN"/>
              </w:rPr>
              <w:t>（三）</w:t>
            </w:r>
            <w:r>
              <w:rPr>
                <w:rFonts w:hint="eastAsia" w:ascii="方正仿宋_GBK" w:hAnsi="宋体" w:eastAsia="方正仿宋_GBK" w:cs="Times New Roman"/>
                <w:kern w:val="2"/>
                <w:sz w:val="24"/>
                <w:szCs w:val="24"/>
              </w:rPr>
              <w:t>履约保证金</w:t>
            </w:r>
            <w:r>
              <w:rPr>
                <w:rFonts w:hint="eastAsia" w:ascii="方正仿宋_GBK" w:hAnsi="宋体" w:eastAsia="方正仿宋_GBK" w:cs="Times New Roman"/>
                <w:kern w:val="2"/>
                <w:sz w:val="24"/>
                <w:szCs w:val="24"/>
                <w:lang w:val="en-US" w:eastAsia="zh-CN"/>
              </w:rPr>
              <w:t>于验收合格一年后</w:t>
            </w:r>
            <w:r>
              <w:rPr>
                <w:rFonts w:hint="eastAsia" w:ascii="方正仿宋_GBK" w:hAnsi="宋体" w:eastAsia="方正仿宋_GBK" w:cs="Times New Roman"/>
                <w:kern w:val="2"/>
                <w:sz w:val="24"/>
                <w:szCs w:val="24"/>
              </w:rPr>
              <w:t>无息退还。</w:t>
            </w:r>
            <w:bookmarkStart w:id="192" w:name="_GoBack"/>
            <w:bookmarkEnd w:id="19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2"/>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知识产权</w:t>
            </w:r>
          </w:p>
        </w:tc>
        <w:tc>
          <w:tcPr>
            <w:tcW w:w="4277" w:type="pct"/>
            <w:vAlign w:val="center"/>
          </w:tcPr>
          <w:p>
            <w:pPr>
              <w:pStyle w:val="142"/>
              <w:spacing w:after="0" w:line="400" w:lineRule="exact"/>
              <w:ind w:firstLine="0" w:firstLineChars="0"/>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sz w:val="24"/>
                <w:szCs w:val="24"/>
              </w:rPr>
              <w:t>采购人在中华人民共和国境内使用</w:t>
            </w:r>
            <w:r>
              <w:rPr>
                <w:rFonts w:hint="eastAsia" w:ascii="方正仿宋_GBK" w:hAnsi="宋体" w:eastAsia="方正仿宋_GBK" w:cs="Times New Roman"/>
                <w:sz w:val="24"/>
                <w:szCs w:val="24"/>
                <w:lang w:eastAsia="zh-CN"/>
              </w:rPr>
              <w:t>成交供应商</w:t>
            </w:r>
            <w:r>
              <w:rPr>
                <w:rFonts w:hint="eastAsia" w:ascii="方正仿宋_GBK" w:hAnsi="宋体" w:eastAsia="方正仿宋_GBK" w:cs="Times New Roman"/>
                <w:sz w:val="24"/>
                <w:szCs w:val="24"/>
              </w:rPr>
              <w:t>提供的货物及服务时免受第三方提出的侵犯其专利权或其它知识产权的起诉。如果第三方提出侵权指控，</w:t>
            </w:r>
            <w:r>
              <w:rPr>
                <w:rFonts w:hint="eastAsia" w:ascii="方正仿宋_GBK" w:hAnsi="宋体" w:eastAsia="方正仿宋_GBK" w:cs="Times New Roman"/>
                <w:sz w:val="24"/>
                <w:szCs w:val="24"/>
                <w:lang w:eastAsia="zh-CN"/>
              </w:rPr>
              <w:t>成交供应商</w:t>
            </w:r>
            <w:r>
              <w:rPr>
                <w:rFonts w:hint="eastAsia" w:ascii="方正仿宋_GBK" w:hAnsi="宋体" w:eastAsia="方正仿宋_GBK" w:cs="Times New Roman"/>
                <w:sz w:val="24"/>
                <w:szCs w:val="24"/>
              </w:rPr>
              <w:t>应承担由此而引起的一切法律责任和</w:t>
            </w:r>
            <w:r>
              <w:rPr>
                <w:rFonts w:hint="eastAsia" w:ascii="方正仿宋_GBK" w:hAnsi="宋体" w:eastAsia="方正仿宋_GBK" w:cs="Times New Roman"/>
                <w:sz w:val="24"/>
                <w:szCs w:val="24"/>
                <w:lang w:val="en-US" w:eastAsia="zh-CN"/>
              </w:rPr>
              <w:t>经济责任及行政责任</w:t>
            </w:r>
            <w:r>
              <w:rPr>
                <w:rFonts w:hint="eastAsia" w:ascii="方正仿宋_GBK" w:hAnsi="宋体" w:eastAsia="方正仿宋_GBK" w:cs="Times New Roman"/>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2"/>
              <w:widowControl/>
              <w:adjustRightInd w:val="0"/>
              <w:snapToGrid w:val="0"/>
              <w:spacing w:line="400" w:lineRule="exact"/>
              <w:ind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培训</w:t>
            </w:r>
          </w:p>
        </w:tc>
        <w:tc>
          <w:tcPr>
            <w:tcW w:w="4277" w:type="pct"/>
            <w:vAlign w:val="center"/>
          </w:tcPr>
          <w:p>
            <w:pPr>
              <w:pStyle w:val="142"/>
              <w:spacing w:after="0" w:line="400" w:lineRule="exact"/>
              <w:ind w:firstLine="0" w:firstLineChars="0"/>
              <w:rPr>
                <w:rFonts w:hint="eastAsia" w:ascii="方正仿宋_GBK" w:hAnsi="宋体" w:eastAsia="方正仿宋_GBK" w:cs="Times New Roman"/>
                <w:sz w:val="24"/>
                <w:szCs w:val="24"/>
              </w:rPr>
            </w:pP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须提供对设备的操作培训，使相关使用人员能够正常</w:t>
            </w:r>
            <w:r>
              <w:rPr>
                <w:rFonts w:hint="eastAsia" w:ascii="方正仿宋_GBK" w:hAnsi="宋体" w:eastAsia="方正仿宋_GBK"/>
                <w:sz w:val="24"/>
                <w:szCs w:val="24"/>
                <w:lang w:val="en-US" w:eastAsia="zh-CN"/>
              </w:rPr>
              <w:t>熟练</w:t>
            </w:r>
            <w:r>
              <w:rPr>
                <w:rFonts w:hint="eastAsia" w:ascii="方正仿宋_GBK" w:hAnsi="宋体" w:eastAsia="方正仿宋_GBK"/>
                <w:sz w:val="24"/>
                <w:szCs w:val="24"/>
              </w:rPr>
              <w:t>操作相关设备。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其他</w:t>
            </w:r>
          </w:p>
        </w:tc>
        <w:tc>
          <w:tcPr>
            <w:tcW w:w="4277" w:type="pct"/>
            <w:vAlign w:val="center"/>
          </w:tcPr>
          <w:p>
            <w:pPr>
              <w:pStyle w:val="142"/>
              <w:snapToGrid w:val="0"/>
              <w:spacing w:line="400" w:lineRule="exact"/>
              <w:ind w:firstLine="0" w:firstLineChars="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（一）</w:t>
            </w:r>
            <w:r>
              <w:rPr>
                <w:rFonts w:hint="eastAsia" w:ascii="方正仿宋_GBK" w:hAnsi="宋体" w:eastAsia="方正仿宋_GBK" w:cs="Times New Roman"/>
                <w:sz w:val="24"/>
                <w:szCs w:val="24"/>
                <w:lang w:eastAsia="zh-CN"/>
              </w:rPr>
              <w:t>投标人</w:t>
            </w:r>
            <w:r>
              <w:rPr>
                <w:rFonts w:hint="eastAsia" w:ascii="方正仿宋_GBK" w:hAnsi="宋体" w:eastAsia="方正仿宋_GBK" w:cs="Times New Roman"/>
                <w:sz w:val="24"/>
                <w:szCs w:val="24"/>
              </w:rPr>
              <w:t>必须在响应文件中对以上条款和服务承诺明确列出，承诺内容必须达到本篇及</w:t>
            </w:r>
            <w:r>
              <w:rPr>
                <w:rFonts w:hint="eastAsia" w:ascii="方正仿宋_GBK" w:hAnsi="宋体" w:eastAsia="方正仿宋_GBK" w:cs="Times New Roman"/>
                <w:sz w:val="24"/>
                <w:szCs w:val="24"/>
                <w:lang w:val="en-US" w:eastAsia="zh-CN"/>
              </w:rPr>
              <w:t>协商</w:t>
            </w:r>
            <w:r>
              <w:rPr>
                <w:rFonts w:hint="eastAsia" w:ascii="方正仿宋_GBK" w:hAnsi="宋体" w:eastAsia="方正仿宋_GBK" w:cs="Times New Roman"/>
                <w:sz w:val="24"/>
                <w:szCs w:val="24"/>
              </w:rPr>
              <w:t>文件其他条款的要求。</w:t>
            </w:r>
          </w:p>
          <w:p>
            <w:pPr>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sz w:val="24"/>
                <w:szCs w:val="24"/>
                <w:lang w:val="en-US" w:eastAsia="zh-CN"/>
              </w:rPr>
              <w:t>（二）</w:t>
            </w:r>
            <w:r>
              <w:rPr>
                <w:rFonts w:hint="eastAsia" w:ascii="方正仿宋_GBK" w:hAnsi="宋体" w:eastAsia="方正仿宋_GBK" w:cs="Times New Roman"/>
                <w:sz w:val="24"/>
                <w:szCs w:val="24"/>
              </w:rPr>
              <w:t>其他未尽事宜由供需双方在采购合同中详细约定。</w:t>
            </w:r>
          </w:p>
        </w:tc>
      </w:tr>
    </w:tbl>
    <w:p>
      <w:pPr>
        <w:snapToGrid w:val="0"/>
        <w:spacing w:line="400" w:lineRule="exact"/>
        <w:ind w:firstLine="540"/>
        <w:rPr>
          <w:rFonts w:hint="eastAsia" w:ascii="方正仿宋_GBK" w:hAnsi="宋体" w:eastAsia="方正仿宋_GBK"/>
          <w:sz w:val="24"/>
          <w:szCs w:val="24"/>
        </w:rPr>
      </w:pPr>
    </w:p>
    <w:p>
      <w:pPr>
        <w:rPr>
          <w:rFonts w:hint="eastAsia" w:ascii="方正仿宋_GBK" w:hAnsi="Times New Roman" w:eastAsia="方正仿宋_GBK" w:cs="Times New Roman"/>
          <w:b/>
          <w:kern w:val="2"/>
          <w:sz w:val="44"/>
          <w:lang w:val="en-US" w:eastAsia="zh-CN" w:bidi="ar-SA"/>
        </w:rPr>
      </w:pPr>
      <w:bookmarkStart w:id="74" w:name="_Toc106030887"/>
      <w:bookmarkStart w:id="75" w:name="_Toc76462332"/>
      <w:bookmarkStart w:id="76" w:name="_Toc6692"/>
      <w:r>
        <w:rPr>
          <w:rFonts w:hint="eastAsia" w:ascii="方正仿宋_GBK" w:hAnsi="Times New Roman" w:eastAsia="方正仿宋_GBK" w:cs="Times New Roman"/>
          <w:b/>
          <w:kern w:val="2"/>
          <w:sz w:val="44"/>
          <w:lang w:val="en-US" w:eastAsia="zh-CN" w:bidi="ar-SA"/>
        </w:rPr>
        <w:br w:type="page"/>
      </w:r>
    </w:p>
    <w:p>
      <w:pPr>
        <w:pStyle w:val="4"/>
        <w:spacing w:before="200" w:after="200" w:line="240" w:lineRule="auto"/>
        <w:jc w:val="center"/>
        <w:rPr>
          <w:rFonts w:hint="eastAsia" w:ascii="方正仿宋_GBK" w:hAnsi="Times New Roman" w:eastAsia="方正仿宋_GBK" w:cs="Times New Roman"/>
          <w:b/>
          <w:sz w:val="44"/>
          <w:szCs w:val="20"/>
          <w:lang w:val="en-US" w:eastAsia="zh-CN"/>
        </w:rPr>
      </w:pPr>
      <w:bookmarkStart w:id="77" w:name="_Toc1801"/>
      <w:r>
        <w:rPr>
          <w:rFonts w:hint="eastAsia" w:ascii="方正仿宋_GBK" w:hAnsi="Times New Roman" w:eastAsia="方正仿宋_GBK" w:cs="Times New Roman"/>
          <w:b/>
          <w:sz w:val="44"/>
          <w:szCs w:val="20"/>
          <w:lang w:val="en-US" w:eastAsia="zh-CN"/>
        </w:rPr>
        <w:t>第四篇  磋商程序及方法、评审标准、无效响应和采购终止</w:t>
      </w:r>
      <w:bookmarkEnd w:id="74"/>
      <w:bookmarkEnd w:id="75"/>
      <w:bookmarkEnd w:id="76"/>
      <w:bookmarkEnd w:id="77"/>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78" w:name="_Toc76462333"/>
      <w:bookmarkStart w:id="79" w:name="_Toc106030888"/>
      <w:bookmarkStart w:id="80" w:name="_Toc10636"/>
      <w:bookmarkStart w:id="81" w:name="_Toc14958"/>
      <w:r>
        <w:rPr>
          <w:rFonts w:hint="eastAsia" w:ascii="方正仿宋_GBK" w:hAnsi="宋体" w:eastAsia="方正仿宋_GBK"/>
          <w:sz w:val="24"/>
        </w:rPr>
        <w:t>一、磋商程序及方法</w:t>
      </w:r>
      <w:bookmarkEnd w:id="78"/>
      <w:bookmarkEnd w:id="79"/>
      <w:bookmarkEnd w:id="80"/>
      <w:bookmarkEnd w:id="81"/>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（一）磋商按竞争性磋商文件规定的时间和地点进行，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须有法定代表人（或其授权代表）或自然人参加。竞争性磋商以抽签的形式确定磋商顺序，由本项目依法组建的竞争性磋商小组（以下简称磋商小组）分别与各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进行磋商。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（二）磋商小组对各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的资格条件进行审查。各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只有在完全符合要求的前提下，才能参与正式磋商。</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依据法律法规和竞争性磋商文件的规定，对响应文件中的资格证明等进行审查，以确定</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是否具备磋商资格。资格性审查资料表如下：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3118"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3118" w:type="dxa"/>
            <w:noWrap w:val="0"/>
            <w:vAlign w:val="center"/>
          </w:tcPr>
          <w:p>
            <w:pPr>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noWrap w:val="0"/>
            <w:vAlign w:val="center"/>
          </w:tcPr>
          <w:p>
            <w:pPr>
              <w:rPr>
                <w:rFonts w:hint="eastAsia" w:ascii="方正仿宋_GBK" w:hAnsi="仿宋" w:eastAsia="方正仿宋_GBK"/>
                <w:b/>
                <w:sz w:val="21"/>
                <w:szCs w:val="21"/>
              </w:rPr>
            </w:pP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3118" w:type="dxa"/>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noWrap w:val="0"/>
            <w:vAlign w:val="center"/>
          </w:tcPr>
          <w:p>
            <w:pPr>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3118" w:type="dxa"/>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noWrap w:val="0"/>
            <w:vAlign w:val="center"/>
          </w:tcPr>
          <w:p>
            <w:pPr>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3118" w:type="dxa"/>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noWrap w:val="0"/>
            <w:vAlign w:val="center"/>
          </w:tcPr>
          <w:p>
            <w:pPr>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rPr>
            </w:pPr>
          </w:p>
        </w:tc>
        <w:tc>
          <w:tcPr>
            <w:tcW w:w="3118"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noWrap w:val="0"/>
            <w:vAlign w:val="center"/>
          </w:tcPr>
          <w:p>
            <w:pPr>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rPr>
            </w:pPr>
          </w:p>
        </w:tc>
        <w:tc>
          <w:tcPr>
            <w:tcW w:w="3118"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709" w:type="dxa"/>
            <w:noWrap w:val="0"/>
            <w:vAlign w:val="top"/>
          </w:tcPr>
          <w:p>
            <w:pPr>
              <w:jc w:val="left"/>
              <w:rPr>
                <w:rFonts w:hint="eastAsia" w:ascii="方正仿宋_GBK" w:hAnsi="仿宋" w:eastAsia="方正仿宋_GBK" w:cs="仿宋_GB2312"/>
                <w:sz w:val="21"/>
                <w:szCs w:val="21"/>
              </w:rPr>
            </w:pPr>
            <w:r>
              <w:rPr>
                <w:rFonts w:hint="eastAsia" w:ascii="方正仿宋_GBK" w:hAnsi="仿宋" w:eastAsia="方正仿宋_GBK"/>
                <w:sz w:val="21"/>
                <w:szCs w:val="21"/>
              </w:rPr>
              <w:t>保证金</w:t>
            </w:r>
          </w:p>
        </w:tc>
        <w:tc>
          <w:tcPr>
            <w:tcW w:w="3118" w:type="dxa"/>
            <w:noWrap w:val="0"/>
            <w:vAlign w:val="top"/>
          </w:tcPr>
          <w:p>
            <w:pPr>
              <w:rPr>
                <w:rFonts w:hint="eastAsia" w:ascii="方正仿宋_GBK" w:hAnsi="仿宋" w:eastAsia="方正仿宋_GBK"/>
                <w:sz w:val="21"/>
                <w:szCs w:val="21"/>
              </w:rPr>
            </w:pPr>
          </w:p>
        </w:tc>
        <w:tc>
          <w:tcPr>
            <w:tcW w:w="4984" w:type="dxa"/>
            <w:noWrap w:val="0"/>
            <w:vAlign w:val="top"/>
          </w:tcPr>
          <w:p>
            <w:pPr>
              <w:jc w:val="left"/>
              <w:rPr>
                <w:rFonts w:hint="eastAsia" w:ascii="方正仿宋_GBK" w:hAnsi="仿宋" w:eastAsia="方正仿宋_GBK"/>
                <w:sz w:val="21"/>
                <w:szCs w:val="21"/>
              </w:rPr>
            </w:pPr>
            <w:r>
              <w:rPr>
                <w:rFonts w:hint="eastAsia" w:ascii="方正仿宋_GBK" w:hAnsi="仿宋" w:eastAsia="方正仿宋_GBK"/>
                <w:sz w:val="21"/>
                <w:szCs w:val="21"/>
              </w:rPr>
              <w:t>按照竞争性</w:t>
            </w:r>
            <w:r>
              <w:rPr>
                <w:rFonts w:hint="eastAsia" w:ascii="方正仿宋_GBK" w:hAnsi="仿宋" w:eastAsia="方正仿宋_GBK"/>
                <w:sz w:val="21"/>
                <w:szCs w:val="21"/>
                <w:lang w:val="en-US" w:eastAsia="zh-CN"/>
              </w:rPr>
              <w:t>磋商</w:t>
            </w:r>
            <w:r>
              <w:rPr>
                <w:rFonts w:hint="eastAsia" w:ascii="方正仿宋_GBK" w:hAnsi="仿宋" w:eastAsia="方正仿宋_GBK"/>
                <w:sz w:val="21"/>
                <w:szCs w:val="21"/>
              </w:rPr>
              <w:t>文件要求足额交纳保证金。</w:t>
            </w:r>
          </w:p>
        </w:tc>
      </w:tr>
    </w:tbl>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w:t>
      </w:r>
    </w:p>
    <w:p>
      <w:pPr>
        <w:snapToGrid w:val="0"/>
        <w:spacing w:line="400" w:lineRule="exact"/>
        <w:ind w:firstLine="480" w:firstLineChars="200"/>
        <w:rPr>
          <w:rFonts w:hint="eastAsia" w:ascii="方正仿宋_GBK" w:hAnsi="宋体" w:eastAsia="方正仿宋_GBK" w:cs="宋体"/>
          <w:kern w:val="0"/>
          <w:sz w:val="24"/>
          <w:szCs w:val="24"/>
        </w:rPr>
      </w:pPr>
      <w:r>
        <w:rPr>
          <w:rFonts w:ascii="方正仿宋_GBK" w:hAnsi="宋体" w:eastAsia="方正仿宋_GBK" w:cs="宋体"/>
          <w:kern w:val="0"/>
          <w:sz w:val="24"/>
          <w:szCs w:val="24"/>
        </w:rPr>
        <w:fldChar w:fldCharType="begin"/>
      </w:r>
      <w:r>
        <w:rPr>
          <w:rFonts w:ascii="方正仿宋_GBK" w:hAnsi="宋体" w:eastAsia="方正仿宋_GBK" w:cs="宋体"/>
          <w:kern w:val="0"/>
          <w:sz w:val="24"/>
          <w:szCs w:val="24"/>
        </w:rPr>
        <w:instrText xml:space="preserve"> </w:instrText>
      </w:r>
      <w:r>
        <w:rPr>
          <w:rFonts w:hint="eastAsia" w:ascii="方正仿宋_GBK" w:hAnsi="宋体" w:eastAsia="方正仿宋_GBK" w:cs="宋体"/>
          <w:kern w:val="0"/>
          <w:sz w:val="24"/>
          <w:szCs w:val="24"/>
        </w:rPr>
        <w:instrText xml:space="preserve">eq \o\ac(○,</w:instrText>
      </w:r>
      <w:r>
        <w:rPr>
          <w:rFonts w:hint="eastAsia" w:ascii="宋体" w:hAnsi="宋体" w:eastAsia="方正仿宋_GBK" w:cs="宋体"/>
          <w:kern w:val="0"/>
          <w:position w:val="3"/>
          <w:sz w:val="16"/>
          <w:szCs w:val="24"/>
        </w:rPr>
        <w:instrText xml:space="preserve">1</w:instrText>
      </w:r>
      <w:r>
        <w:rPr>
          <w:rFonts w:hint="eastAsia" w:ascii="方正仿宋_GBK" w:hAnsi="宋体" w:eastAsia="方正仿宋_GBK" w:cs="宋体"/>
          <w:kern w:val="0"/>
          <w:sz w:val="24"/>
          <w:szCs w:val="24"/>
        </w:rPr>
        <w:instrText xml:space="preserve">)</w:instrText>
      </w:r>
      <w:r>
        <w:rPr>
          <w:rFonts w:ascii="方正仿宋_GBK" w:hAnsi="宋体" w:eastAsia="方正仿宋_GBK" w:cs="宋体"/>
          <w:kern w:val="0"/>
          <w:sz w:val="24"/>
          <w:szCs w:val="24"/>
        </w:rPr>
        <w:fldChar w:fldCharType="end"/>
      </w:r>
      <w:r>
        <w:rPr>
          <w:rFonts w:hint="eastAsia" w:ascii="方正仿宋_GBK" w:hAnsi="宋体" w:eastAsia="方正仿宋_GBK" w:cs="宋体"/>
          <w:kern w:val="0"/>
          <w:sz w:val="24"/>
          <w:szCs w:val="24"/>
        </w:rPr>
        <w:t>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snapToGrid w:val="0"/>
        <w:spacing w:line="400" w:lineRule="exact"/>
        <w:ind w:firstLine="480" w:firstLineChars="200"/>
        <w:rPr>
          <w:rFonts w:hint="eastAsia" w:ascii="方正仿宋_GBK" w:hAnsi="宋体" w:eastAsia="方正仿宋_GBK" w:cs="宋体"/>
          <w:kern w:val="0"/>
          <w:sz w:val="24"/>
          <w:szCs w:val="24"/>
        </w:rPr>
      </w:pPr>
      <w:r>
        <w:rPr>
          <w:rFonts w:ascii="方正仿宋_GBK" w:hAnsi="宋体" w:eastAsia="方正仿宋_GBK" w:cs="宋体"/>
          <w:kern w:val="0"/>
          <w:sz w:val="24"/>
          <w:szCs w:val="24"/>
        </w:rPr>
        <w:fldChar w:fldCharType="begin"/>
      </w:r>
      <w:r>
        <w:rPr>
          <w:rFonts w:ascii="方正仿宋_GBK" w:hAnsi="宋体" w:eastAsia="方正仿宋_GBK" w:cs="宋体"/>
          <w:kern w:val="0"/>
          <w:sz w:val="24"/>
          <w:szCs w:val="24"/>
        </w:rPr>
        <w:instrText xml:space="preserve"> </w:instrText>
      </w:r>
      <w:r>
        <w:rPr>
          <w:rFonts w:hint="eastAsia" w:ascii="方正仿宋_GBK" w:hAnsi="宋体" w:eastAsia="方正仿宋_GBK" w:cs="宋体"/>
          <w:kern w:val="0"/>
          <w:sz w:val="24"/>
          <w:szCs w:val="24"/>
        </w:rPr>
        <w:instrText xml:space="preserve">eq \o\ac(○,</w:instrText>
      </w:r>
      <w:r>
        <w:rPr>
          <w:rFonts w:hint="eastAsia" w:ascii="宋体" w:hAnsi="宋体" w:eastAsia="方正仿宋_GBK" w:cs="宋体"/>
          <w:kern w:val="0"/>
          <w:position w:val="3"/>
          <w:sz w:val="16"/>
          <w:szCs w:val="24"/>
        </w:rPr>
        <w:instrText xml:space="preserve">2</w:instrText>
      </w:r>
      <w:r>
        <w:rPr>
          <w:rFonts w:hint="eastAsia" w:ascii="方正仿宋_GBK" w:hAnsi="宋体" w:eastAsia="方正仿宋_GBK" w:cs="宋体"/>
          <w:kern w:val="0"/>
          <w:sz w:val="24"/>
          <w:szCs w:val="24"/>
        </w:rPr>
        <w:instrText xml:space="preserve">)</w:instrText>
      </w:r>
      <w:r>
        <w:rPr>
          <w:rFonts w:ascii="方正仿宋_GBK" w:hAnsi="宋体" w:eastAsia="方正仿宋_GBK" w:cs="宋体"/>
          <w:kern w:val="0"/>
          <w:sz w:val="24"/>
          <w:szCs w:val="24"/>
        </w:rPr>
        <w:fldChar w:fldCharType="end"/>
      </w:r>
      <w:r>
        <w:rPr>
          <w:rFonts w:hint="eastAsia" w:ascii="方正仿宋_GBK" w:hAnsi="宋体" w:eastAsia="方正仿宋_GBK" w:cs="宋体"/>
          <w:kern w:val="0"/>
          <w:sz w:val="24"/>
          <w:szCs w:val="24"/>
        </w:rPr>
        <w:t>以联合体形式参与磋商的，共同联合协议中应确定主办方（主体），</w:t>
      </w:r>
      <w:r>
        <w:rPr>
          <w:rFonts w:hint="eastAsia" w:ascii="方正仿宋_GBK" w:hAnsi="宋体" w:eastAsia="方正仿宋_GBK"/>
          <w:sz w:val="24"/>
        </w:rPr>
        <w:t>代表联合体进行磋商和澄清。</w:t>
      </w:r>
      <w:r>
        <w:rPr>
          <w:rFonts w:hint="eastAsia" w:ascii="方正仿宋_GBK" w:hAnsi="宋体" w:eastAsia="方正仿宋_GBK" w:cs="宋体"/>
          <w:kern w:val="0"/>
          <w:sz w:val="24"/>
          <w:szCs w:val="24"/>
        </w:rPr>
        <w:t>联合体各方均应满足</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资格要求（详见“第一篇”）。</w:t>
      </w:r>
    </w:p>
    <w:p>
      <w:pPr>
        <w:snapToGrid w:val="0"/>
        <w:spacing w:line="400" w:lineRule="exact"/>
        <w:ind w:firstLine="480" w:firstLineChars="200"/>
        <w:rPr>
          <w:rFonts w:hint="eastAsia" w:ascii="方正仿宋_GBK" w:hAnsi="宋体" w:eastAsia="方正仿宋_GBK" w:cs="宋体"/>
          <w:kern w:val="0"/>
          <w:sz w:val="24"/>
          <w:szCs w:val="24"/>
        </w:rPr>
      </w:pPr>
      <w:r>
        <w:rPr>
          <w:rFonts w:ascii="方正仿宋_GBK" w:hAnsi="宋体" w:eastAsia="方正仿宋_GBK" w:cs="宋体"/>
          <w:kern w:val="0"/>
          <w:sz w:val="24"/>
          <w:szCs w:val="24"/>
        </w:rPr>
        <w:fldChar w:fldCharType="begin"/>
      </w:r>
      <w:r>
        <w:rPr>
          <w:rFonts w:ascii="方正仿宋_GBK" w:hAnsi="宋体" w:eastAsia="方正仿宋_GBK" w:cs="宋体"/>
          <w:kern w:val="0"/>
          <w:sz w:val="24"/>
          <w:szCs w:val="24"/>
        </w:rPr>
        <w:instrText xml:space="preserve"> </w:instrText>
      </w:r>
      <w:r>
        <w:rPr>
          <w:rFonts w:hint="eastAsia" w:ascii="方正仿宋_GBK" w:hAnsi="宋体" w:eastAsia="方正仿宋_GBK" w:cs="宋体"/>
          <w:kern w:val="0"/>
          <w:sz w:val="24"/>
          <w:szCs w:val="24"/>
        </w:rPr>
        <w:instrText xml:space="preserve">eq \o\ac(○,</w:instrText>
      </w:r>
      <w:r>
        <w:rPr>
          <w:rFonts w:hint="eastAsia" w:ascii="宋体" w:hAnsi="宋体" w:eastAsia="方正仿宋_GBK" w:cs="宋体"/>
          <w:kern w:val="0"/>
          <w:position w:val="3"/>
          <w:sz w:val="16"/>
          <w:szCs w:val="24"/>
        </w:rPr>
        <w:instrText xml:space="preserve">3</w:instrText>
      </w:r>
      <w:r>
        <w:rPr>
          <w:rFonts w:hint="eastAsia" w:ascii="方正仿宋_GBK" w:hAnsi="宋体" w:eastAsia="方正仿宋_GBK" w:cs="宋体"/>
          <w:kern w:val="0"/>
          <w:sz w:val="24"/>
          <w:szCs w:val="24"/>
        </w:rPr>
        <w:instrText xml:space="preserve">)</w:instrText>
      </w:r>
      <w:r>
        <w:rPr>
          <w:rFonts w:ascii="方正仿宋_GBK" w:hAnsi="宋体" w:eastAsia="方正仿宋_GBK" w:cs="宋体"/>
          <w:kern w:val="0"/>
          <w:sz w:val="24"/>
          <w:szCs w:val="24"/>
        </w:rPr>
        <w:fldChar w:fldCharType="end"/>
      </w:r>
      <w:r>
        <w:rPr>
          <w:rFonts w:hint="eastAsia" w:ascii="方正仿宋_GBK" w:hAnsi="宋体" w:eastAsia="方正仿宋_GBK"/>
          <w:sz w:val="24"/>
        </w:rPr>
        <w:t>以联合体形式参加本项目的，联合体各方均为中小企业的，联合体视同中小企业（其中，联合体各方均为小微企业的，联合体视同小微企业</w:t>
      </w:r>
      <w:r>
        <w:rPr>
          <w:rFonts w:hint="eastAsia" w:ascii="方正仿宋_GBK" w:hAnsi="宋体" w:eastAsia="方正仿宋_GBK" w:cs="宋体"/>
          <w:kern w:val="0"/>
          <w:sz w:val="24"/>
          <w:szCs w:val="24"/>
        </w:rPr>
        <w:t>）。</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（三）澄清有关问题。磋商小组在对响应文件的有效性、完整性和响应程度进行审查时，可以要求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对响应文件中含义不明确、同类问题表述不一致或者有明显文字和计算错误的内容等作出必要的澄清、说明或者更正。</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的澄清、说明或者更正不得超出响应文件的范围或者改变响应文件的实质性内容。</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（四）磋商小组要求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澄清、说明或者更正响应文件应当以书面形式作出。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的澄清、说明或者更正应当由法定代表人（或其授权代表）或自然人（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为自然人）签署或者加盖公章。由授权代表签署的，应当附法定代表人授权书。</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为自然人的，应当由本人签署并附身份证明。</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（五）在磋商过程中磋商的任何一方不得向他人透露与磋商有关的服务资料、价格或其他信息。</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（六）在磋商过程中，磋商小组可以根据竞争性磋商文件和磋商情况实质性变动采购需求中的服务、商务要求以及合同草案条款，但不得变动竞争性磋商文件中的其他内容。实质性变动的内容，须经</w:t>
      </w:r>
      <w:r>
        <w:rPr>
          <w:rFonts w:hint="eastAsia" w:ascii="方正仿宋_GBK" w:hAnsi="宋体" w:eastAsia="方正仿宋_GBK"/>
          <w:color w:val="0000FF"/>
          <w:sz w:val="24"/>
          <w:szCs w:val="24"/>
          <w:lang w:val="en-US" w:eastAsia="zh-CN"/>
        </w:rPr>
        <w:t>磋商小组同意</w:t>
      </w:r>
      <w:r>
        <w:rPr>
          <w:rFonts w:hint="eastAsia" w:ascii="方正仿宋_GBK" w:hAnsi="宋体" w:eastAsia="方正仿宋_GBK"/>
          <w:sz w:val="24"/>
          <w:szCs w:val="24"/>
        </w:rPr>
        <w:t>。对竞争性磋商文件作出的实质性变动是竞争性磋商文件的有效组成部分，磋商小组应当及时通知所有参加磋商的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（七）</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在磋商时作出的所有书面承诺须由法定代表人（或其授权代表）或自然人（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为自然人）签署。</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（八）经磋商确定最终采购需求且磋商结束后，</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应当按照竞争性磋商文件的变动情况和磋商小组的要求重新提交响应文件或重新做出相关的书面承诺，最后书面提交</w:t>
      </w:r>
      <w:r>
        <w:rPr>
          <w:rFonts w:hint="eastAsia" w:ascii="方正仿宋_GBK" w:hAnsi="宋体" w:eastAsia="方正仿宋_GBK"/>
          <w:sz w:val="24"/>
          <w:szCs w:val="24"/>
          <w:lang w:val="en-US" w:eastAsia="zh-CN"/>
        </w:rPr>
        <w:t>最后报价</w:t>
      </w:r>
      <w:r>
        <w:rPr>
          <w:rFonts w:hint="eastAsia" w:ascii="方正仿宋_GBK" w:hAnsi="宋体" w:eastAsia="方正仿宋_GBK"/>
          <w:color w:val="0000FF"/>
          <w:sz w:val="24"/>
          <w:szCs w:val="24"/>
          <w:lang w:val="en-US" w:eastAsia="zh-CN"/>
        </w:rPr>
        <w:t>（填写</w:t>
      </w:r>
      <w:r>
        <w:rPr>
          <w:rFonts w:hint="eastAsia" w:ascii="方正仿宋_GBK" w:hAnsi="宋体" w:eastAsia="方正仿宋_GBK"/>
          <w:color w:val="0000FF"/>
          <w:sz w:val="24"/>
          <w:szCs w:val="24"/>
          <w:lang w:eastAsia="zh-CN"/>
        </w:rPr>
        <w:t>《</w:t>
      </w:r>
      <w:r>
        <w:rPr>
          <w:rFonts w:hint="eastAsia" w:ascii="方正仿宋_GBK" w:hAnsi="宋体" w:eastAsia="方正仿宋_GBK"/>
          <w:color w:val="0000FF"/>
          <w:sz w:val="24"/>
          <w:szCs w:val="24"/>
          <w:lang w:val="en-US" w:eastAsia="zh-CN"/>
        </w:rPr>
        <w:t>开标现场最终报价表</w:t>
      </w:r>
      <w:r>
        <w:rPr>
          <w:rFonts w:hint="eastAsia" w:ascii="方正仿宋_GBK" w:hAnsi="宋体" w:eastAsia="方正仿宋_GBK"/>
          <w:color w:val="0000FF"/>
          <w:sz w:val="24"/>
          <w:szCs w:val="24"/>
          <w:lang w:eastAsia="zh-CN"/>
        </w:rPr>
        <w:t>》</w:t>
      </w:r>
      <w:r>
        <w:rPr>
          <w:rFonts w:hint="eastAsia" w:ascii="方正仿宋_GBK" w:hAnsi="宋体" w:eastAsia="方正仿宋_GBK"/>
          <w:color w:val="0000FF"/>
          <w:sz w:val="24"/>
          <w:szCs w:val="24"/>
          <w:lang w:val="en-US" w:eastAsia="zh-CN"/>
        </w:rPr>
        <w:t>）</w:t>
      </w:r>
      <w:r>
        <w:rPr>
          <w:rFonts w:hint="eastAsia" w:ascii="方正仿宋_GBK" w:hAnsi="宋体" w:eastAsia="方正仿宋_GBK"/>
          <w:sz w:val="24"/>
          <w:szCs w:val="24"/>
        </w:rPr>
        <w:t>及有关承诺。</w:t>
      </w:r>
      <w:r>
        <w:rPr>
          <w:rFonts w:ascii="方正仿宋_GBK" w:hAnsi="宋体" w:eastAsia="方正仿宋_GBK"/>
          <w:sz w:val="24"/>
          <w:szCs w:val="24"/>
        </w:rPr>
        <w:t>已提交响应文件</w:t>
      </w:r>
      <w:r>
        <w:rPr>
          <w:rFonts w:hint="eastAsia" w:ascii="方正仿宋_GBK" w:hAnsi="宋体" w:eastAsia="方正仿宋_GBK"/>
          <w:sz w:val="24"/>
          <w:szCs w:val="24"/>
        </w:rPr>
        <w:t>但未在规定时间内进行最后报价</w:t>
      </w:r>
      <w:r>
        <w:rPr>
          <w:rFonts w:ascii="方正仿宋_GBK" w:hAnsi="宋体" w:eastAsia="方正仿宋_GBK"/>
          <w:sz w:val="24"/>
          <w:szCs w:val="24"/>
        </w:rPr>
        <w:t>的</w:t>
      </w:r>
      <w:r>
        <w:rPr>
          <w:rFonts w:hint="eastAsia" w:ascii="方正仿宋_GBK" w:hAnsi="宋体" w:eastAsia="方正仿宋_GBK"/>
          <w:sz w:val="24"/>
          <w:szCs w:val="24"/>
          <w:lang w:eastAsia="zh-CN"/>
        </w:rPr>
        <w:t>投标人</w:t>
      </w:r>
      <w:r>
        <w:rPr>
          <w:rFonts w:ascii="方正仿宋_GBK" w:hAnsi="宋体" w:eastAsia="方正仿宋_GBK"/>
          <w:sz w:val="24"/>
          <w:szCs w:val="24"/>
        </w:rPr>
        <w:t>，</w:t>
      </w:r>
      <w:r>
        <w:rPr>
          <w:rFonts w:hint="eastAsia" w:ascii="方正仿宋_GBK" w:hAnsi="宋体" w:eastAsia="方正仿宋_GBK"/>
          <w:sz w:val="24"/>
          <w:szCs w:val="24"/>
        </w:rPr>
        <w:t>视为放弃最后报价，以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响应文件中的报价为准。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（九）磋商小组采用综合评分法对提交最后报价的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的响应文件和最后报价（含有效书面承诺）进行综合评分。</w:t>
      </w:r>
      <w:r>
        <w:rPr>
          <w:rFonts w:hint="eastAsia" w:ascii="方正仿宋_GBK" w:hAnsi="宋体" w:eastAsia="方正仿宋_GBK" w:cs="宋体"/>
          <w:kern w:val="0"/>
          <w:sz w:val="24"/>
          <w:szCs w:val="24"/>
        </w:rPr>
        <w:t>综合评分法，是指响应</w:t>
      </w:r>
      <w:r>
        <w:rPr>
          <w:rFonts w:ascii="方正仿宋_GBK" w:hAnsi="宋体" w:eastAsia="方正仿宋_GBK" w:cs="宋体"/>
          <w:kern w:val="0"/>
          <w:sz w:val="24"/>
          <w:szCs w:val="24"/>
        </w:rPr>
        <w:t>文件满足</w:t>
      </w:r>
      <w:r>
        <w:rPr>
          <w:rFonts w:hint="eastAsia" w:ascii="方正仿宋_GBK" w:hAnsi="宋体" w:eastAsia="方正仿宋_GBK" w:cs="宋体"/>
          <w:kern w:val="0"/>
          <w:sz w:val="24"/>
          <w:szCs w:val="24"/>
        </w:rPr>
        <w:t>竞争性磋商</w:t>
      </w:r>
      <w:r>
        <w:rPr>
          <w:rFonts w:ascii="方正仿宋_GBK" w:hAnsi="宋体" w:eastAsia="方正仿宋_GBK" w:cs="宋体"/>
          <w:kern w:val="0"/>
          <w:sz w:val="24"/>
          <w:szCs w:val="24"/>
        </w:rPr>
        <w:t>文件全部实质性要求且按照评审因素的量化指标评审得分最高的</w:t>
      </w:r>
      <w:r>
        <w:rPr>
          <w:rFonts w:hint="eastAsia" w:ascii="方正仿宋_GBK" w:hAnsi="宋体" w:eastAsia="方正仿宋_GBK" w:cs="宋体"/>
          <w:kern w:val="0"/>
          <w:sz w:val="24"/>
          <w:szCs w:val="24"/>
          <w:lang w:eastAsia="zh-CN"/>
        </w:rPr>
        <w:t>投标人</w:t>
      </w:r>
      <w:r>
        <w:rPr>
          <w:rFonts w:ascii="方正仿宋_GBK" w:hAnsi="宋体" w:eastAsia="方正仿宋_GBK" w:cs="宋体"/>
          <w:kern w:val="0"/>
          <w:sz w:val="24"/>
          <w:szCs w:val="24"/>
        </w:rPr>
        <w:t>为</w:t>
      </w:r>
      <w:r>
        <w:rPr>
          <w:rFonts w:hint="eastAsia" w:ascii="方正仿宋_GBK" w:hAnsi="宋体" w:eastAsia="方正仿宋_GBK" w:cs="宋体"/>
          <w:kern w:val="0"/>
          <w:sz w:val="24"/>
          <w:szCs w:val="24"/>
        </w:rPr>
        <w:t>成交</w:t>
      </w:r>
      <w:r>
        <w:rPr>
          <w:rFonts w:ascii="方正仿宋_GBK" w:hAnsi="宋体" w:eastAsia="方正仿宋_GBK" w:cs="宋体"/>
          <w:kern w:val="0"/>
          <w:sz w:val="24"/>
          <w:szCs w:val="24"/>
        </w:rPr>
        <w:t>候选</w:t>
      </w:r>
      <w:r>
        <w:rPr>
          <w:rFonts w:hint="eastAsia" w:ascii="方正仿宋_GBK" w:hAnsi="宋体" w:eastAsia="方正仿宋_GBK" w:cs="宋体"/>
          <w:kern w:val="0"/>
          <w:sz w:val="24"/>
          <w:szCs w:val="24"/>
          <w:lang w:eastAsia="zh-CN"/>
        </w:rPr>
        <w:t>投标人</w:t>
      </w:r>
      <w:r>
        <w:rPr>
          <w:rFonts w:ascii="方正仿宋_GBK" w:hAnsi="宋体" w:eastAsia="方正仿宋_GBK" w:cs="宋体"/>
          <w:kern w:val="0"/>
          <w:sz w:val="24"/>
          <w:szCs w:val="24"/>
        </w:rPr>
        <w:t>的</w:t>
      </w:r>
      <w:r>
        <w:rPr>
          <w:rFonts w:hint="eastAsia" w:ascii="方正仿宋_GBK" w:hAnsi="宋体" w:eastAsia="方正仿宋_GBK" w:cs="宋体"/>
          <w:kern w:val="0"/>
          <w:sz w:val="24"/>
          <w:szCs w:val="24"/>
        </w:rPr>
        <w:t>评审</w:t>
      </w:r>
      <w:r>
        <w:rPr>
          <w:rFonts w:ascii="方正仿宋_GBK" w:hAnsi="宋体" w:eastAsia="方正仿宋_GBK" w:cs="宋体"/>
          <w:kern w:val="0"/>
          <w:sz w:val="24"/>
          <w:szCs w:val="24"/>
        </w:rPr>
        <w:t>方法</w:t>
      </w:r>
      <w:r>
        <w:rPr>
          <w:rFonts w:hint="eastAsia" w:ascii="方正仿宋_GBK" w:hAnsi="宋体" w:eastAsia="方正仿宋_GBK" w:cs="宋体"/>
          <w:kern w:val="0"/>
          <w:sz w:val="24"/>
          <w:szCs w:val="24"/>
        </w:rPr>
        <w:t>。</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总得分为价格、服务、商务等评定因素分别按照相应权重值计算分项得分后相加，满分为100分</w:t>
      </w:r>
      <w:r>
        <w:rPr>
          <w:rFonts w:hint="eastAsia" w:ascii="方正仿宋_GBK" w:hAnsi="宋体" w:eastAsia="方正仿宋_GBK"/>
          <w:sz w:val="24"/>
          <w:szCs w:val="24"/>
        </w:rPr>
        <w:t>。</w:t>
      </w:r>
    </w:p>
    <w:p>
      <w:pPr>
        <w:spacing w:line="400" w:lineRule="exact"/>
        <w:ind w:firstLine="480" w:firstLineChars="200"/>
        <w:rPr>
          <w:rFonts w:hint="eastAsia" w:ascii="方正仿宋_GBK" w:hAnsi="宋体" w:eastAsia="方正仿宋_GBK"/>
          <w:sz w:val="24"/>
          <w:szCs w:val="24"/>
          <w:highlight w:val="yellow"/>
        </w:rPr>
      </w:pPr>
      <w:r>
        <w:rPr>
          <w:rFonts w:hint="eastAsia" w:ascii="方正仿宋_GBK" w:hAnsi="宋体" w:eastAsia="方正仿宋_GBK"/>
          <w:sz w:val="24"/>
          <w:szCs w:val="24"/>
        </w:rPr>
        <w:t>（十）磋商小组各成员独立对每个有效响应（通过资格性审查</w:t>
      </w:r>
      <w:r>
        <w:rPr>
          <w:rFonts w:hint="eastAsia" w:ascii="方正仿宋_GBK" w:hAnsi="宋体" w:eastAsia="方正仿宋_GBK" w:cs="宋体"/>
          <w:kern w:val="0"/>
          <w:sz w:val="24"/>
          <w:szCs w:val="24"/>
        </w:rPr>
        <w:t>的</w:t>
      </w:r>
      <w:r>
        <w:rPr>
          <w:rFonts w:hint="eastAsia" w:ascii="方正仿宋_GBK" w:hAnsi="宋体" w:eastAsia="方正仿宋_GBK" w:cs="宋体"/>
          <w:kern w:val="0"/>
          <w:sz w:val="24"/>
          <w:szCs w:val="24"/>
          <w:lang w:eastAsia="zh-CN"/>
        </w:rPr>
        <w:t>投标人</w:t>
      </w:r>
      <w:r>
        <w:rPr>
          <w:rFonts w:hint="eastAsia" w:ascii="方正仿宋_GBK" w:hAnsi="宋体" w:eastAsia="方正仿宋_GBK"/>
          <w:sz w:val="24"/>
          <w:szCs w:val="24"/>
        </w:rPr>
        <w:t>）的文件进行评价、打分，然后汇总每个</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每项评分因素的得分，并根据综合评分情况按照评审得分由高到低顺序推荐3名以上成交候选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的评审得分相同的，按照最后报价由低到高的顺序排列推荐。评审得分且最后报价相同的，按照服务指标优劣顺序排列推荐。以上都相同的，按商务条款的优劣顺序排列推荐。</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82" w:name="_Toc30944"/>
      <w:bookmarkStart w:id="83" w:name="_Toc106030889"/>
      <w:bookmarkStart w:id="84" w:name="_Toc76462334"/>
      <w:bookmarkStart w:id="85" w:name="_Toc18253"/>
      <w:r>
        <w:rPr>
          <w:rFonts w:hint="eastAsia" w:ascii="方正仿宋_GBK" w:hAnsi="宋体" w:eastAsia="方正仿宋_GBK"/>
          <w:sz w:val="24"/>
        </w:rPr>
        <w:t>二、</w:t>
      </w:r>
      <w:bookmarkStart w:id="86" w:name="_Toc102227320"/>
      <w:bookmarkStart w:id="87" w:name="_Toc342913394"/>
      <w:r>
        <w:rPr>
          <w:rFonts w:hint="eastAsia" w:ascii="方正仿宋_GBK" w:hAnsi="宋体" w:eastAsia="方正仿宋_GBK"/>
          <w:sz w:val="24"/>
        </w:rPr>
        <w:t>评审标准</w:t>
      </w:r>
      <w:bookmarkEnd w:id="82"/>
      <w:bookmarkEnd w:id="83"/>
      <w:bookmarkEnd w:id="84"/>
      <w:bookmarkEnd w:id="85"/>
    </w:p>
    <w:tbl>
      <w:tblPr>
        <w:tblStyle w:val="57"/>
        <w:tblW w:w="97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1478"/>
        <w:gridCol w:w="762"/>
        <w:gridCol w:w="4553"/>
        <w:gridCol w:w="20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noWrap w:val="0"/>
            <w:vAlign w:val="center"/>
          </w:tcPr>
          <w:p>
            <w:pPr>
              <w:spacing w:line="240" w:lineRule="auto"/>
              <w:ind w:firstLine="28"/>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1478" w:type="dxa"/>
            <w:noWrap w:val="0"/>
            <w:vAlign w:val="center"/>
          </w:tcPr>
          <w:p>
            <w:pPr>
              <w:spacing w:line="240" w:lineRule="auto"/>
              <w:ind w:firstLine="28"/>
              <w:jc w:val="center"/>
              <w:rPr>
                <w:rFonts w:hint="eastAsia" w:ascii="方正仿宋_GBK" w:hAnsi="宋体" w:eastAsia="方正仿宋_GBK"/>
                <w:b/>
                <w:sz w:val="21"/>
                <w:szCs w:val="21"/>
              </w:rPr>
            </w:pPr>
            <w:r>
              <w:rPr>
                <w:rFonts w:hint="eastAsia" w:ascii="方正仿宋_GBK" w:hAnsi="宋体" w:eastAsia="方正仿宋_GBK"/>
                <w:b/>
                <w:sz w:val="21"/>
                <w:szCs w:val="21"/>
              </w:rPr>
              <w:t>评分因素及权值</w:t>
            </w:r>
          </w:p>
        </w:tc>
        <w:tc>
          <w:tcPr>
            <w:tcW w:w="762" w:type="dxa"/>
            <w:noWrap w:val="0"/>
            <w:vAlign w:val="center"/>
          </w:tcPr>
          <w:p>
            <w:pPr>
              <w:spacing w:line="240" w:lineRule="auto"/>
              <w:ind w:firstLine="28"/>
              <w:jc w:val="center"/>
              <w:rPr>
                <w:rFonts w:hint="eastAsia" w:ascii="方正仿宋_GBK" w:hAnsi="宋体" w:eastAsia="方正仿宋_GBK"/>
                <w:b/>
                <w:sz w:val="21"/>
                <w:szCs w:val="21"/>
              </w:rPr>
            </w:pPr>
            <w:r>
              <w:rPr>
                <w:rFonts w:hint="eastAsia" w:ascii="方正仿宋_GBK" w:hAnsi="宋体" w:eastAsia="方正仿宋_GBK"/>
                <w:b/>
                <w:sz w:val="21"/>
                <w:szCs w:val="21"/>
              </w:rPr>
              <w:t>分值</w:t>
            </w:r>
          </w:p>
        </w:tc>
        <w:tc>
          <w:tcPr>
            <w:tcW w:w="4553" w:type="dxa"/>
            <w:noWrap w:val="0"/>
            <w:vAlign w:val="center"/>
          </w:tcPr>
          <w:p>
            <w:pPr>
              <w:spacing w:line="240" w:lineRule="auto"/>
              <w:ind w:firstLine="28"/>
              <w:jc w:val="center"/>
              <w:rPr>
                <w:rFonts w:hint="eastAsia" w:ascii="方正仿宋_GBK" w:hAnsi="宋体" w:eastAsia="方正仿宋_GBK"/>
                <w:b/>
                <w:sz w:val="21"/>
                <w:szCs w:val="21"/>
              </w:rPr>
            </w:pPr>
            <w:r>
              <w:rPr>
                <w:rFonts w:hint="eastAsia" w:ascii="方正仿宋_GBK" w:hAnsi="宋体" w:eastAsia="方正仿宋_GBK"/>
                <w:b/>
                <w:sz w:val="21"/>
                <w:szCs w:val="21"/>
              </w:rPr>
              <w:t>评分标准</w:t>
            </w:r>
          </w:p>
        </w:tc>
        <w:tc>
          <w:tcPr>
            <w:tcW w:w="2098" w:type="dxa"/>
            <w:noWrap w:val="0"/>
            <w:vAlign w:val="center"/>
          </w:tcPr>
          <w:p>
            <w:pPr>
              <w:pStyle w:val="237"/>
              <w:spacing w:before="0" w:after="0" w:line="240" w:lineRule="auto"/>
              <w:jc w:val="center"/>
              <w:rPr>
                <w:rFonts w:hint="eastAsia" w:ascii="方正仿宋_GBK" w:hAnsi="宋体" w:eastAsia="方正仿宋_GBK"/>
                <w:sz w:val="21"/>
                <w:szCs w:val="21"/>
              </w:rPr>
            </w:pPr>
            <w:r>
              <w:rPr>
                <w:rFonts w:hint="eastAsia" w:ascii="方正仿宋_GBK" w:hAnsi="宋体" w:eastAsia="方正仿宋_GBK"/>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845" w:type="dxa"/>
            <w:vMerge w:val="restart"/>
            <w:noWrap w:val="0"/>
            <w:vAlign w:val="center"/>
          </w:tcPr>
          <w:p>
            <w:pPr>
              <w:spacing w:line="240" w:lineRule="auto"/>
              <w:ind w:firstLine="28"/>
              <w:jc w:val="center"/>
              <w:rPr>
                <w:rFonts w:hint="eastAsia" w:ascii="方正仿宋_GBK" w:hAnsi="宋体" w:eastAsia="方正仿宋_GBK"/>
                <w:sz w:val="21"/>
                <w:szCs w:val="21"/>
              </w:rPr>
            </w:pPr>
            <w:r>
              <w:rPr>
                <w:rFonts w:hint="eastAsia" w:ascii="方正仿宋_GBK" w:hAnsi="宋体" w:eastAsia="方正仿宋_GBK"/>
                <w:sz w:val="21"/>
                <w:szCs w:val="21"/>
              </w:rPr>
              <w:t>1</w:t>
            </w:r>
          </w:p>
        </w:tc>
        <w:tc>
          <w:tcPr>
            <w:tcW w:w="1478" w:type="dxa"/>
            <w:vMerge w:val="restart"/>
            <w:noWrap w:val="0"/>
            <w:vAlign w:val="center"/>
          </w:tcPr>
          <w:p>
            <w:pPr>
              <w:spacing w:line="240" w:lineRule="auto"/>
              <w:ind w:firstLine="28"/>
              <w:jc w:val="center"/>
              <w:rPr>
                <w:rFonts w:hint="eastAsia" w:ascii="方正仿宋_GBK" w:hAnsi="宋体" w:eastAsia="方正仿宋_GBK"/>
                <w:sz w:val="21"/>
                <w:szCs w:val="21"/>
              </w:rPr>
            </w:pPr>
            <w:r>
              <w:rPr>
                <w:rFonts w:hint="eastAsia" w:ascii="方正仿宋_GBK" w:hAnsi="宋体" w:eastAsia="方正仿宋_GBK"/>
                <w:sz w:val="21"/>
                <w:szCs w:val="21"/>
              </w:rPr>
              <w:t>磋商报价</w:t>
            </w:r>
          </w:p>
          <w:p>
            <w:pPr>
              <w:spacing w:line="240" w:lineRule="auto"/>
              <w:ind w:firstLine="28"/>
              <w:jc w:val="center"/>
              <w:rPr>
                <w:rFonts w:hint="eastAsia" w:ascii="方正仿宋_GBK" w:hAnsi="宋体" w:eastAsia="方正仿宋_GBK"/>
                <w:sz w:val="21"/>
                <w:szCs w:val="21"/>
              </w:rPr>
            </w:pPr>
            <w:r>
              <w:rPr>
                <w:rFonts w:hint="eastAsia" w:ascii="方正仿宋_GBK" w:hAnsi="宋体" w:eastAsia="方正仿宋_GBK"/>
                <w:sz w:val="21"/>
                <w:szCs w:val="21"/>
              </w:rPr>
              <w:t>（</w:t>
            </w:r>
            <w:r>
              <w:rPr>
                <w:rFonts w:hint="eastAsia" w:ascii="方正仿宋_GBK" w:hAnsi="宋体" w:eastAsia="方正仿宋_GBK"/>
                <w:sz w:val="21"/>
                <w:szCs w:val="21"/>
                <w:lang w:val="en-US" w:eastAsia="zh-CN"/>
              </w:rPr>
              <w:t>45</w:t>
            </w:r>
            <w:r>
              <w:rPr>
                <w:rFonts w:hint="eastAsia" w:ascii="方正仿宋_GBK" w:hAnsi="宋体" w:eastAsia="方正仿宋_GBK"/>
                <w:sz w:val="21"/>
                <w:szCs w:val="21"/>
              </w:rPr>
              <w:t>%）</w:t>
            </w:r>
          </w:p>
        </w:tc>
        <w:tc>
          <w:tcPr>
            <w:tcW w:w="762" w:type="dxa"/>
            <w:noWrap w:val="0"/>
            <w:vAlign w:val="center"/>
          </w:tcPr>
          <w:p>
            <w:pPr>
              <w:spacing w:line="240" w:lineRule="auto"/>
              <w:ind w:firstLine="28"/>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40</w:t>
            </w:r>
          </w:p>
        </w:tc>
        <w:tc>
          <w:tcPr>
            <w:tcW w:w="4553" w:type="dxa"/>
            <w:noWrap w:val="0"/>
            <w:vAlign w:val="center"/>
          </w:tcPr>
          <w:p>
            <w:pPr>
              <w:spacing w:line="240" w:lineRule="auto"/>
              <w:rPr>
                <w:rFonts w:hint="eastAsia" w:ascii="方正仿宋_GBK" w:hAnsi="宋体" w:eastAsia="方正仿宋_GBK"/>
                <w:sz w:val="21"/>
                <w:szCs w:val="21"/>
              </w:rPr>
            </w:pPr>
            <w:r>
              <w:rPr>
                <w:rFonts w:hint="eastAsia" w:ascii="方正仿宋_GBK" w:hAnsi="宋体" w:eastAsia="方正仿宋_GBK"/>
                <w:sz w:val="21"/>
                <w:szCs w:val="21"/>
              </w:rPr>
              <w:t>满足资格性、符合性要求且最后报价最低的</w:t>
            </w:r>
            <w:r>
              <w:rPr>
                <w:rFonts w:hint="eastAsia" w:ascii="方正仿宋_GBK" w:hAnsi="宋体" w:eastAsia="方正仿宋_GBK"/>
                <w:sz w:val="21"/>
                <w:szCs w:val="21"/>
                <w:lang w:eastAsia="zh-CN"/>
              </w:rPr>
              <w:t>投标人</w:t>
            </w:r>
            <w:r>
              <w:rPr>
                <w:rFonts w:hint="eastAsia" w:ascii="方正仿宋_GBK" w:hAnsi="宋体" w:eastAsia="方正仿宋_GBK"/>
                <w:sz w:val="21"/>
                <w:szCs w:val="21"/>
              </w:rPr>
              <w:t>的价格为磋商基准价，其价格分为满分。其他</w:t>
            </w:r>
            <w:r>
              <w:rPr>
                <w:rFonts w:hint="eastAsia" w:ascii="方正仿宋_GBK" w:hAnsi="宋体" w:eastAsia="方正仿宋_GBK"/>
                <w:sz w:val="21"/>
                <w:szCs w:val="21"/>
                <w:lang w:eastAsia="zh-CN"/>
              </w:rPr>
              <w:t>投标人</w:t>
            </w:r>
            <w:r>
              <w:rPr>
                <w:rFonts w:hint="eastAsia" w:ascii="方正仿宋_GBK" w:hAnsi="宋体" w:eastAsia="方正仿宋_GBK"/>
                <w:sz w:val="21"/>
                <w:szCs w:val="21"/>
              </w:rPr>
              <w:t>的价格分统一按照下列公式计算：</w:t>
            </w:r>
          </w:p>
          <w:p>
            <w:pPr>
              <w:spacing w:line="240" w:lineRule="auto"/>
              <w:rPr>
                <w:rFonts w:hint="eastAsia" w:ascii="方正仿宋_GBK" w:hAnsi="宋体" w:eastAsia="方正仿宋_GBK"/>
                <w:sz w:val="21"/>
                <w:szCs w:val="21"/>
              </w:rPr>
            </w:pPr>
            <w:r>
              <w:rPr>
                <w:rFonts w:hint="eastAsia" w:ascii="方正仿宋_GBK" w:hAnsi="宋体" w:eastAsia="方正仿宋_GBK"/>
                <w:sz w:val="21"/>
                <w:szCs w:val="21"/>
              </w:rPr>
              <w:t>磋商报价得分=（磋商基准价/最后磋商报价）×价格权值×100</w:t>
            </w:r>
          </w:p>
        </w:tc>
        <w:tc>
          <w:tcPr>
            <w:tcW w:w="2098" w:type="dxa"/>
            <w:vMerge w:val="restart"/>
            <w:noWrap w:val="0"/>
            <w:vAlign w:val="center"/>
          </w:tcPr>
          <w:p>
            <w:pPr>
              <w:spacing w:line="240" w:lineRule="auto"/>
              <w:ind w:left="-38"/>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845" w:type="dxa"/>
            <w:vMerge w:val="continue"/>
            <w:noWrap w:val="0"/>
            <w:vAlign w:val="center"/>
          </w:tcPr>
          <w:p>
            <w:pPr>
              <w:spacing w:line="240" w:lineRule="auto"/>
              <w:ind w:firstLine="28"/>
              <w:jc w:val="center"/>
              <w:rPr>
                <w:sz w:val="21"/>
                <w:szCs w:val="21"/>
              </w:rPr>
            </w:pPr>
          </w:p>
        </w:tc>
        <w:tc>
          <w:tcPr>
            <w:tcW w:w="1478" w:type="dxa"/>
            <w:vMerge w:val="continue"/>
            <w:noWrap w:val="0"/>
            <w:vAlign w:val="center"/>
          </w:tcPr>
          <w:p>
            <w:pPr>
              <w:spacing w:line="240" w:lineRule="auto"/>
              <w:ind w:firstLine="28"/>
              <w:jc w:val="center"/>
              <w:rPr>
                <w:sz w:val="21"/>
                <w:szCs w:val="21"/>
              </w:rPr>
            </w:pPr>
          </w:p>
        </w:tc>
        <w:tc>
          <w:tcPr>
            <w:tcW w:w="762" w:type="dxa"/>
            <w:noWrap w:val="0"/>
            <w:vAlign w:val="center"/>
          </w:tcPr>
          <w:p>
            <w:pPr>
              <w:spacing w:line="240" w:lineRule="auto"/>
              <w:ind w:firstLine="28"/>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5</w:t>
            </w:r>
          </w:p>
        </w:tc>
        <w:tc>
          <w:tcPr>
            <w:tcW w:w="4553" w:type="dxa"/>
            <w:noWrap w:val="0"/>
            <w:vAlign w:val="center"/>
          </w:tcPr>
          <w:p>
            <w:pPr>
              <w:spacing w:line="240" w:lineRule="auto"/>
              <w:rPr>
                <w:rFonts w:hint="eastAsia" w:ascii="方正仿宋_GBK" w:hAnsi="宋体" w:eastAsia="方正仿宋_GBK" w:cs="Times New Roman"/>
                <w:sz w:val="21"/>
                <w:szCs w:val="21"/>
              </w:rPr>
            </w:pPr>
            <w:r>
              <w:rPr>
                <w:rFonts w:hint="eastAsia" w:ascii="方正仿宋_GBK" w:hAnsi="宋体" w:eastAsia="方正仿宋_GBK" w:cs="Times New Roman"/>
                <w:sz w:val="21"/>
                <w:szCs w:val="21"/>
                <w:lang w:eastAsia="zh-CN"/>
              </w:rPr>
              <w:t>质保期后维保费：</w:t>
            </w:r>
            <w:r>
              <w:rPr>
                <w:rFonts w:hint="eastAsia" w:ascii="方正仿宋_GBK" w:hAnsi="宋体" w:eastAsia="方正仿宋_GBK" w:cs="Times New Roman"/>
                <w:sz w:val="21"/>
                <w:szCs w:val="21"/>
                <w:lang w:val="en-US" w:eastAsia="zh-CN"/>
              </w:rPr>
              <w:t>每年维保费</w:t>
            </w:r>
            <w:r>
              <w:rPr>
                <w:rFonts w:hint="eastAsia" w:ascii="方正仿宋_GBK" w:hAnsi="宋体" w:eastAsia="方正仿宋_GBK" w:cs="Times New Roman"/>
                <w:sz w:val="21"/>
                <w:szCs w:val="21"/>
                <w:lang w:eastAsia="zh-CN"/>
              </w:rPr>
              <w:t>低于成交价</w:t>
            </w:r>
            <w:r>
              <w:rPr>
                <w:rFonts w:hint="eastAsia" w:ascii="方正仿宋_GBK" w:hAnsi="宋体" w:eastAsia="方正仿宋_GBK" w:cs="Times New Roman"/>
                <w:sz w:val="21"/>
                <w:szCs w:val="21"/>
                <w:lang w:val="en-US" w:eastAsia="zh-CN"/>
              </w:rPr>
              <w:t>5%得5分，每增加1%扣1分，扣完为止。</w:t>
            </w:r>
          </w:p>
        </w:tc>
        <w:tc>
          <w:tcPr>
            <w:tcW w:w="2098" w:type="dxa"/>
            <w:vMerge w:val="continue"/>
            <w:noWrap w:val="0"/>
            <w:vAlign w:val="center"/>
          </w:tcPr>
          <w:p>
            <w:pPr>
              <w:spacing w:line="240" w:lineRule="auto"/>
              <w:ind w:firstLine="28"/>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tcBorders>
              <w:bottom w:val="single" w:color="auto" w:sz="4" w:space="0"/>
            </w:tcBorders>
            <w:noWrap w:val="0"/>
            <w:vAlign w:val="center"/>
          </w:tcPr>
          <w:p>
            <w:pPr>
              <w:spacing w:line="240" w:lineRule="auto"/>
              <w:ind w:firstLine="28"/>
              <w:jc w:val="center"/>
              <w:rPr>
                <w:rFonts w:hint="eastAsia" w:ascii="方正仿宋_GBK" w:hAnsi="宋体" w:eastAsia="方正仿宋_GBK"/>
                <w:sz w:val="21"/>
                <w:szCs w:val="21"/>
              </w:rPr>
            </w:pPr>
            <w:r>
              <w:rPr>
                <w:rFonts w:hint="eastAsia" w:ascii="方正仿宋_GBK" w:hAnsi="宋体" w:eastAsia="方正仿宋_GBK"/>
                <w:sz w:val="21"/>
                <w:szCs w:val="21"/>
              </w:rPr>
              <w:t>2</w:t>
            </w:r>
          </w:p>
        </w:tc>
        <w:tc>
          <w:tcPr>
            <w:tcW w:w="1478" w:type="dxa"/>
            <w:tcBorders>
              <w:bottom w:val="single" w:color="auto" w:sz="4" w:space="0"/>
            </w:tcBorders>
            <w:noWrap w:val="0"/>
            <w:vAlign w:val="center"/>
          </w:tcPr>
          <w:p>
            <w:pPr>
              <w:spacing w:line="240" w:lineRule="auto"/>
              <w:ind w:firstLine="28"/>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技术</w:t>
            </w:r>
            <w:r>
              <w:rPr>
                <w:rFonts w:hint="eastAsia" w:ascii="方正仿宋_GBK" w:hAnsi="宋体" w:eastAsia="方正仿宋_GBK"/>
                <w:sz w:val="21"/>
                <w:szCs w:val="21"/>
              </w:rPr>
              <w:t>部分</w:t>
            </w:r>
          </w:p>
          <w:p>
            <w:pPr>
              <w:spacing w:line="240" w:lineRule="auto"/>
              <w:ind w:firstLine="28"/>
              <w:jc w:val="center"/>
              <w:rPr>
                <w:rFonts w:hint="eastAsia" w:ascii="方正仿宋_GBK" w:hAnsi="宋体" w:eastAsia="方正仿宋_GBK"/>
                <w:sz w:val="21"/>
                <w:szCs w:val="21"/>
              </w:rPr>
            </w:pPr>
            <w:r>
              <w:rPr>
                <w:rFonts w:hint="eastAsia" w:ascii="方正仿宋_GBK" w:hAnsi="宋体" w:eastAsia="方正仿宋_GBK"/>
                <w:sz w:val="21"/>
                <w:szCs w:val="21"/>
              </w:rPr>
              <w:t>（</w:t>
            </w:r>
            <w:r>
              <w:rPr>
                <w:rFonts w:hint="eastAsia" w:ascii="方正仿宋_GBK" w:hAnsi="宋体" w:eastAsia="方正仿宋_GBK"/>
                <w:sz w:val="21"/>
                <w:szCs w:val="21"/>
                <w:lang w:val="en-US" w:eastAsia="zh-CN"/>
              </w:rPr>
              <w:t>40</w:t>
            </w:r>
            <w:r>
              <w:rPr>
                <w:rFonts w:hint="eastAsia" w:ascii="方正仿宋_GBK" w:hAnsi="宋体" w:eastAsia="方正仿宋_GBK"/>
                <w:sz w:val="21"/>
                <w:szCs w:val="21"/>
              </w:rPr>
              <w:t>%）</w:t>
            </w:r>
          </w:p>
        </w:tc>
        <w:tc>
          <w:tcPr>
            <w:tcW w:w="762" w:type="dxa"/>
            <w:tcBorders>
              <w:bottom w:val="single" w:color="auto" w:sz="4" w:space="0"/>
            </w:tcBorders>
            <w:noWrap w:val="0"/>
            <w:vAlign w:val="center"/>
          </w:tcPr>
          <w:p>
            <w:pPr>
              <w:spacing w:line="240" w:lineRule="auto"/>
              <w:ind w:firstLine="28"/>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40</w:t>
            </w:r>
          </w:p>
        </w:tc>
        <w:tc>
          <w:tcPr>
            <w:tcW w:w="4553" w:type="dxa"/>
            <w:tcBorders>
              <w:bottom w:val="single" w:color="auto" w:sz="4" w:space="0"/>
            </w:tcBorders>
            <w:noWrap w:val="0"/>
            <w:vAlign w:val="center"/>
          </w:tcPr>
          <w:p>
            <w:pPr>
              <w:spacing w:line="240" w:lineRule="auto"/>
              <w:rPr>
                <w:rFonts w:hint="eastAsia" w:ascii="方正仿宋_GBK" w:hAnsi="宋体" w:eastAsia="方正仿宋_GBK" w:cs="Times New Roman"/>
                <w:sz w:val="21"/>
                <w:szCs w:val="21"/>
              </w:rPr>
            </w:pPr>
            <w:r>
              <w:rPr>
                <w:rFonts w:hint="eastAsia" w:ascii="方正仿宋_GBK" w:hAnsi="宋体" w:eastAsia="方正仿宋_GBK" w:cs="Times New Roman"/>
                <w:sz w:val="21"/>
                <w:szCs w:val="21"/>
                <w:lang w:val="en-US" w:eastAsia="zh-CN"/>
              </w:rPr>
              <w:t>投标人提供的投标产品与</w:t>
            </w:r>
            <w:r>
              <w:rPr>
                <w:rFonts w:hint="eastAsia" w:ascii="方正仿宋_GBK" w:hAnsi="宋体" w:eastAsia="方正仿宋_GBK" w:cs="Times New Roman"/>
                <w:sz w:val="21"/>
                <w:szCs w:val="21"/>
              </w:rPr>
              <w:t>技术参数</w:t>
            </w:r>
            <w:r>
              <w:rPr>
                <w:rFonts w:hint="eastAsia" w:ascii="方正仿宋_GBK" w:hAnsi="宋体" w:eastAsia="方正仿宋_GBK" w:cs="Times New Roman"/>
                <w:sz w:val="21"/>
                <w:szCs w:val="21"/>
                <w:lang w:val="en-US" w:eastAsia="zh-CN"/>
              </w:rPr>
              <w:t>“*”条款</w:t>
            </w:r>
            <w:r>
              <w:rPr>
                <w:rFonts w:hint="eastAsia" w:ascii="方正仿宋_GBK" w:hAnsi="宋体" w:eastAsia="方正仿宋_GBK" w:cs="Times New Roman"/>
                <w:sz w:val="21"/>
                <w:szCs w:val="21"/>
              </w:rPr>
              <w:t>有负偏离的，</w:t>
            </w:r>
            <w:r>
              <w:rPr>
                <w:rFonts w:hint="eastAsia" w:ascii="方正仿宋_GBK" w:hAnsi="宋体" w:eastAsia="方正仿宋_GBK" w:cs="Times New Roman"/>
                <w:sz w:val="21"/>
                <w:szCs w:val="21"/>
                <w:lang w:val="en-US" w:eastAsia="zh-CN"/>
              </w:rPr>
              <w:t>扣减10分/条，扣完为止；非“*”条款</w:t>
            </w:r>
            <w:r>
              <w:rPr>
                <w:rFonts w:hint="eastAsia" w:ascii="方正仿宋_GBK" w:hAnsi="宋体" w:eastAsia="方正仿宋_GBK" w:cs="Times New Roman"/>
                <w:sz w:val="21"/>
                <w:szCs w:val="21"/>
              </w:rPr>
              <w:t>有负偏离的</w:t>
            </w:r>
            <w:r>
              <w:rPr>
                <w:rFonts w:hint="eastAsia" w:ascii="方正仿宋_GBK" w:hAnsi="宋体" w:eastAsia="方正仿宋_GBK" w:cs="Times New Roman"/>
                <w:sz w:val="21"/>
                <w:szCs w:val="21"/>
                <w:lang w:eastAsia="zh-CN"/>
              </w:rPr>
              <w:t>，</w:t>
            </w:r>
            <w:r>
              <w:rPr>
                <w:rFonts w:hint="eastAsia" w:ascii="方正仿宋_GBK" w:hAnsi="宋体" w:eastAsia="方正仿宋_GBK" w:cs="Times New Roman"/>
                <w:sz w:val="21"/>
                <w:szCs w:val="21"/>
                <w:lang w:val="en-US" w:eastAsia="zh-CN"/>
              </w:rPr>
              <w:t>扣减5分/条，</w:t>
            </w:r>
            <w:r>
              <w:rPr>
                <w:rFonts w:hint="eastAsia" w:ascii="方正仿宋_GBK" w:hAnsi="宋体" w:eastAsia="方正仿宋_GBK" w:cs="Times New Roman"/>
                <w:sz w:val="21"/>
                <w:szCs w:val="21"/>
              </w:rPr>
              <w:t>有5条及以上不满足的，技术部分为0分。</w:t>
            </w:r>
          </w:p>
        </w:tc>
        <w:tc>
          <w:tcPr>
            <w:tcW w:w="2098" w:type="dxa"/>
            <w:tcBorders>
              <w:bottom w:val="single" w:color="auto" w:sz="4" w:space="0"/>
            </w:tcBorders>
            <w:noWrap w:val="0"/>
            <w:vAlign w:val="center"/>
          </w:tcPr>
          <w:p>
            <w:pPr>
              <w:spacing w:line="240" w:lineRule="auto"/>
              <w:jc w:val="left"/>
              <w:rPr>
                <w:rFonts w:hint="eastAsia" w:ascii="方正仿宋_GBK" w:hAnsi="宋体" w:eastAsia="方正仿宋_GBK"/>
                <w:sz w:val="21"/>
                <w:szCs w:val="21"/>
              </w:rPr>
            </w:pPr>
            <w:r>
              <w:rPr>
                <w:rFonts w:hint="eastAsia" w:ascii="方正仿宋_GBK" w:hAnsi="宋体" w:eastAsia="方正仿宋_GBK" w:cs="Times New Roman"/>
                <w:sz w:val="21"/>
                <w:szCs w:val="21"/>
                <w:lang w:val="en-US" w:eastAsia="zh-CN"/>
              </w:rPr>
              <w:t>带“*”条款须提供的产品资料（产品彩页或官网截图）作为证明材料，并加盖生产厂家公章确认。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845" w:type="dxa"/>
            <w:vMerge w:val="restart"/>
            <w:tcBorders>
              <w:top w:val="single" w:color="auto" w:sz="4" w:space="0"/>
              <w:left w:val="single" w:color="auto" w:sz="4" w:space="0"/>
              <w:right w:val="single" w:color="auto" w:sz="4" w:space="0"/>
            </w:tcBorders>
            <w:noWrap w:val="0"/>
            <w:vAlign w:val="center"/>
          </w:tcPr>
          <w:p>
            <w:pPr>
              <w:spacing w:line="240" w:lineRule="auto"/>
              <w:ind w:firstLine="28"/>
              <w:jc w:val="center"/>
              <w:rPr>
                <w:rFonts w:ascii="方正仿宋_GBK" w:hAnsi="宋体" w:eastAsia="方正仿宋_GBK"/>
                <w:sz w:val="21"/>
                <w:szCs w:val="21"/>
              </w:rPr>
            </w:pPr>
            <w:r>
              <w:rPr>
                <w:rFonts w:hint="eastAsia" w:ascii="方正仿宋_GBK" w:hAnsi="宋体" w:eastAsia="方正仿宋_GBK"/>
                <w:sz w:val="21"/>
                <w:szCs w:val="21"/>
              </w:rPr>
              <w:t>3</w:t>
            </w:r>
          </w:p>
          <w:p>
            <w:pPr>
              <w:spacing w:line="240" w:lineRule="auto"/>
              <w:ind w:firstLine="28"/>
              <w:jc w:val="center"/>
              <w:rPr>
                <w:rFonts w:hint="eastAsia" w:ascii="方正仿宋_GBK" w:hAnsi="宋体" w:eastAsia="方正仿宋_GBK"/>
                <w:sz w:val="21"/>
                <w:szCs w:val="21"/>
              </w:rPr>
            </w:pPr>
          </w:p>
        </w:tc>
        <w:tc>
          <w:tcPr>
            <w:tcW w:w="1478" w:type="dxa"/>
            <w:vMerge w:val="restart"/>
            <w:tcBorders>
              <w:top w:val="single" w:color="auto" w:sz="4" w:space="0"/>
              <w:left w:val="single" w:color="auto" w:sz="4" w:space="0"/>
              <w:right w:val="single" w:color="auto" w:sz="4" w:space="0"/>
            </w:tcBorders>
            <w:noWrap w:val="0"/>
            <w:vAlign w:val="center"/>
          </w:tcPr>
          <w:p>
            <w:pPr>
              <w:spacing w:line="240" w:lineRule="auto"/>
              <w:ind w:firstLine="28"/>
              <w:jc w:val="center"/>
              <w:rPr>
                <w:rFonts w:hint="eastAsia" w:ascii="方正仿宋_GBK" w:hAnsi="宋体" w:eastAsia="方正仿宋_GBK"/>
                <w:sz w:val="21"/>
                <w:szCs w:val="21"/>
              </w:rPr>
            </w:pPr>
            <w:r>
              <w:rPr>
                <w:rFonts w:hint="eastAsia" w:ascii="方正仿宋_GBK" w:hAnsi="宋体" w:eastAsia="方正仿宋_GBK"/>
                <w:sz w:val="21"/>
                <w:szCs w:val="21"/>
              </w:rPr>
              <w:t>商务部分</w:t>
            </w:r>
          </w:p>
          <w:p>
            <w:pPr>
              <w:spacing w:line="240" w:lineRule="auto"/>
              <w:ind w:firstLine="28"/>
              <w:jc w:val="center"/>
              <w:rPr>
                <w:rFonts w:hint="eastAsia" w:ascii="方正仿宋_GBK" w:hAnsi="宋体" w:eastAsia="方正仿宋_GBK"/>
                <w:sz w:val="21"/>
                <w:szCs w:val="21"/>
              </w:rPr>
            </w:pPr>
            <w:r>
              <w:rPr>
                <w:rFonts w:hint="eastAsia" w:ascii="方正仿宋_GBK" w:hAnsi="宋体" w:eastAsia="方正仿宋_GBK"/>
                <w:sz w:val="21"/>
                <w:szCs w:val="21"/>
              </w:rPr>
              <w:t>（</w:t>
            </w:r>
            <w:r>
              <w:rPr>
                <w:rFonts w:hint="eastAsia" w:ascii="方正仿宋_GBK" w:hAnsi="宋体" w:eastAsia="方正仿宋_GBK"/>
                <w:sz w:val="21"/>
                <w:szCs w:val="21"/>
                <w:lang w:val="en-US" w:eastAsia="zh-CN"/>
              </w:rPr>
              <w:t>15</w:t>
            </w:r>
            <w:r>
              <w:rPr>
                <w:rFonts w:hint="eastAsia" w:ascii="方正仿宋_GBK" w:hAnsi="宋体" w:eastAsia="方正仿宋_GBK"/>
                <w:sz w:val="21"/>
                <w:szCs w:val="21"/>
              </w:rPr>
              <w:t>%）</w:t>
            </w:r>
          </w:p>
        </w:tc>
        <w:tc>
          <w:tcPr>
            <w:tcW w:w="762"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28"/>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5</w:t>
            </w:r>
          </w:p>
        </w:tc>
        <w:tc>
          <w:tcPr>
            <w:tcW w:w="4553" w:type="dxa"/>
            <w:tcBorders>
              <w:top w:val="single" w:color="auto" w:sz="4" w:space="0"/>
              <w:left w:val="single" w:color="auto" w:sz="4" w:space="0"/>
              <w:right w:val="single" w:color="auto" w:sz="4" w:space="0"/>
            </w:tcBorders>
            <w:noWrap w:val="0"/>
            <w:vAlign w:val="center"/>
          </w:tcPr>
          <w:p>
            <w:pPr>
              <w:spacing w:line="240" w:lineRule="auto"/>
              <w:rPr>
                <w:rFonts w:hint="eastAsia" w:ascii="方正仿宋_GBK" w:hAnsi="宋体" w:eastAsia="方正仿宋_GBK" w:cs="Times New Roman"/>
                <w:sz w:val="21"/>
                <w:szCs w:val="21"/>
                <w:lang w:eastAsia="zh-CN"/>
              </w:rPr>
            </w:pPr>
            <w:r>
              <w:rPr>
                <w:rFonts w:hint="eastAsia" w:ascii="方正仿宋_GBK" w:hAnsi="宋体" w:eastAsia="方正仿宋_GBK" w:cs="Times New Roman"/>
                <w:sz w:val="21"/>
                <w:szCs w:val="21"/>
              </w:rPr>
              <w:t>售后服务</w:t>
            </w:r>
            <w:r>
              <w:rPr>
                <w:rFonts w:hint="eastAsia" w:ascii="方正仿宋_GBK" w:hAnsi="宋体" w:eastAsia="方正仿宋_GBK" w:cs="Times New Roman"/>
                <w:sz w:val="21"/>
                <w:szCs w:val="21"/>
                <w:lang w:eastAsia="zh-CN"/>
              </w:rPr>
              <w:t>方案</w:t>
            </w:r>
          </w:p>
          <w:p>
            <w:pPr>
              <w:spacing w:line="240" w:lineRule="auto"/>
              <w:rPr>
                <w:rFonts w:hint="eastAsia" w:ascii="方正仿宋_GBK" w:hAnsi="宋体" w:eastAsia="方正仿宋_GBK" w:cs="Times New Roman"/>
                <w:sz w:val="21"/>
                <w:szCs w:val="21"/>
              </w:rPr>
            </w:pPr>
            <w:r>
              <w:rPr>
                <w:rFonts w:hint="eastAsia" w:ascii="方正仿宋_GBK" w:hAnsi="宋体" w:eastAsia="方正仿宋_GBK" w:cs="Times New Roman"/>
                <w:sz w:val="21"/>
                <w:szCs w:val="21"/>
                <w:lang w:val="en-US" w:eastAsia="zh-CN"/>
              </w:rPr>
              <w:t>根据投标人或</w:t>
            </w:r>
            <w:r>
              <w:rPr>
                <w:rFonts w:hint="eastAsia" w:ascii="方正仿宋_GBK" w:hAnsi="宋体" w:eastAsia="方正仿宋_GBK" w:cs="Times New Roman"/>
                <w:sz w:val="21"/>
                <w:szCs w:val="21"/>
              </w:rPr>
              <w:t>所投产品制造商</w:t>
            </w:r>
            <w:r>
              <w:rPr>
                <w:rFonts w:hint="eastAsia" w:ascii="方正仿宋_GBK" w:hAnsi="宋体" w:eastAsia="方正仿宋_GBK" w:cs="Times New Roman"/>
                <w:sz w:val="21"/>
                <w:szCs w:val="21"/>
                <w:lang w:eastAsia="zh-CN"/>
              </w:rPr>
              <w:t>提供的售后服务方案进行评审，方案内容包括售后服务人员配备情况、售后服务人员维修维保专业程度、维修到场时间等，售后服务人员配备合理、专业技术性强、维修流程简便快捷为优得</w:t>
            </w:r>
            <w:r>
              <w:rPr>
                <w:rFonts w:hint="eastAsia" w:ascii="方正仿宋_GBK" w:hAnsi="宋体" w:eastAsia="方正仿宋_GBK" w:cs="Times New Roman"/>
                <w:sz w:val="21"/>
                <w:szCs w:val="21"/>
                <w:lang w:val="en-US" w:eastAsia="zh-CN"/>
              </w:rPr>
              <w:t>5分，</w:t>
            </w:r>
            <w:r>
              <w:rPr>
                <w:rFonts w:hint="eastAsia" w:ascii="方正仿宋_GBK" w:hAnsi="宋体" w:eastAsia="方正仿宋_GBK" w:cs="Times New Roman"/>
                <w:sz w:val="21"/>
                <w:szCs w:val="21"/>
                <w:lang w:eastAsia="zh-CN"/>
              </w:rPr>
              <w:t>售后服务人员配备较合理、专业技术性较强、维修流程较简便快捷为</w:t>
            </w:r>
            <w:r>
              <w:rPr>
                <w:rFonts w:hint="eastAsia" w:ascii="方正仿宋_GBK" w:hAnsi="宋体" w:eastAsia="方正仿宋_GBK" w:cs="Times New Roman"/>
                <w:sz w:val="21"/>
                <w:szCs w:val="21"/>
                <w:lang w:val="en-US" w:eastAsia="zh-CN"/>
              </w:rPr>
              <w:t>得3分，售后服务人员配备不合理专业技术性不强、维修流程漫长或未提供方案不得分。</w:t>
            </w:r>
          </w:p>
        </w:tc>
        <w:tc>
          <w:tcPr>
            <w:tcW w:w="2098" w:type="dxa"/>
            <w:tcBorders>
              <w:top w:val="single" w:color="auto" w:sz="4" w:space="0"/>
              <w:left w:val="single" w:color="auto" w:sz="4" w:space="0"/>
              <w:right w:val="single" w:color="auto" w:sz="4" w:space="0"/>
            </w:tcBorders>
            <w:noWrap w:val="0"/>
            <w:vAlign w:val="center"/>
          </w:tcPr>
          <w:p>
            <w:pPr>
              <w:spacing w:line="240" w:lineRule="auto"/>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845" w:type="dxa"/>
            <w:vMerge w:val="continue"/>
            <w:tcBorders>
              <w:left w:val="single" w:color="auto" w:sz="4" w:space="0"/>
              <w:right w:val="single" w:color="auto" w:sz="4" w:space="0"/>
            </w:tcBorders>
            <w:noWrap w:val="0"/>
            <w:vAlign w:val="center"/>
          </w:tcPr>
          <w:p>
            <w:pPr>
              <w:spacing w:line="240" w:lineRule="auto"/>
              <w:ind w:firstLine="28"/>
              <w:jc w:val="center"/>
            </w:pPr>
          </w:p>
        </w:tc>
        <w:tc>
          <w:tcPr>
            <w:tcW w:w="1478" w:type="dxa"/>
            <w:vMerge w:val="continue"/>
            <w:tcBorders>
              <w:left w:val="single" w:color="auto" w:sz="4" w:space="0"/>
              <w:right w:val="single" w:color="auto" w:sz="4" w:space="0"/>
            </w:tcBorders>
            <w:noWrap w:val="0"/>
            <w:vAlign w:val="center"/>
          </w:tcPr>
          <w:p>
            <w:pPr>
              <w:spacing w:line="240" w:lineRule="auto"/>
              <w:ind w:firstLine="28"/>
              <w:jc w:val="center"/>
            </w:pPr>
          </w:p>
        </w:tc>
        <w:tc>
          <w:tcPr>
            <w:tcW w:w="762"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28"/>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5</w:t>
            </w:r>
          </w:p>
        </w:tc>
        <w:tc>
          <w:tcPr>
            <w:tcW w:w="4553" w:type="dxa"/>
            <w:tcBorders>
              <w:left w:val="single" w:color="auto" w:sz="4" w:space="0"/>
              <w:right w:val="single" w:color="auto" w:sz="4" w:space="0"/>
            </w:tcBorders>
            <w:noWrap w:val="0"/>
            <w:vAlign w:val="center"/>
          </w:tcPr>
          <w:p>
            <w:pPr>
              <w:spacing w:line="240" w:lineRule="auto"/>
              <w:rPr>
                <w:rFonts w:hint="default"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质保期</w:t>
            </w:r>
          </w:p>
          <w:p>
            <w:pPr>
              <w:spacing w:line="240" w:lineRule="auto"/>
              <w:rPr>
                <w:rFonts w:hint="eastAsia" w:ascii="方正仿宋_GBK" w:hAnsi="宋体" w:eastAsia="方正仿宋_GBK" w:cs="Times New Roman"/>
                <w:sz w:val="21"/>
                <w:szCs w:val="21"/>
              </w:rPr>
            </w:pPr>
            <w:r>
              <w:rPr>
                <w:rFonts w:hint="eastAsia" w:ascii="方正仿宋_GBK" w:hAnsi="宋体" w:eastAsia="方正仿宋_GBK" w:cs="Times New Roman"/>
                <w:sz w:val="21"/>
                <w:szCs w:val="21"/>
                <w:lang w:eastAsia="zh-CN"/>
              </w:rPr>
              <w:t>所投标产品质保期</w:t>
            </w:r>
            <w:r>
              <w:rPr>
                <w:rFonts w:hint="eastAsia" w:ascii="方正仿宋_GBK" w:hAnsi="宋体" w:eastAsia="方正仿宋_GBK" w:cs="Times New Roman"/>
                <w:sz w:val="21"/>
                <w:szCs w:val="21"/>
              </w:rPr>
              <w:t>在满足招标文件要求的前提下，每增加1年加</w:t>
            </w:r>
            <w:r>
              <w:rPr>
                <w:rFonts w:hint="eastAsia" w:ascii="方正仿宋_GBK" w:hAnsi="宋体" w:eastAsia="方正仿宋_GBK" w:cs="Times New Roman"/>
                <w:sz w:val="21"/>
                <w:szCs w:val="21"/>
                <w:lang w:val="en-US" w:eastAsia="zh-CN"/>
              </w:rPr>
              <w:t>1</w:t>
            </w:r>
            <w:r>
              <w:rPr>
                <w:rFonts w:hint="eastAsia" w:ascii="方正仿宋_GBK" w:hAnsi="宋体" w:eastAsia="方正仿宋_GBK" w:cs="Times New Roman"/>
                <w:sz w:val="21"/>
                <w:szCs w:val="21"/>
              </w:rPr>
              <w:t>分，最多加</w:t>
            </w:r>
            <w:r>
              <w:rPr>
                <w:rFonts w:hint="eastAsia" w:ascii="方正仿宋_GBK" w:hAnsi="宋体" w:eastAsia="方正仿宋_GBK" w:cs="Times New Roman"/>
                <w:sz w:val="21"/>
                <w:szCs w:val="21"/>
                <w:lang w:val="en-US" w:eastAsia="zh-CN"/>
              </w:rPr>
              <w:t>5</w:t>
            </w:r>
            <w:r>
              <w:rPr>
                <w:rFonts w:hint="eastAsia" w:ascii="方正仿宋_GBK" w:hAnsi="宋体" w:eastAsia="方正仿宋_GBK" w:cs="Times New Roman"/>
                <w:sz w:val="21"/>
                <w:szCs w:val="21"/>
              </w:rPr>
              <w:t>分。</w:t>
            </w:r>
          </w:p>
        </w:tc>
        <w:tc>
          <w:tcPr>
            <w:tcW w:w="2098" w:type="dxa"/>
            <w:tcBorders>
              <w:left w:val="single" w:color="auto" w:sz="4" w:space="0"/>
              <w:right w:val="single" w:color="auto" w:sz="4" w:space="0"/>
            </w:tcBorders>
            <w:noWrap w:val="0"/>
            <w:vAlign w:val="center"/>
          </w:tcPr>
          <w:p>
            <w:pPr>
              <w:spacing w:line="240" w:lineRule="auto"/>
              <w:ind w:firstLine="28"/>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845" w:type="dxa"/>
            <w:vMerge w:val="continue"/>
            <w:tcBorders>
              <w:left w:val="single" w:color="auto" w:sz="4" w:space="0"/>
              <w:bottom w:val="single" w:color="auto" w:sz="4" w:space="0"/>
              <w:right w:val="single" w:color="auto" w:sz="4" w:space="0"/>
            </w:tcBorders>
            <w:noWrap w:val="0"/>
            <w:vAlign w:val="center"/>
          </w:tcPr>
          <w:p>
            <w:pPr>
              <w:spacing w:line="240" w:lineRule="auto"/>
              <w:ind w:firstLine="28"/>
              <w:jc w:val="center"/>
              <w:rPr>
                <w:rFonts w:hint="eastAsia" w:ascii="方正仿宋_GBK" w:hAnsi="宋体" w:eastAsia="方正仿宋_GBK"/>
                <w:sz w:val="21"/>
                <w:szCs w:val="21"/>
              </w:rPr>
            </w:pPr>
          </w:p>
        </w:tc>
        <w:tc>
          <w:tcPr>
            <w:tcW w:w="1478" w:type="dxa"/>
            <w:vMerge w:val="continue"/>
            <w:tcBorders>
              <w:left w:val="single" w:color="auto" w:sz="4" w:space="0"/>
              <w:bottom w:val="single" w:color="auto" w:sz="4" w:space="0"/>
              <w:right w:val="single" w:color="auto" w:sz="4" w:space="0"/>
            </w:tcBorders>
            <w:noWrap w:val="0"/>
            <w:vAlign w:val="center"/>
          </w:tcPr>
          <w:p>
            <w:pPr>
              <w:spacing w:line="240" w:lineRule="auto"/>
              <w:ind w:firstLine="28"/>
              <w:jc w:val="center"/>
              <w:rPr>
                <w:rFonts w:hint="eastAsia" w:ascii="方正仿宋_GBK" w:hAnsi="宋体" w:eastAsia="方正仿宋_GBK"/>
                <w:sz w:val="21"/>
                <w:szCs w:val="21"/>
              </w:rPr>
            </w:pPr>
          </w:p>
        </w:tc>
        <w:tc>
          <w:tcPr>
            <w:tcW w:w="762"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28"/>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5</w:t>
            </w:r>
          </w:p>
        </w:tc>
        <w:tc>
          <w:tcPr>
            <w:tcW w:w="4553" w:type="dxa"/>
            <w:tcBorders>
              <w:left w:val="single" w:color="auto" w:sz="4" w:space="0"/>
              <w:bottom w:val="single" w:color="auto" w:sz="4" w:space="0"/>
              <w:right w:val="single" w:color="auto" w:sz="4" w:space="0"/>
            </w:tcBorders>
            <w:noWrap w:val="0"/>
            <w:vAlign w:val="center"/>
          </w:tcPr>
          <w:p>
            <w:pPr>
              <w:spacing w:line="240" w:lineRule="auto"/>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市场认可度</w:t>
            </w:r>
          </w:p>
          <w:p>
            <w:pPr>
              <w:spacing w:line="240" w:lineRule="auto"/>
              <w:rPr>
                <w:rFonts w:hint="eastAsia" w:ascii="方正仿宋_GBK" w:hAnsi="宋体" w:eastAsia="方正仿宋_GBK" w:cs="Times New Roman"/>
                <w:sz w:val="21"/>
                <w:szCs w:val="21"/>
              </w:rPr>
            </w:pPr>
            <w:r>
              <w:rPr>
                <w:rFonts w:hint="eastAsia" w:ascii="方正仿宋_GBK" w:hAnsi="宋体" w:eastAsia="方正仿宋_GBK" w:cs="Times New Roman"/>
                <w:sz w:val="21"/>
                <w:szCs w:val="21"/>
              </w:rPr>
              <w:t>提供三甲医院销售合同或中标通知书≥5家得</w:t>
            </w:r>
            <w:r>
              <w:rPr>
                <w:rFonts w:hint="eastAsia" w:ascii="方正仿宋_GBK" w:hAnsi="宋体" w:eastAsia="方正仿宋_GBK" w:cs="Times New Roman"/>
                <w:sz w:val="21"/>
                <w:szCs w:val="21"/>
                <w:lang w:val="en-US" w:eastAsia="zh-CN"/>
              </w:rPr>
              <w:t>3</w:t>
            </w:r>
            <w:r>
              <w:rPr>
                <w:rFonts w:hint="eastAsia" w:ascii="方正仿宋_GBK" w:hAnsi="宋体" w:eastAsia="方正仿宋_GBK" w:cs="Times New Roman"/>
                <w:sz w:val="21"/>
                <w:szCs w:val="21"/>
              </w:rPr>
              <w:t>分，</w:t>
            </w:r>
            <w:r>
              <w:rPr>
                <w:rFonts w:hint="eastAsia" w:ascii="方正仿宋_GBK" w:hAnsi="宋体" w:eastAsia="方正仿宋_GBK" w:cs="Times New Roman"/>
                <w:sz w:val="21"/>
                <w:szCs w:val="21"/>
                <w:lang w:val="en-US" w:eastAsia="zh-CN"/>
              </w:rPr>
              <w:t>每多1家得1分，最多得5分；无法提供或不足5家的不得分</w:t>
            </w:r>
            <w:r>
              <w:rPr>
                <w:rFonts w:hint="eastAsia" w:ascii="方正仿宋_GBK" w:hAnsi="宋体" w:eastAsia="方正仿宋_GBK" w:cs="Times New Roman"/>
                <w:sz w:val="21"/>
                <w:szCs w:val="21"/>
              </w:rPr>
              <w:t>。</w:t>
            </w:r>
          </w:p>
        </w:tc>
        <w:tc>
          <w:tcPr>
            <w:tcW w:w="2098" w:type="dxa"/>
            <w:tcBorders>
              <w:left w:val="single" w:color="auto" w:sz="4" w:space="0"/>
              <w:bottom w:val="single" w:color="auto" w:sz="4" w:space="0"/>
              <w:right w:val="single" w:color="auto" w:sz="4" w:space="0"/>
            </w:tcBorders>
            <w:noWrap w:val="0"/>
            <w:vAlign w:val="center"/>
          </w:tcPr>
          <w:p>
            <w:pPr>
              <w:spacing w:line="240" w:lineRule="auto"/>
              <w:ind w:firstLine="28"/>
              <w:jc w:val="center"/>
              <w:rPr>
                <w:rFonts w:hint="eastAsia" w:ascii="方正仿宋_GBK" w:hAnsi="宋体" w:eastAsia="方正仿宋_GBK"/>
                <w:sz w:val="21"/>
                <w:szCs w:val="21"/>
              </w:rPr>
            </w:pPr>
          </w:p>
        </w:tc>
      </w:tr>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88" w:name="_Toc17629"/>
      <w:bookmarkStart w:id="89" w:name="_Toc106030890"/>
      <w:bookmarkStart w:id="90" w:name="_Toc31497"/>
      <w:bookmarkStart w:id="91" w:name="_Toc76462335"/>
      <w:r>
        <w:rPr>
          <w:rFonts w:hint="eastAsia" w:ascii="方正仿宋_GBK" w:hAnsi="宋体" w:eastAsia="方正仿宋_GBK"/>
          <w:sz w:val="24"/>
        </w:rPr>
        <w:t>三、无效响应</w:t>
      </w:r>
      <w:bookmarkEnd w:id="88"/>
      <w:bookmarkEnd w:id="89"/>
      <w:bookmarkEnd w:id="90"/>
      <w:bookmarkEnd w:id="91"/>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发生以下条款情况之一者，视为无效响应，其响应文件将被拒绝：</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的法定代表人（或其授权代表）或自然人未参加磋商；</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所提交的响应文件不按“第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篇响应文件编制要求”要求签署或盖章；</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（五）法定代表人为同一个人的两个及两个以上法人，母公司、全资子公司及其控股公司，在同一包采购中同时参与磋商；</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，参加同一合同项下的采购活动的；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（八）</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磋商有效期不满足竞争性磋商文件要求的；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（九）</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响应文件内容有与国家现行法律法规相违背的内容，或附有采购人无法接受的条件；</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（十）法律、法规和竞争性磋商文件规定的其他无效情形。</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92" w:name="_Toc106030891"/>
      <w:bookmarkStart w:id="93" w:name="_Toc21414"/>
      <w:bookmarkStart w:id="94" w:name="_Toc76462336"/>
      <w:bookmarkStart w:id="95" w:name="_Toc10687"/>
      <w:r>
        <w:rPr>
          <w:rFonts w:hint="eastAsia" w:ascii="方正仿宋_GBK" w:hAnsi="宋体" w:eastAsia="方正仿宋_GBK"/>
          <w:sz w:val="24"/>
        </w:rPr>
        <w:t>四、</w:t>
      </w:r>
      <w:bookmarkEnd w:id="86"/>
      <w:bookmarkEnd w:id="87"/>
      <w:r>
        <w:rPr>
          <w:rFonts w:hint="eastAsia" w:ascii="方正仿宋_GBK" w:hAnsi="宋体" w:eastAsia="方正仿宋_GBK"/>
          <w:sz w:val="24"/>
        </w:rPr>
        <w:t>采购终止</w:t>
      </w:r>
      <w:bookmarkEnd w:id="92"/>
      <w:bookmarkEnd w:id="93"/>
      <w:bookmarkEnd w:id="94"/>
      <w:bookmarkEnd w:id="95"/>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出现下列情形之一的，采购人应当终止竞争性磋商采购活动，发布项目终止公告并说明原因，重新开展采购活动：</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（一）因情况变化，不再符合规定的竞争性磋商采购方式适用情形的；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80" w:firstLineChars="200"/>
        <w:rPr>
          <w:rFonts w:hint="eastAsia" w:ascii="方正仿宋_GBK" w:hAnsi="宋体" w:eastAsia="方正仿宋_GBK"/>
          <w:color w:val="auto"/>
          <w:sz w:val="24"/>
          <w:szCs w:val="24"/>
          <w:lang w:eastAsia="zh-CN"/>
        </w:rPr>
      </w:pPr>
      <w:r>
        <w:rPr>
          <w:rFonts w:hint="eastAsia" w:ascii="方正仿宋_GBK" w:hAnsi="宋体" w:eastAsia="方正仿宋_GBK"/>
          <w:sz w:val="24"/>
          <w:szCs w:val="24"/>
        </w:rPr>
        <w:t>（三）在采购过程中</w:t>
      </w:r>
      <w:r>
        <w:rPr>
          <w:rFonts w:hint="eastAsia" w:ascii="方正仿宋_GBK" w:hAnsi="宋体" w:eastAsia="方正仿宋_GBK"/>
          <w:sz w:val="24"/>
          <w:szCs w:val="24"/>
          <w:lang w:val="en-US" w:eastAsia="zh-CN"/>
        </w:rPr>
        <w:t>有效磋商投标人</w:t>
      </w:r>
      <w:r>
        <w:rPr>
          <w:rFonts w:hint="eastAsia" w:ascii="方正仿宋_GBK" w:hAnsi="宋体" w:eastAsia="方正仿宋_GBK"/>
          <w:sz w:val="24"/>
          <w:szCs w:val="24"/>
        </w:rPr>
        <w:t>不足3家</w:t>
      </w:r>
      <w:r>
        <w:rPr>
          <w:rFonts w:hint="eastAsia" w:ascii="方正仿宋_GBK" w:hAnsi="宋体" w:eastAsia="方正仿宋_GBK"/>
          <w:sz w:val="24"/>
          <w:szCs w:val="24"/>
          <w:lang w:val="en-US" w:eastAsia="zh-CN"/>
        </w:rPr>
        <w:t>的</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挂网2次有效磋商仍不足3家的情形</w:t>
      </w:r>
      <w:r>
        <w:rPr>
          <w:rFonts w:hint="eastAsia" w:ascii="方正仿宋_GBK" w:hAnsi="宋体" w:eastAsia="方正仿宋_GBK"/>
          <w:color w:val="auto"/>
          <w:sz w:val="24"/>
          <w:szCs w:val="24"/>
          <w:lang w:val="en-US" w:eastAsia="zh-CN"/>
        </w:rPr>
        <w:t>除外；</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采购任务取消的。</w:t>
      </w:r>
    </w:p>
    <w:p>
      <w:pPr>
        <w:snapToGrid w:val="0"/>
        <w:spacing w:line="400" w:lineRule="exact"/>
        <w:ind w:firstLine="465"/>
        <w:rPr>
          <w:rFonts w:hint="eastAsia" w:ascii="方正仿宋_GBK" w:hAnsi="宋体" w:eastAsia="方正仿宋_GBK"/>
          <w:color w:val="FF0000"/>
          <w:sz w:val="24"/>
          <w:szCs w:val="24"/>
        </w:rPr>
      </w:pPr>
    </w:p>
    <w:p>
      <w:pPr>
        <w:spacing w:line="400" w:lineRule="exact"/>
        <w:ind w:firstLine="480" w:firstLineChars="200"/>
        <w:rPr>
          <w:rFonts w:ascii="宋体" w:hAnsi="宋体"/>
          <w:sz w:val="24"/>
          <w:szCs w:val="24"/>
        </w:rPr>
        <w:sectPr>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方正仿宋_GBK" w:hAnsi="Times New Roman" w:eastAsia="方正仿宋_GBK" w:cs="Times New Roman"/>
          <w:b/>
          <w:sz w:val="44"/>
          <w:szCs w:val="20"/>
          <w:lang w:val="en-US" w:eastAsia="zh-CN"/>
        </w:rPr>
      </w:pPr>
      <w:bookmarkStart w:id="96" w:name="_Toc11535"/>
      <w:bookmarkStart w:id="97" w:name="_Toc29948"/>
      <w:bookmarkStart w:id="98" w:name="_Toc76462337"/>
      <w:bookmarkStart w:id="99" w:name="_Toc102227313"/>
      <w:bookmarkStart w:id="100" w:name="_Toc106030892"/>
      <w:r>
        <w:rPr>
          <w:rFonts w:hint="eastAsia" w:ascii="方正仿宋_GBK" w:hAnsi="Times New Roman" w:eastAsia="方正仿宋_GBK" w:cs="Times New Roman"/>
          <w:b/>
          <w:sz w:val="44"/>
          <w:szCs w:val="20"/>
          <w:lang w:val="en-US" w:eastAsia="zh-CN"/>
        </w:rPr>
        <w:t>第五篇  投标人须知</w:t>
      </w:r>
      <w:bookmarkEnd w:id="96"/>
      <w:bookmarkEnd w:id="97"/>
      <w:bookmarkEnd w:id="98"/>
      <w:bookmarkEnd w:id="99"/>
      <w:bookmarkEnd w:id="100"/>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01" w:name="_Toc106030893"/>
      <w:bookmarkStart w:id="102" w:name="_Toc31480"/>
      <w:bookmarkStart w:id="103" w:name="_Toc26717"/>
      <w:bookmarkStart w:id="104" w:name="_Toc76462338"/>
      <w:bookmarkStart w:id="105" w:name="_Toc342913389"/>
      <w:r>
        <w:rPr>
          <w:rFonts w:hint="eastAsia" w:ascii="方正仿宋_GBK" w:hAnsi="宋体" w:eastAsia="方正仿宋_GBK"/>
          <w:sz w:val="24"/>
        </w:rPr>
        <w:t>一、磋商费用</w:t>
      </w:r>
      <w:bookmarkEnd w:id="101"/>
      <w:bookmarkEnd w:id="102"/>
      <w:bookmarkEnd w:id="103"/>
      <w:bookmarkEnd w:id="104"/>
      <w:bookmarkEnd w:id="105"/>
    </w:p>
    <w:p>
      <w:pPr>
        <w:pStyle w:val="142"/>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w:t>
      </w:r>
      <w:r>
        <w:rPr>
          <w:rFonts w:hint="eastAsia" w:ascii="方正仿宋_GBK" w:eastAsia="方正仿宋_GBK"/>
          <w:sz w:val="24"/>
          <w:szCs w:val="24"/>
        </w:rPr>
        <w:t>磋商</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w:t>
      </w:r>
      <w:r>
        <w:rPr>
          <w:rFonts w:hint="eastAsia" w:ascii="方正仿宋_GBK" w:eastAsia="方正仿宋_GBK"/>
          <w:sz w:val="24"/>
          <w:szCs w:val="24"/>
        </w:rPr>
        <w:t>磋商</w:t>
      </w:r>
      <w:r>
        <w:rPr>
          <w:rFonts w:hint="eastAsia" w:ascii="方正仿宋_GBK" w:hAnsi="宋体" w:eastAsia="方正仿宋_GBK"/>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06" w:name="_Toc76462339"/>
      <w:bookmarkStart w:id="107" w:name="_Toc342913391"/>
      <w:bookmarkStart w:id="108" w:name="_Toc15712"/>
      <w:bookmarkStart w:id="109" w:name="_Toc106030894"/>
      <w:bookmarkStart w:id="110" w:name="_Toc131"/>
      <w:r>
        <w:rPr>
          <w:rFonts w:hint="eastAsia" w:ascii="方正仿宋_GBK" w:hAnsi="宋体" w:eastAsia="方正仿宋_GBK"/>
          <w:sz w:val="24"/>
        </w:rPr>
        <w:t>二、竞争性磋商文件</w:t>
      </w:r>
      <w:bookmarkEnd w:id="106"/>
      <w:bookmarkEnd w:id="107"/>
      <w:bookmarkEnd w:id="108"/>
      <w:bookmarkEnd w:id="109"/>
      <w:bookmarkEnd w:id="110"/>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（一）竞争性磋商文件由采购邀请书、项目服务需求、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须知、项目商务需求、磋商程序及方法、评审标准、无效响应和采购终止、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（二）采购人所作的一切有效的书面通知、修改及补充，都是竞争性磋商文件不可分割的部分。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（三）竞争性磋商文件的解释</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如对竞争性磋商文件有疑问，必须以书面形式在</w:t>
      </w:r>
      <w:r>
        <w:rPr>
          <w:rFonts w:hint="eastAsia" w:ascii="方正仿宋_GBK" w:hAnsi="宋体" w:eastAsia="方正仿宋_GBK"/>
          <w:color w:val="auto"/>
          <w:sz w:val="24"/>
          <w:szCs w:val="24"/>
        </w:rPr>
        <w:t>提交响应文件截止时间</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个工作日前向采购人要求澄清，采购人可视具体情况做出处理或答</w:t>
      </w:r>
      <w:r>
        <w:rPr>
          <w:rFonts w:hint="eastAsia" w:ascii="方正仿宋_GBK" w:hAnsi="宋体" w:eastAsia="方正仿宋_GBK"/>
          <w:sz w:val="24"/>
          <w:szCs w:val="24"/>
        </w:rPr>
        <w:t>复。如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未提出疑问，视为完全理解并同意本竞争性磋商文件。一经进入磋商程序，即视为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已详细阅读全部文件资料，完全理解竞争性磋商文件所有条款内容并同意放弃对这方面有不明白及误解的权利。</w:t>
      </w:r>
      <w:bookmarkStart w:id="111" w:name="_Toc318166429"/>
      <w:bookmarkStart w:id="112" w:name="_Toc318159349"/>
      <w:bookmarkStart w:id="113" w:name="_Toc318159780"/>
      <w:bookmarkStart w:id="114" w:name="_Toc318159160"/>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（四）本竞争性磋商文件中，磋商小组根据与</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进行磋商可能实质性变动的内容为竞争性磋商文件第二、三篇全部内容。</w:t>
      </w:r>
    </w:p>
    <w:bookmarkEnd w:id="111"/>
    <w:bookmarkEnd w:id="112"/>
    <w:bookmarkEnd w:id="113"/>
    <w:bookmarkEnd w:id="114"/>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5" w:name="_Toc179714297"/>
      <w:bookmarkStart w:id="116" w:name="_Toc102227318"/>
      <w:bookmarkStart w:id="117" w:name="_Toc76462340"/>
      <w:bookmarkStart w:id="118" w:name="_Toc26883"/>
      <w:bookmarkStart w:id="119" w:name="_Toc342913392"/>
      <w:bookmarkStart w:id="120" w:name="_Toc26007"/>
      <w:bookmarkStart w:id="121" w:name="_Toc106030895"/>
      <w:r>
        <w:rPr>
          <w:rFonts w:hint="eastAsia" w:ascii="方正仿宋_GBK" w:hAnsi="宋体" w:eastAsia="方正仿宋_GBK"/>
          <w:sz w:val="24"/>
        </w:rPr>
        <w:t>三、磋商要求</w:t>
      </w:r>
      <w:bookmarkEnd w:id="115"/>
      <w:bookmarkEnd w:id="116"/>
      <w:bookmarkEnd w:id="117"/>
      <w:bookmarkEnd w:id="118"/>
      <w:bookmarkEnd w:id="119"/>
      <w:bookmarkEnd w:id="120"/>
      <w:bookmarkEnd w:id="121"/>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应当按照竞争性磋商文件的要求编制响应文件，并对竞争性磋商文件提出的要求和条件作出实质性响应，响应文件原则上采用软面订本，同时应编制完整的页码、目录。</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篇响应文件编制要求”规定的目录顺序组织编写和装订，也可在基本格式基础上对表格进行扩展，未规定格式的由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（二）联合体</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1.两个以上</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可以组成一个联合体，以一个</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的身份共同参与磋商。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2.以联合体形式参加磋商的，联合体各方均应满足</w:t>
      </w:r>
      <w:r>
        <w:rPr>
          <w:rFonts w:hint="eastAsia" w:ascii="方正仿宋_GBK" w:eastAsia="方正仿宋_GBK"/>
          <w:sz w:val="24"/>
          <w:szCs w:val="24"/>
          <w:lang w:eastAsia="zh-CN"/>
        </w:rPr>
        <w:t>投标人</w:t>
      </w:r>
      <w:r>
        <w:rPr>
          <w:rFonts w:hint="eastAsia" w:ascii="方正仿宋_GBK" w:eastAsia="方正仿宋_GBK"/>
          <w:sz w:val="24"/>
          <w:szCs w:val="24"/>
        </w:rPr>
        <w:t>资格条件</w:t>
      </w:r>
      <w:r>
        <w:rPr>
          <w:rFonts w:hint="eastAsia" w:ascii="方正仿宋_GBK" w:hAnsi="宋体" w:eastAsia="方正仿宋_GBK"/>
          <w:sz w:val="24"/>
          <w:szCs w:val="24"/>
        </w:rPr>
        <w:t>（详见“第一篇”）</w:t>
      </w:r>
      <w:r>
        <w:rPr>
          <w:rFonts w:ascii="方正仿宋_GBK" w:hAnsi="宋体" w:eastAsia="方正仿宋_GBK"/>
          <w:sz w:val="24"/>
        </w:rPr>
        <w:t>联合体中有同类资质的</w:t>
      </w:r>
      <w:r>
        <w:rPr>
          <w:rFonts w:hint="eastAsia" w:ascii="方正仿宋_GBK" w:hAnsi="宋体" w:eastAsia="方正仿宋_GBK"/>
          <w:sz w:val="24"/>
          <w:lang w:eastAsia="zh-CN"/>
        </w:rPr>
        <w:t>投标人</w:t>
      </w:r>
      <w:r>
        <w:rPr>
          <w:rFonts w:ascii="方正仿宋_GBK" w:hAnsi="宋体" w:eastAsia="方正仿宋_GBK"/>
          <w:sz w:val="24"/>
        </w:rPr>
        <w:t>按照联合体分工承担相同工作的，应当按照资质等级较低的</w:t>
      </w:r>
      <w:r>
        <w:rPr>
          <w:rFonts w:hint="eastAsia" w:ascii="方正仿宋_GBK" w:hAnsi="宋体" w:eastAsia="方正仿宋_GBK"/>
          <w:sz w:val="24"/>
          <w:lang w:eastAsia="zh-CN"/>
        </w:rPr>
        <w:t>投标人</w:t>
      </w:r>
      <w:r>
        <w:rPr>
          <w:rFonts w:ascii="方正仿宋_GBK" w:hAnsi="宋体" w:eastAsia="方正仿宋_GBK"/>
          <w:sz w:val="24"/>
        </w:rPr>
        <w:t>确定资质等级。</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3.联合体各方之间应当签订共同联合协议，共同联合协议中应确定主办方（主体），代表联合体进行磋商和澄清。共同联合协议应明确约定联合体各方承担的工作和相应的责任及协议合同金额，并将共同联合协议连同响应文件一并提交采购人和采购代理机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4.</w:t>
      </w:r>
      <w:r>
        <w:rPr>
          <w:rFonts w:ascii="方正仿宋_GBK" w:hAnsi="宋体" w:eastAsia="方正仿宋_GBK"/>
          <w:sz w:val="24"/>
        </w:rPr>
        <w:t>以联合体形式参加政府采购活动的，联合体各方不得再单独参加或者与其他</w:t>
      </w:r>
      <w:r>
        <w:rPr>
          <w:rFonts w:hint="eastAsia" w:ascii="方正仿宋_GBK" w:hAnsi="宋体" w:eastAsia="方正仿宋_GBK"/>
          <w:sz w:val="24"/>
          <w:lang w:eastAsia="zh-CN"/>
        </w:rPr>
        <w:t>投标人</w:t>
      </w:r>
      <w:r>
        <w:rPr>
          <w:rFonts w:ascii="方正仿宋_GBK" w:hAnsi="宋体" w:eastAsia="方正仿宋_GBK"/>
          <w:sz w:val="24"/>
        </w:rPr>
        <w:t>另外组成联合体参加同一合同项下的政府采购活动。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5.联合体业绩计算，按照共同联合协议分工认定。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6.</w:t>
      </w:r>
      <w:r>
        <w:rPr>
          <w:rFonts w:ascii="方正仿宋_GBK" w:hAnsi="宋体" w:eastAsia="方正仿宋_GBK"/>
          <w:sz w:val="24"/>
          <w:szCs w:val="24"/>
        </w:rPr>
        <w:t>两个以上的自然人、法人或者其他组织组成一个联合体，以一个</w:t>
      </w:r>
      <w:r>
        <w:rPr>
          <w:rFonts w:hint="eastAsia" w:ascii="方正仿宋_GBK" w:hAnsi="宋体" w:eastAsia="方正仿宋_GBK"/>
          <w:sz w:val="24"/>
          <w:szCs w:val="24"/>
          <w:lang w:eastAsia="zh-CN"/>
        </w:rPr>
        <w:t>投标人</w:t>
      </w:r>
      <w:r>
        <w:rPr>
          <w:rFonts w:ascii="方正仿宋_GBK" w:hAnsi="宋体" w:eastAsia="方正仿宋_GBK"/>
          <w:sz w:val="24"/>
          <w:szCs w:val="24"/>
        </w:rPr>
        <w:t>的身份共同参加政府采购活动的，</w:t>
      </w:r>
      <w:r>
        <w:rPr>
          <w:rFonts w:hint="eastAsia" w:ascii="方正仿宋_GBK" w:hAnsi="宋体" w:eastAsia="方正仿宋_GBK"/>
          <w:sz w:val="24"/>
          <w:szCs w:val="24"/>
        </w:rPr>
        <w:t>将</w:t>
      </w:r>
      <w:r>
        <w:rPr>
          <w:rFonts w:ascii="方正仿宋_GBK" w:hAnsi="宋体" w:eastAsia="方正仿宋_GBK"/>
          <w:sz w:val="24"/>
          <w:szCs w:val="24"/>
        </w:rPr>
        <w:t>对所有联合体成员进行信用记录查询，联合体成员存在不良信用记录的，视同联合体存在不良信用记录</w:t>
      </w:r>
      <w:r>
        <w:rPr>
          <w:rFonts w:hint="eastAsia" w:ascii="方正仿宋_GBK" w:hAnsi="宋体" w:eastAsia="方正仿宋_GBK"/>
          <w:sz w:val="24"/>
          <w:szCs w:val="24"/>
        </w:rPr>
        <w:t>，将</w:t>
      </w:r>
      <w:r>
        <w:rPr>
          <w:rFonts w:ascii="方正仿宋_GBK" w:hAnsi="宋体" w:eastAsia="方正仿宋_GBK"/>
          <w:sz w:val="24"/>
          <w:szCs w:val="24"/>
        </w:rPr>
        <w:t>拒绝</w:t>
      </w:r>
      <w:r>
        <w:rPr>
          <w:rFonts w:hint="eastAsia" w:ascii="方正仿宋_GBK" w:hAnsi="宋体" w:eastAsia="方正仿宋_GBK"/>
          <w:sz w:val="24"/>
          <w:szCs w:val="24"/>
        </w:rPr>
        <w:t>该联合体</w:t>
      </w:r>
      <w:r>
        <w:rPr>
          <w:rFonts w:ascii="方正仿宋_GBK" w:hAnsi="宋体" w:eastAsia="方正仿宋_GBK"/>
          <w:sz w:val="24"/>
          <w:szCs w:val="24"/>
        </w:rPr>
        <w:t>参与政府采购活动。</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（三）磋商有效期：响应文件及有关承诺文件有效期为提交响应文件截止时间起90天。</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（四）修正错误</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所递交的响应文件或最后报价中的价格出现大写金额和小写金额不一致的错误，以大写金额修正为准。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2.磋商小组按上述修正错误的原则及方法修正</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的报价，</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同意并签字确认后，修正后的报价对</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具有约束作用。如果</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不接受修正后的价格，将失去成为</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的资格。</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一份（电子文档内容应与纸质文件正本一致，如不一致以纸质文件正本为准，并在报名截止时间之前上传至电子招投标平台）；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响应文件按竞争性磋商文件“第</w:t>
      </w:r>
      <w:r>
        <w:rPr>
          <w:rFonts w:hint="eastAsia" w:ascii="方正仿宋_GBK" w:hAnsi="宋体" w:eastAsia="方正仿宋_GBK"/>
          <w:sz w:val="24"/>
          <w:lang w:val="en-US" w:eastAsia="zh-CN"/>
        </w:rPr>
        <w:t>六</w:t>
      </w:r>
      <w:r>
        <w:rPr>
          <w:rFonts w:hint="eastAsia" w:ascii="方正仿宋_GBK" w:hAnsi="宋体" w:eastAsia="方正仿宋_GBK"/>
          <w:sz w:val="24"/>
        </w:rPr>
        <w:t>篇响应文件编制要求”要求签署或盖章。</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（六）响应文件的递交</w:t>
      </w:r>
    </w:p>
    <w:p>
      <w:pPr>
        <w:pStyle w:val="3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响应文件的正本、副本均应密封送达磋商地点，应在封套上注明磋商项目名称、</w:t>
      </w:r>
      <w:r>
        <w:rPr>
          <w:rFonts w:hint="eastAsia" w:ascii="方正仿宋_GBK" w:hAnsi="宋体" w:eastAsia="方正仿宋_GBK"/>
          <w:sz w:val="24"/>
          <w:lang w:eastAsia="zh-CN"/>
        </w:rPr>
        <w:t>投标人</w:t>
      </w:r>
      <w:r>
        <w:rPr>
          <w:rFonts w:hint="eastAsia" w:ascii="方正仿宋_GBK" w:hAnsi="宋体" w:eastAsia="方正仿宋_GBK"/>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（七）</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各个</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应当派1-2名代表参与磋商，至少1人应为法定代表人（或其授权代表）或自然人（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参与谈判人员应熟悉谈判项目技术及商务需求</w:t>
      </w:r>
      <w:r>
        <w:rPr>
          <w:rFonts w:hint="eastAsia" w:ascii="方正仿宋_GBK" w:hAnsi="宋体" w:eastAsia="方正仿宋_GBK"/>
          <w:sz w:val="24"/>
          <w:szCs w:val="24"/>
        </w:rPr>
        <w:t>。</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2" w:name="_Toc106030896"/>
      <w:bookmarkStart w:id="123" w:name="_Toc12110"/>
      <w:bookmarkStart w:id="124" w:name="_Toc76462341"/>
      <w:bookmarkStart w:id="125" w:name="_Toc6435"/>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的确认和变更</w:t>
      </w:r>
      <w:bookmarkEnd w:id="122"/>
      <w:bookmarkEnd w:id="123"/>
      <w:bookmarkEnd w:id="124"/>
      <w:bookmarkEnd w:id="125"/>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的确认</w:t>
      </w:r>
    </w:p>
    <w:p>
      <w:pPr>
        <w:snapToGrid w:val="0"/>
        <w:spacing w:line="400" w:lineRule="exact"/>
        <w:ind w:firstLine="480" w:firstLineChars="200"/>
        <w:rPr>
          <w:rFonts w:hint="eastAsia" w:ascii="方正仿宋_GBK" w:hAnsi="宋体" w:eastAsia="方正仿宋_GBK"/>
          <w:color w:val="auto"/>
          <w:sz w:val="24"/>
          <w:szCs w:val="24"/>
        </w:rPr>
      </w:pPr>
      <w:r>
        <w:rPr>
          <w:rFonts w:ascii="方正仿宋_GBK" w:hAnsi="宋体" w:eastAsia="方正仿宋_GBK"/>
          <w:color w:val="auto"/>
          <w:sz w:val="24"/>
          <w:szCs w:val="24"/>
        </w:rPr>
        <w:t>采购人</w:t>
      </w:r>
      <w:r>
        <w:rPr>
          <w:rFonts w:hint="eastAsia" w:ascii="方正仿宋_GBK" w:hAnsi="宋体" w:eastAsia="方正仿宋_GBK"/>
          <w:color w:val="auto"/>
          <w:sz w:val="24"/>
          <w:szCs w:val="24"/>
        </w:rPr>
        <w:t>从评审报告提出的成交候选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中，按照排序由高到低的原则确定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eastAsia="方正仿宋_GBK"/>
          <w:color w:val="auto"/>
          <w:sz w:val="24"/>
          <w:lang w:eastAsia="zh-CN"/>
        </w:rPr>
        <w:t>成交供应商</w:t>
      </w:r>
      <w:r>
        <w:rPr>
          <w:rFonts w:hint="eastAsia" w:ascii="方正仿宋_GBK" w:eastAsia="方正仿宋_GBK"/>
          <w:color w:val="auto"/>
          <w:sz w:val="24"/>
        </w:rPr>
        <w:t>拒绝与采购人签订合同的，采购人可以按照评标报告推荐的成交候选</w:t>
      </w:r>
      <w:r>
        <w:rPr>
          <w:rFonts w:hint="eastAsia" w:ascii="方正仿宋_GBK" w:eastAsia="方正仿宋_GBK"/>
          <w:color w:val="auto"/>
          <w:sz w:val="24"/>
          <w:lang w:eastAsia="zh-CN"/>
        </w:rPr>
        <w:t>投标人</w:t>
      </w:r>
      <w:r>
        <w:rPr>
          <w:rFonts w:hint="eastAsia" w:ascii="方正仿宋_GBK" w:eastAsia="方正仿宋_GBK"/>
          <w:color w:val="auto"/>
          <w:sz w:val="24"/>
        </w:rPr>
        <w:t>顺序，确定排名下一位的候选人为</w:t>
      </w:r>
      <w:r>
        <w:rPr>
          <w:rFonts w:hint="eastAsia" w:ascii="方正仿宋_GBK" w:eastAsia="方正仿宋_GBK"/>
          <w:color w:val="auto"/>
          <w:sz w:val="24"/>
          <w:lang w:eastAsia="zh-CN"/>
        </w:rPr>
        <w:t>成交供应商</w:t>
      </w:r>
      <w:r>
        <w:rPr>
          <w:rFonts w:hint="eastAsia" w:ascii="方正仿宋_GBK" w:eastAsia="方正仿宋_GBK"/>
          <w:color w:val="auto"/>
          <w:sz w:val="24"/>
        </w:rPr>
        <w:t>，也可以重新开展采购活动。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6" w:name="_Toc102227321"/>
      <w:bookmarkStart w:id="127" w:name="_Toc106030897"/>
      <w:bookmarkStart w:id="128" w:name="_Toc342913395"/>
      <w:bookmarkStart w:id="129" w:name="_Toc21532"/>
      <w:bookmarkStart w:id="130" w:name="_Toc76462342"/>
      <w:bookmarkStart w:id="131" w:name="_Toc23413"/>
      <w:r>
        <w:rPr>
          <w:rFonts w:hint="eastAsia" w:ascii="方正仿宋_GBK" w:hAnsi="宋体" w:eastAsia="方正仿宋_GBK"/>
          <w:sz w:val="24"/>
        </w:rPr>
        <w:t>五、成交通知</w:t>
      </w:r>
      <w:bookmarkEnd w:id="126"/>
      <w:bookmarkEnd w:id="127"/>
      <w:bookmarkEnd w:id="128"/>
      <w:bookmarkEnd w:id="129"/>
      <w:bookmarkEnd w:id="130"/>
      <w:bookmarkEnd w:id="131"/>
    </w:p>
    <w:p>
      <w:pPr>
        <w:spacing w:line="400" w:lineRule="exact"/>
        <w:ind w:firstLine="360" w:firstLineChars="15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将在重庆医科大学附属儿童医院电子招投标平台（zbb.chcmu.com）上发布成交结果公告。</w:t>
      </w:r>
    </w:p>
    <w:p>
      <w:pPr>
        <w:spacing w:line="400" w:lineRule="exact"/>
        <w:ind w:firstLine="360" w:firstLineChars="150"/>
        <w:rPr>
          <w:rFonts w:ascii="方正仿宋_GBK" w:hAnsi="宋体" w:eastAsia="方正仿宋_GBK"/>
          <w:sz w:val="24"/>
          <w:szCs w:val="24"/>
        </w:rPr>
      </w:pPr>
      <w:r>
        <w:rPr>
          <w:rFonts w:hint="eastAsia" w:ascii="方正仿宋_GBK" w:hAnsi="宋体" w:eastAsia="方正仿宋_GBK"/>
          <w:sz w:val="24"/>
          <w:szCs w:val="24"/>
        </w:rPr>
        <w:t>（二）结果公告发出同时</w:t>
      </w:r>
      <w:r>
        <w:rPr>
          <w:rFonts w:hint="eastAsia" w:ascii="方正仿宋_GBK" w:hAnsi="宋体" w:eastAsia="方正仿宋_GBK"/>
          <w:sz w:val="24"/>
          <w:szCs w:val="24"/>
          <w:lang w:val="en-US" w:eastAsia="zh-CN"/>
        </w:rPr>
        <w:t>在</w:t>
      </w:r>
      <w:r>
        <w:rPr>
          <w:rFonts w:hint="eastAsia" w:ascii="方正仿宋_GBK" w:hAnsi="宋体" w:eastAsia="方正仿宋_GBK"/>
          <w:sz w:val="24"/>
          <w:szCs w:val="24"/>
        </w:rPr>
        <w:t>平台内发出《</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32" w:name="_Toc21448"/>
      <w:bookmarkStart w:id="133" w:name="_Toc106030898"/>
      <w:bookmarkStart w:id="134" w:name="_Toc76462343"/>
      <w:bookmarkStart w:id="135" w:name="_Toc7828"/>
      <w:r>
        <w:rPr>
          <w:rFonts w:hint="eastAsia" w:ascii="方正仿宋_GBK" w:hAnsi="宋体" w:eastAsia="方正仿宋_GBK"/>
          <w:sz w:val="24"/>
        </w:rPr>
        <w:t>六、质疑</w:t>
      </w:r>
      <w:bookmarkEnd w:id="132"/>
      <w:bookmarkEnd w:id="133"/>
      <w:bookmarkEnd w:id="134"/>
      <w:r>
        <w:rPr>
          <w:rFonts w:hint="eastAsia" w:ascii="方正仿宋_GBK" w:hAnsi="宋体" w:eastAsia="方正仿宋_GBK"/>
          <w:sz w:val="24"/>
          <w:lang w:val="en-US" w:eastAsia="zh-CN"/>
        </w:rPr>
        <w:t>处理</w:t>
      </w:r>
      <w:bookmarkEnd w:id="135"/>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投标人如对本磋商文件有任何实质性疑问，应当以书面形式向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color w:val="FF0000"/>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w:t>
      </w:r>
      <w:r>
        <w:rPr>
          <w:rFonts w:hint="eastAsia" w:ascii="方正仿宋_GBK" w:hAnsi="仿宋" w:eastAsia="方正仿宋_GBK" w:cs="仿宋"/>
          <w:sz w:val="24"/>
          <w:lang w:val="en-US" w:eastAsia="zh-CN"/>
        </w:rPr>
        <w:t>7</w:t>
      </w:r>
      <w:r>
        <w:rPr>
          <w:rFonts w:hint="eastAsia" w:ascii="方正仿宋_GBK" w:hAnsi="仿宋" w:eastAsia="方正仿宋_GBK" w:cs="仿宋"/>
          <w:sz w:val="24"/>
        </w:rPr>
        <w:t>个工作日内作出答复，并以书面形式通知质疑</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和其他有关</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6" w:name="_Toc76462344"/>
      <w:bookmarkStart w:id="137" w:name="_Toc106030899"/>
      <w:bookmarkStart w:id="138" w:name="_Toc28334"/>
      <w:bookmarkStart w:id="139" w:name="_Toc28781"/>
      <w:r>
        <w:rPr>
          <w:rFonts w:hint="eastAsia" w:ascii="方正仿宋_GBK" w:hAnsi="宋体" w:eastAsia="方正仿宋_GBK"/>
          <w:sz w:val="24"/>
        </w:rPr>
        <w:t>七、</w:t>
      </w:r>
      <w:bookmarkEnd w:id="136"/>
      <w:bookmarkEnd w:id="137"/>
      <w:bookmarkEnd w:id="138"/>
      <w:bookmarkStart w:id="140" w:name="_Toc102227322"/>
      <w:bookmarkStart w:id="141" w:name="_Toc3372"/>
      <w:bookmarkStart w:id="142" w:name="_Toc106030901"/>
      <w:bookmarkStart w:id="143" w:name="_Toc342913396"/>
      <w:bookmarkStart w:id="144" w:name="_Toc76462346"/>
      <w:bookmarkStart w:id="145" w:name="_Toc11641055"/>
      <w:bookmarkStart w:id="146" w:name="_Toc12789059"/>
      <w:r>
        <w:rPr>
          <w:rFonts w:hint="eastAsia" w:ascii="方正仿宋_GBK" w:hAnsi="宋体" w:eastAsia="方正仿宋_GBK"/>
          <w:sz w:val="24"/>
        </w:rPr>
        <w:t>签订</w:t>
      </w:r>
      <w:bookmarkEnd w:id="140"/>
      <w:r>
        <w:rPr>
          <w:rFonts w:hint="eastAsia" w:ascii="方正仿宋_GBK" w:hAnsi="宋体" w:eastAsia="方正仿宋_GBK"/>
          <w:sz w:val="24"/>
        </w:rPr>
        <w:t>合同</w:t>
      </w:r>
      <w:bookmarkEnd w:id="139"/>
      <w:bookmarkEnd w:id="141"/>
      <w:bookmarkEnd w:id="142"/>
      <w:bookmarkEnd w:id="143"/>
      <w:bookmarkEnd w:id="144"/>
    </w:p>
    <w:p>
      <w:pPr>
        <w:spacing w:line="400" w:lineRule="exact"/>
        <w:ind w:firstLine="480" w:firstLineChars="200"/>
        <w:rPr>
          <w:rFonts w:ascii="方正仿宋_GBK" w:hAnsi="方正仿宋_GBK" w:eastAsia="方正仿宋_GBK"/>
          <w:sz w:val="24"/>
        </w:rPr>
      </w:pPr>
      <w:r>
        <w:rPr>
          <w:rFonts w:hint="eastAsia" w:ascii="方正仿宋_GBK" w:hAnsi="方正仿宋_GBK" w:eastAsia="方正仿宋_GBK"/>
          <w:sz w:val="24"/>
        </w:rPr>
        <w:t>（一）中标人应于收到中标通知书之日起5个工作日内，按照中标项目的招标文件与投标文件递交采购合同。</w:t>
      </w:r>
    </w:p>
    <w:p>
      <w:pPr>
        <w:spacing w:line="400" w:lineRule="exact"/>
        <w:ind w:firstLine="360" w:firstLineChars="150"/>
        <w:rPr>
          <w:rFonts w:ascii="方正仿宋_GBK" w:hAnsi="方正仿宋_GBK" w:eastAsia="方正仿宋_GBK"/>
          <w:sz w:val="24"/>
        </w:rPr>
      </w:pPr>
      <w:r>
        <w:rPr>
          <w:rFonts w:hint="eastAsia" w:ascii="方正仿宋_GBK" w:hAnsi="方正仿宋_GBK" w:eastAsia="方正仿宋_GBK"/>
          <w:sz w:val="24"/>
        </w:rPr>
        <w:t xml:space="preserve"> （二）中标人未在规定时间内递交合同或放弃中标资格，则招标人将有充分的理由废除授标，将中标人纳入</w:t>
      </w:r>
      <w:r>
        <w:rPr>
          <w:rFonts w:hint="eastAsia" w:ascii="方正仿宋_GBK" w:hAnsi="方正仿宋_GBK" w:eastAsia="方正仿宋_GBK"/>
          <w:sz w:val="24"/>
          <w:lang w:val="en-US" w:eastAsia="zh-CN"/>
        </w:rPr>
        <w:t>招标人</w:t>
      </w:r>
      <w:r>
        <w:rPr>
          <w:rFonts w:hint="eastAsia" w:ascii="方正仿宋_GBK" w:hAnsi="方正仿宋_GBK" w:eastAsia="方正仿宋_GBK"/>
          <w:sz w:val="24"/>
        </w:rPr>
        <w:t>失信</w:t>
      </w:r>
      <w:r>
        <w:rPr>
          <w:rFonts w:hint="eastAsia" w:ascii="方正仿宋_GBK" w:hAnsi="方正仿宋_GBK" w:eastAsia="方正仿宋_GBK"/>
          <w:sz w:val="24"/>
          <w:lang w:eastAsia="zh-CN"/>
        </w:rPr>
        <w:t>投标人</w:t>
      </w:r>
      <w:r>
        <w:rPr>
          <w:rFonts w:hint="eastAsia" w:ascii="方正仿宋_GBK" w:hAnsi="方正仿宋_GBK" w:eastAsia="方正仿宋_GBK"/>
          <w:sz w:val="24"/>
        </w:rPr>
        <w:t>名单并扣除该项目的投标保证金，两年之内不得参与</w:t>
      </w:r>
      <w:r>
        <w:rPr>
          <w:rFonts w:hint="eastAsia" w:ascii="方正仿宋_GBK" w:hAnsi="方正仿宋_GBK" w:eastAsia="方正仿宋_GBK"/>
          <w:sz w:val="24"/>
          <w:lang w:val="en-US" w:eastAsia="zh-CN"/>
        </w:rPr>
        <w:t>招标人</w:t>
      </w:r>
      <w:r>
        <w:rPr>
          <w:rFonts w:hint="eastAsia" w:ascii="方正仿宋_GBK" w:hAnsi="方正仿宋_GBK" w:eastAsia="方正仿宋_GBK"/>
          <w:sz w:val="24"/>
        </w:rPr>
        <w:t>任何级别的招标项目。</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rPr>
        <w:sectPr>
          <w:footerReference r:id="rId10" w:type="default"/>
          <w:footerReference r:id="rId11"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w:t>
      </w:r>
      <w:r>
        <w:rPr>
          <w:rFonts w:hint="eastAsia" w:ascii="方正仿宋_GBK" w:hAnsi="方正仿宋_GBK" w:eastAsia="方正仿宋_GBK"/>
          <w:sz w:val="24"/>
          <w:lang w:val="en-US" w:eastAsia="zh-CN"/>
        </w:rPr>
        <w:t>或分包</w:t>
      </w:r>
      <w:r>
        <w:rPr>
          <w:rFonts w:hint="eastAsia" w:ascii="方正仿宋_GBK" w:hAnsi="方正仿宋_GBK" w:eastAsia="方正仿宋_GBK"/>
          <w:sz w:val="24"/>
        </w:rPr>
        <w:t>给他人。</w:t>
      </w:r>
      <w:bookmarkEnd w:id="145"/>
      <w:bookmarkEnd w:id="146"/>
    </w:p>
    <w:p>
      <w:pPr>
        <w:pStyle w:val="4"/>
        <w:spacing w:before="200" w:after="200" w:line="240" w:lineRule="auto"/>
        <w:jc w:val="center"/>
        <w:rPr>
          <w:rFonts w:hint="eastAsia" w:ascii="方正仿宋_GBK" w:hAnsi="Times New Roman" w:eastAsia="方正仿宋_GBK" w:cs="Times New Roman"/>
          <w:b/>
          <w:sz w:val="44"/>
          <w:szCs w:val="20"/>
          <w:lang w:val="en-US" w:eastAsia="zh-CN"/>
        </w:rPr>
      </w:pPr>
      <w:bookmarkStart w:id="147" w:name="_Hlt41879464"/>
      <w:bookmarkEnd w:id="147"/>
      <w:bookmarkStart w:id="148" w:name="_Toc106030905"/>
      <w:bookmarkStart w:id="149" w:name="_Toc76462349"/>
      <w:bookmarkStart w:id="150" w:name="_Toc4981"/>
      <w:bookmarkStart w:id="151" w:name="_Toc27984"/>
      <w:r>
        <w:rPr>
          <w:rFonts w:hint="eastAsia" w:ascii="方正仿宋_GBK" w:hAnsi="Times New Roman" w:eastAsia="方正仿宋_GBK" w:cs="Times New Roman"/>
          <w:b/>
          <w:sz w:val="44"/>
          <w:szCs w:val="20"/>
          <w:lang w:val="en-US" w:eastAsia="zh-CN"/>
        </w:rPr>
        <w:t>第六篇  响应文件编制要求</w:t>
      </w:r>
      <w:bookmarkEnd w:id="148"/>
      <w:bookmarkEnd w:id="149"/>
      <w:bookmarkEnd w:id="150"/>
      <w:bookmarkEnd w:id="151"/>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开标现场最终报价表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二、服务部分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（一）服务响应偏离表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sz w:val="24"/>
          <w:szCs w:val="24"/>
        </w:rPr>
        <w:t>（一）中小企业声明函、监狱企业证明文件、残疾人福利性单位声明函</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（二）联合体协议或分包意向协议（格式自定）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52" w:name="_Toc106030906"/>
      <w:bookmarkStart w:id="153" w:name="_Toc342913419"/>
      <w:bookmarkStart w:id="154" w:name="_Toc313888360"/>
      <w:bookmarkStart w:id="155" w:name="_Toc15994"/>
      <w:bookmarkStart w:id="156" w:name="_Toc313008356"/>
      <w:bookmarkStart w:id="157" w:name="_Toc76462350"/>
      <w:bookmarkStart w:id="158" w:name="_Toc283382454"/>
      <w:bookmarkStart w:id="159" w:name="_Toc12789073"/>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竞争性磋商</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3" w:type="first"/>
          <w:footerReference r:id="rId16" w:type="first"/>
          <w:headerReference r:id="rId12" w:type="default"/>
          <w:footerReference r:id="rId14" w:type="default"/>
          <w:footerReference r:id="rId15"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0" w:name="_Toc25111"/>
      <w:r>
        <w:rPr>
          <w:rFonts w:hint="eastAsia" w:ascii="方正仿宋_GBK" w:hAnsi="宋体" w:eastAsia="方正仿宋_GBK"/>
          <w:sz w:val="24"/>
        </w:rPr>
        <w:t>一、经济部分</w:t>
      </w:r>
      <w:bookmarkEnd w:id="152"/>
      <w:bookmarkEnd w:id="153"/>
      <w:bookmarkEnd w:id="154"/>
      <w:bookmarkEnd w:id="155"/>
      <w:bookmarkEnd w:id="156"/>
      <w:bookmarkEnd w:id="157"/>
      <w:bookmarkEnd w:id="160"/>
    </w:p>
    <w:bookmarkEnd w:id="158"/>
    <w:bookmarkEnd w:id="159"/>
    <w:p>
      <w:pPr>
        <w:tabs>
          <w:tab w:val="left" w:pos="6300"/>
        </w:tabs>
        <w:snapToGrid w:val="0"/>
        <w:spacing w:line="312" w:lineRule="auto"/>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jc w:val="center"/>
        <w:rPr>
          <w:rFonts w:hint="eastAsia" w:ascii="方正仿宋_GBK" w:eastAsia="方正仿宋_GBK"/>
          <w:b/>
          <w:szCs w:val="28"/>
          <w:lang w:val="en-US" w:eastAsia="zh-CN"/>
        </w:rPr>
      </w:pPr>
      <w:r>
        <w:rPr>
          <w:rFonts w:hint="eastAsia" w:ascii="方正仿宋_GBK" w:eastAsia="方正仿宋_GBK"/>
          <w:b/>
          <w:szCs w:val="28"/>
          <w:lang w:val="en-US" w:eastAsia="zh-CN"/>
        </w:rPr>
        <w:t>开标一览表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89"/>
        <w:gridCol w:w="803"/>
        <w:gridCol w:w="202"/>
        <w:gridCol w:w="1499"/>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投标人名称</w:t>
            </w:r>
          </w:p>
        </w:tc>
        <w:tc>
          <w:tcPr>
            <w:tcW w:w="7549" w:type="dxa"/>
            <w:gridSpan w:val="14"/>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产品名称</w:t>
            </w:r>
          </w:p>
        </w:tc>
        <w:tc>
          <w:tcPr>
            <w:tcW w:w="3686" w:type="dxa"/>
            <w:gridSpan w:val="11"/>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c>
          <w:tcPr>
            <w:tcW w:w="1194" w:type="dxa"/>
            <w:gridSpan w:val="3"/>
            <w:vAlign w:val="center"/>
          </w:tcPr>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生产企业</w:t>
            </w:r>
          </w:p>
        </w:tc>
        <w:tc>
          <w:tcPr>
            <w:tcW w:w="3520" w:type="dxa"/>
            <w:gridSpan w:val="2"/>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规格/型号</w:t>
            </w:r>
          </w:p>
        </w:tc>
        <w:tc>
          <w:tcPr>
            <w:tcW w:w="1134" w:type="dxa"/>
            <w:gridSpan w:val="3"/>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993" w:type="dxa"/>
            <w:gridSpan w:val="3"/>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产 地</w:t>
            </w:r>
          </w:p>
        </w:tc>
        <w:tc>
          <w:tcPr>
            <w:tcW w:w="904" w:type="dxa"/>
            <w:gridSpan w:val="2"/>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849" w:type="dxa"/>
            <w:gridSpan w:val="6"/>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医疗器械注册证号</w:t>
            </w:r>
          </w:p>
        </w:tc>
        <w:tc>
          <w:tcPr>
            <w:tcW w:w="3520" w:type="dxa"/>
            <w:gridSpan w:val="2"/>
            <w:vAlign w:val="center"/>
          </w:tcPr>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投标单价（元）</w:t>
            </w:r>
          </w:p>
        </w:tc>
        <w:tc>
          <w:tcPr>
            <w:tcW w:w="1134" w:type="dxa"/>
            <w:gridSpan w:val="3"/>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709" w:type="dxa"/>
            <w:gridSpan w:val="2"/>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计数单位</w:t>
            </w:r>
          </w:p>
        </w:tc>
        <w:tc>
          <w:tcPr>
            <w:tcW w:w="851" w:type="dxa"/>
            <w:gridSpan w:val="2"/>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181" w:type="dxa"/>
            <w:gridSpan w:val="5"/>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投标数量</w:t>
            </w:r>
          </w:p>
        </w:tc>
        <w:tc>
          <w:tcPr>
            <w:tcW w:w="803" w:type="dxa"/>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701" w:type="dxa"/>
            <w:gridSpan w:val="2"/>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投标总价</w:t>
            </w:r>
          </w:p>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（小写）</w:t>
            </w:r>
          </w:p>
        </w:tc>
        <w:tc>
          <w:tcPr>
            <w:tcW w:w="2021" w:type="dxa"/>
            <w:vAlign w:val="center"/>
          </w:tcPr>
          <w:p>
            <w:pPr>
              <w:spacing w:line="400" w:lineRule="exact"/>
              <w:ind w:firstLine="480" w:firstLineChars="200"/>
              <w:jc w:val="left"/>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7"/>
            <w:vAlign w:val="center"/>
          </w:tcPr>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质保期</w:t>
            </w:r>
          </w:p>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（月）</w:t>
            </w:r>
          </w:p>
        </w:tc>
        <w:tc>
          <w:tcPr>
            <w:tcW w:w="1418" w:type="dxa"/>
            <w:gridSpan w:val="3"/>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701" w:type="dxa"/>
            <w:gridSpan w:val="5"/>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交货期</w:t>
            </w:r>
          </w:p>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（日历日）</w:t>
            </w:r>
          </w:p>
        </w:tc>
        <w:tc>
          <w:tcPr>
            <w:tcW w:w="1417" w:type="dxa"/>
            <w:gridSpan w:val="4"/>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701" w:type="dxa"/>
            <w:gridSpan w:val="2"/>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维修到场时间</w:t>
            </w:r>
          </w:p>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（小时）</w:t>
            </w:r>
          </w:p>
        </w:tc>
        <w:tc>
          <w:tcPr>
            <w:tcW w:w="2021" w:type="dxa"/>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备用机到场时间</w:t>
            </w:r>
          </w:p>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（日历日）</w:t>
            </w:r>
          </w:p>
        </w:tc>
        <w:tc>
          <w:tcPr>
            <w:tcW w:w="992" w:type="dxa"/>
            <w:gridSpan w:val="3"/>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701" w:type="dxa"/>
            <w:gridSpan w:val="5"/>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培训人员数量/培训时长</w:t>
            </w:r>
          </w:p>
        </w:tc>
        <w:tc>
          <w:tcPr>
            <w:tcW w:w="1336" w:type="dxa"/>
            <w:gridSpan w:val="4"/>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499" w:type="dxa"/>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是否接受付款方式</w:t>
            </w:r>
          </w:p>
        </w:tc>
        <w:tc>
          <w:tcPr>
            <w:tcW w:w="2021" w:type="dxa"/>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随机备品、附件、工具数量及供应方式</w:t>
            </w:r>
          </w:p>
        </w:tc>
        <w:tc>
          <w:tcPr>
            <w:tcW w:w="7549" w:type="dxa"/>
            <w:gridSpan w:val="14"/>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质保期后维保费</w:t>
            </w:r>
          </w:p>
        </w:tc>
        <w:tc>
          <w:tcPr>
            <w:tcW w:w="7549" w:type="dxa"/>
            <w:gridSpan w:val="14"/>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7"/>
            <w:vAlign w:val="center"/>
          </w:tcPr>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投标单位</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投标单位</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u w:val="single"/>
        </w:rPr>
      </w:pPr>
      <w:r>
        <w:rPr>
          <w:rFonts w:hint="eastAsia" w:ascii="方正仿宋_GBK" w:hAnsi="宋体" w:eastAsia="方正仿宋_GBK"/>
          <w:sz w:val="24"/>
          <w:szCs w:val="24"/>
        </w:rPr>
        <w:t xml:space="preserve">磋商项目名称： </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8"/>
        <w:gridCol w:w="1721"/>
        <w:gridCol w:w="1417"/>
        <w:gridCol w:w="1250"/>
        <w:gridCol w:w="867"/>
        <w:gridCol w:w="1186"/>
        <w:gridCol w:w="12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1648" w:type="dxa"/>
            <w:noWrap w:val="0"/>
            <w:vAlign w:val="center"/>
          </w:tcPr>
          <w:p>
            <w:pPr>
              <w:jc w:val="center"/>
              <w:rPr>
                <w:rFonts w:hint="eastAsia" w:ascii="方正仿宋_GBK" w:hAnsi="宋体" w:eastAsia="方正仿宋_GBK"/>
                <w:sz w:val="24"/>
                <w:szCs w:val="28"/>
              </w:rPr>
            </w:pPr>
            <w:r>
              <w:rPr>
                <w:rFonts w:hint="eastAsia" w:ascii="方正仿宋_GBK" w:hAnsi="宋体" w:eastAsia="方正仿宋_GBK"/>
                <w:sz w:val="24"/>
                <w:szCs w:val="28"/>
              </w:rPr>
              <w:t>产品名称</w:t>
            </w:r>
          </w:p>
        </w:tc>
        <w:tc>
          <w:tcPr>
            <w:tcW w:w="1721" w:type="dxa"/>
            <w:noWrap w:val="0"/>
            <w:vAlign w:val="center"/>
          </w:tcPr>
          <w:p>
            <w:pPr>
              <w:jc w:val="center"/>
              <w:rPr>
                <w:rFonts w:hint="eastAsia" w:ascii="方正仿宋_GBK" w:hAnsi="宋体" w:eastAsia="方正仿宋_GBK"/>
                <w:sz w:val="24"/>
                <w:szCs w:val="28"/>
              </w:rPr>
            </w:pPr>
            <w:r>
              <w:rPr>
                <w:rFonts w:hint="eastAsia" w:ascii="方正仿宋_GBK" w:hAnsi="宋体" w:eastAsia="方正仿宋_GBK"/>
                <w:sz w:val="24"/>
                <w:szCs w:val="28"/>
              </w:rPr>
              <w:t>品牌及产地</w:t>
            </w:r>
          </w:p>
        </w:tc>
        <w:tc>
          <w:tcPr>
            <w:tcW w:w="1417" w:type="dxa"/>
            <w:noWrap w:val="0"/>
            <w:vAlign w:val="center"/>
          </w:tcPr>
          <w:p>
            <w:pPr>
              <w:jc w:val="center"/>
              <w:rPr>
                <w:rFonts w:hint="eastAsia" w:ascii="方正仿宋_GBK" w:hAnsi="宋体" w:eastAsia="方正仿宋_GBK"/>
                <w:sz w:val="24"/>
                <w:szCs w:val="28"/>
              </w:rPr>
            </w:pPr>
            <w:r>
              <w:rPr>
                <w:rFonts w:hint="eastAsia" w:ascii="方正仿宋_GBK" w:hAnsi="宋体" w:eastAsia="方正仿宋_GBK"/>
                <w:sz w:val="24"/>
                <w:szCs w:val="28"/>
              </w:rPr>
              <w:t>制造商名称</w:t>
            </w:r>
          </w:p>
        </w:tc>
        <w:tc>
          <w:tcPr>
            <w:tcW w:w="1250" w:type="dxa"/>
            <w:noWrap w:val="0"/>
            <w:vAlign w:val="center"/>
          </w:tcPr>
          <w:p>
            <w:pPr>
              <w:jc w:val="center"/>
              <w:rPr>
                <w:rFonts w:hint="eastAsia" w:ascii="方正仿宋_GBK" w:hAnsi="宋体" w:eastAsia="方正仿宋_GBK"/>
                <w:sz w:val="24"/>
                <w:szCs w:val="28"/>
              </w:rPr>
            </w:pPr>
            <w:r>
              <w:rPr>
                <w:rFonts w:hint="eastAsia" w:ascii="方正仿宋_GBK" w:hAnsi="宋体" w:eastAsia="方正仿宋_GBK"/>
                <w:sz w:val="24"/>
                <w:szCs w:val="28"/>
              </w:rPr>
              <w:t>规格型号</w:t>
            </w:r>
          </w:p>
        </w:tc>
        <w:tc>
          <w:tcPr>
            <w:tcW w:w="867" w:type="dxa"/>
            <w:noWrap w:val="0"/>
            <w:vAlign w:val="center"/>
          </w:tcPr>
          <w:p>
            <w:pPr>
              <w:jc w:val="center"/>
              <w:rPr>
                <w:rFonts w:hint="eastAsia" w:ascii="方正仿宋_GBK" w:hAnsi="宋体" w:eastAsia="方正仿宋_GBK"/>
                <w:sz w:val="24"/>
                <w:szCs w:val="28"/>
              </w:rPr>
            </w:pPr>
            <w:r>
              <w:rPr>
                <w:rFonts w:hint="eastAsia" w:ascii="方正仿宋_GBK" w:hAnsi="宋体" w:eastAsia="方正仿宋_GBK"/>
                <w:sz w:val="24"/>
                <w:szCs w:val="28"/>
              </w:rPr>
              <w:t>数量</w:t>
            </w:r>
          </w:p>
        </w:tc>
        <w:tc>
          <w:tcPr>
            <w:tcW w:w="1186" w:type="dxa"/>
            <w:noWrap w:val="0"/>
            <w:vAlign w:val="center"/>
          </w:tcPr>
          <w:p>
            <w:pPr>
              <w:pStyle w:val="32"/>
              <w:jc w:val="center"/>
              <w:rPr>
                <w:rFonts w:hint="eastAsia" w:ascii="方正仿宋_GBK" w:hAnsi="宋体" w:eastAsia="方正仿宋_GBK"/>
                <w:sz w:val="24"/>
                <w:szCs w:val="28"/>
              </w:rPr>
            </w:pPr>
            <w:r>
              <w:rPr>
                <w:rFonts w:hint="eastAsia" w:ascii="方正仿宋_GBK" w:hAnsi="宋体" w:eastAsia="方正仿宋_GBK"/>
                <w:sz w:val="24"/>
                <w:szCs w:val="28"/>
              </w:rPr>
              <w:t>单价</w:t>
            </w:r>
          </w:p>
          <w:p>
            <w:pPr>
              <w:pStyle w:val="32"/>
              <w:jc w:val="center"/>
              <w:rPr>
                <w:rFonts w:hint="eastAsia" w:ascii="方正仿宋_GBK" w:hAnsi="宋体" w:eastAsia="方正仿宋_GBK"/>
                <w:sz w:val="24"/>
                <w:szCs w:val="28"/>
              </w:rPr>
            </w:pPr>
            <w:r>
              <w:rPr>
                <w:rFonts w:hint="eastAsia" w:ascii="方正仿宋_GBK" w:hAnsi="宋体" w:eastAsia="方正仿宋_GBK"/>
                <w:sz w:val="24"/>
                <w:szCs w:val="28"/>
              </w:rPr>
              <w:t>（   ）</w:t>
            </w:r>
          </w:p>
        </w:tc>
        <w:tc>
          <w:tcPr>
            <w:tcW w:w="1233" w:type="dxa"/>
            <w:noWrap w:val="0"/>
            <w:vAlign w:val="center"/>
          </w:tcPr>
          <w:p>
            <w:pPr>
              <w:jc w:val="center"/>
              <w:rPr>
                <w:rFonts w:hint="eastAsia" w:ascii="方正仿宋_GBK" w:hAnsi="宋体" w:eastAsia="方正仿宋_GBK"/>
                <w:sz w:val="24"/>
                <w:szCs w:val="28"/>
              </w:rPr>
            </w:pPr>
            <w:r>
              <w:rPr>
                <w:rFonts w:hint="eastAsia" w:ascii="方正仿宋_GBK" w:hAnsi="宋体" w:eastAsia="方正仿宋_GBK"/>
                <w:sz w:val="24"/>
                <w:szCs w:val="28"/>
              </w:rPr>
              <w:t>合计</w:t>
            </w:r>
          </w:p>
          <w:p>
            <w:pPr>
              <w:jc w:val="center"/>
              <w:rPr>
                <w:rFonts w:hint="eastAsia" w:ascii="方正仿宋_GBK" w:hAnsi="宋体" w:eastAsia="方正仿宋_GBK"/>
                <w:sz w:val="24"/>
                <w:szCs w:val="28"/>
              </w:rPr>
            </w:pPr>
            <w:r>
              <w:rPr>
                <w:rFonts w:hint="eastAsia" w:ascii="方正仿宋_GBK" w:hAnsi="宋体" w:eastAsia="方正仿宋_GBK"/>
                <w:sz w:val="24"/>
                <w:szCs w:val="2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1648"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721"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417"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250"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867"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186"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233" w:type="dxa"/>
            <w:tcBorders>
              <w:bottom w:val="single" w:color="auto" w:sz="4" w:space="0"/>
            </w:tcBorders>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1648" w:type="dxa"/>
            <w:noWrap w:val="0"/>
            <w:vAlign w:val="center"/>
          </w:tcPr>
          <w:p>
            <w:pPr>
              <w:jc w:val="center"/>
              <w:rPr>
                <w:rFonts w:hint="eastAsia" w:ascii="方正仿宋_GBK" w:hAnsi="宋体" w:eastAsia="方正仿宋_GBK"/>
                <w:sz w:val="24"/>
                <w:szCs w:val="28"/>
              </w:rPr>
            </w:pPr>
          </w:p>
        </w:tc>
        <w:tc>
          <w:tcPr>
            <w:tcW w:w="1721" w:type="dxa"/>
            <w:noWrap w:val="0"/>
            <w:vAlign w:val="center"/>
          </w:tcPr>
          <w:p>
            <w:pPr>
              <w:jc w:val="center"/>
              <w:rPr>
                <w:rFonts w:hint="eastAsia" w:ascii="方正仿宋_GBK" w:hAnsi="宋体" w:eastAsia="方正仿宋_GBK"/>
                <w:sz w:val="24"/>
                <w:szCs w:val="28"/>
              </w:rPr>
            </w:pPr>
          </w:p>
        </w:tc>
        <w:tc>
          <w:tcPr>
            <w:tcW w:w="1417" w:type="dxa"/>
            <w:noWrap w:val="0"/>
            <w:vAlign w:val="center"/>
          </w:tcPr>
          <w:p>
            <w:pPr>
              <w:jc w:val="center"/>
              <w:rPr>
                <w:rFonts w:hint="eastAsia" w:ascii="方正仿宋_GBK" w:hAnsi="宋体" w:eastAsia="方正仿宋_GBK"/>
                <w:sz w:val="24"/>
                <w:szCs w:val="28"/>
              </w:rPr>
            </w:pPr>
          </w:p>
        </w:tc>
        <w:tc>
          <w:tcPr>
            <w:tcW w:w="1250" w:type="dxa"/>
            <w:noWrap w:val="0"/>
            <w:vAlign w:val="center"/>
          </w:tcPr>
          <w:p>
            <w:pPr>
              <w:jc w:val="center"/>
              <w:rPr>
                <w:rFonts w:hint="eastAsia" w:ascii="方正仿宋_GBK" w:hAnsi="宋体" w:eastAsia="方正仿宋_GBK"/>
                <w:sz w:val="24"/>
                <w:szCs w:val="28"/>
              </w:rPr>
            </w:pPr>
          </w:p>
        </w:tc>
        <w:tc>
          <w:tcPr>
            <w:tcW w:w="867" w:type="dxa"/>
            <w:noWrap w:val="0"/>
            <w:vAlign w:val="center"/>
          </w:tcPr>
          <w:p>
            <w:pPr>
              <w:jc w:val="center"/>
              <w:rPr>
                <w:rFonts w:hint="eastAsia" w:ascii="方正仿宋_GBK" w:hAnsi="宋体" w:eastAsia="方正仿宋_GBK"/>
                <w:sz w:val="24"/>
                <w:szCs w:val="28"/>
              </w:rPr>
            </w:pPr>
          </w:p>
        </w:tc>
        <w:tc>
          <w:tcPr>
            <w:tcW w:w="1186" w:type="dxa"/>
            <w:noWrap w:val="0"/>
            <w:vAlign w:val="center"/>
          </w:tcPr>
          <w:p>
            <w:pPr>
              <w:jc w:val="center"/>
              <w:rPr>
                <w:rFonts w:hint="eastAsia" w:ascii="方正仿宋_GBK" w:hAnsi="宋体" w:eastAsia="方正仿宋_GBK"/>
                <w:sz w:val="24"/>
                <w:szCs w:val="28"/>
              </w:rPr>
            </w:pPr>
          </w:p>
        </w:tc>
        <w:tc>
          <w:tcPr>
            <w:tcW w:w="1233"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1648" w:type="dxa"/>
            <w:noWrap w:val="0"/>
            <w:vAlign w:val="center"/>
          </w:tcPr>
          <w:p>
            <w:pPr>
              <w:jc w:val="center"/>
              <w:rPr>
                <w:rFonts w:hint="eastAsia" w:ascii="方正仿宋_GBK" w:hAnsi="宋体" w:eastAsia="方正仿宋_GBK"/>
                <w:sz w:val="24"/>
                <w:szCs w:val="28"/>
              </w:rPr>
            </w:pPr>
          </w:p>
        </w:tc>
        <w:tc>
          <w:tcPr>
            <w:tcW w:w="1721" w:type="dxa"/>
            <w:noWrap w:val="0"/>
            <w:vAlign w:val="center"/>
          </w:tcPr>
          <w:p>
            <w:pPr>
              <w:jc w:val="center"/>
              <w:rPr>
                <w:rFonts w:hint="eastAsia" w:ascii="方正仿宋_GBK" w:hAnsi="宋体" w:eastAsia="方正仿宋_GBK"/>
                <w:sz w:val="24"/>
                <w:szCs w:val="28"/>
              </w:rPr>
            </w:pPr>
          </w:p>
        </w:tc>
        <w:tc>
          <w:tcPr>
            <w:tcW w:w="1417" w:type="dxa"/>
            <w:noWrap w:val="0"/>
            <w:vAlign w:val="center"/>
          </w:tcPr>
          <w:p>
            <w:pPr>
              <w:jc w:val="center"/>
              <w:rPr>
                <w:rFonts w:hint="eastAsia" w:ascii="方正仿宋_GBK" w:hAnsi="宋体" w:eastAsia="方正仿宋_GBK"/>
                <w:sz w:val="24"/>
                <w:szCs w:val="28"/>
              </w:rPr>
            </w:pPr>
          </w:p>
        </w:tc>
        <w:tc>
          <w:tcPr>
            <w:tcW w:w="1250" w:type="dxa"/>
            <w:noWrap w:val="0"/>
            <w:vAlign w:val="center"/>
          </w:tcPr>
          <w:p>
            <w:pPr>
              <w:jc w:val="center"/>
              <w:rPr>
                <w:rFonts w:hint="eastAsia" w:ascii="方正仿宋_GBK" w:hAnsi="宋体" w:eastAsia="方正仿宋_GBK"/>
                <w:sz w:val="24"/>
                <w:szCs w:val="28"/>
              </w:rPr>
            </w:pPr>
          </w:p>
        </w:tc>
        <w:tc>
          <w:tcPr>
            <w:tcW w:w="867" w:type="dxa"/>
            <w:noWrap w:val="0"/>
            <w:vAlign w:val="center"/>
          </w:tcPr>
          <w:p>
            <w:pPr>
              <w:jc w:val="center"/>
              <w:rPr>
                <w:rFonts w:hint="eastAsia" w:ascii="方正仿宋_GBK" w:hAnsi="宋体" w:eastAsia="方正仿宋_GBK"/>
                <w:sz w:val="24"/>
                <w:szCs w:val="28"/>
              </w:rPr>
            </w:pPr>
          </w:p>
        </w:tc>
        <w:tc>
          <w:tcPr>
            <w:tcW w:w="1186" w:type="dxa"/>
            <w:noWrap w:val="0"/>
            <w:vAlign w:val="center"/>
          </w:tcPr>
          <w:p>
            <w:pPr>
              <w:jc w:val="center"/>
              <w:rPr>
                <w:rFonts w:hint="eastAsia" w:ascii="方正仿宋_GBK" w:hAnsi="宋体" w:eastAsia="方正仿宋_GBK"/>
                <w:sz w:val="24"/>
                <w:szCs w:val="28"/>
              </w:rPr>
            </w:pPr>
          </w:p>
        </w:tc>
        <w:tc>
          <w:tcPr>
            <w:tcW w:w="1233"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648"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721"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417"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250"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867"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186"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233" w:type="dxa"/>
            <w:tcBorders>
              <w:bottom w:val="single" w:color="auto" w:sz="4" w:space="0"/>
            </w:tcBorders>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1648" w:type="dxa"/>
            <w:noWrap w:val="0"/>
            <w:vAlign w:val="center"/>
          </w:tcPr>
          <w:p>
            <w:pPr>
              <w:jc w:val="center"/>
              <w:rPr>
                <w:rFonts w:hint="eastAsia" w:ascii="方正仿宋_GBK" w:hAnsi="宋体" w:eastAsia="方正仿宋_GBK"/>
                <w:sz w:val="24"/>
                <w:szCs w:val="28"/>
              </w:rPr>
            </w:pPr>
          </w:p>
          <w:p>
            <w:pPr>
              <w:jc w:val="center"/>
              <w:rPr>
                <w:rFonts w:hint="eastAsia" w:ascii="方正仿宋_GBK" w:hAnsi="宋体" w:eastAsia="方正仿宋_GBK"/>
                <w:sz w:val="24"/>
                <w:szCs w:val="28"/>
              </w:rPr>
            </w:pPr>
          </w:p>
        </w:tc>
        <w:tc>
          <w:tcPr>
            <w:tcW w:w="1721" w:type="dxa"/>
            <w:noWrap w:val="0"/>
            <w:vAlign w:val="center"/>
          </w:tcPr>
          <w:p>
            <w:pPr>
              <w:jc w:val="center"/>
              <w:rPr>
                <w:rFonts w:hint="eastAsia" w:ascii="方正仿宋_GBK" w:hAnsi="宋体" w:eastAsia="方正仿宋_GBK"/>
                <w:sz w:val="24"/>
                <w:szCs w:val="28"/>
              </w:rPr>
            </w:pPr>
          </w:p>
        </w:tc>
        <w:tc>
          <w:tcPr>
            <w:tcW w:w="1417" w:type="dxa"/>
            <w:noWrap w:val="0"/>
            <w:vAlign w:val="center"/>
          </w:tcPr>
          <w:p>
            <w:pPr>
              <w:jc w:val="center"/>
              <w:rPr>
                <w:rFonts w:hint="eastAsia" w:ascii="方正仿宋_GBK" w:hAnsi="宋体" w:eastAsia="方正仿宋_GBK"/>
                <w:sz w:val="24"/>
                <w:szCs w:val="28"/>
              </w:rPr>
            </w:pPr>
          </w:p>
        </w:tc>
        <w:tc>
          <w:tcPr>
            <w:tcW w:w="1250" w:type="dxa"/>
            <w:noWrap w:val="0"/>
            <w:vAlign w:val="center"/>
          </w:tcPr>
          <w:p>
            <w:pPr>
              <w:jc w:val="center"/>
              <w:rPr>
                <w:rFonts w:hint="eastAsia" w:ascii="方正仿宋_GBK" w:hAnsi="宋体" w:eastAsia="方正仿宋_GBK"/>
                <w:sz w:val="24"/>
                <w:szCs w:val="28"/>
              </w:rPr>
            </w:pPr>
          </w:p>
        </w:tc>
        <w:tc>
          <w:tcPr>
            <w:tcW w:w="867" w:type="dxa"/>
            <w:noWrap w:val="0"/>
            <w:vAlign w:val="center"/>
          </w:tcPr>
          <w:p>
            <w:pPr>
              <w:jc w:val="center"/>
              <w:rPr>
                <w:rFonts w:hint="eastAsia" w:ascii="方正仿宋_GBK" w:hAnsi="宋体" w:eastAsia="方正仿宋_GBK"/>
                <w:sz w:val="24"/>
                <w:szCs w:val="28"/>
              </w:rPr>
            </w:pPr>
          </w:p>
        </w:tc>
        <w:tc>
          <w:tcPr>
            <w:tcW w:w="1186" w:type="dxa"/>
            <w:noWrap w:val="0"/>
            <w:vAlign w:val="center"/>
          </w:tcPr>
          <w:p>
            <w:pPr>
              <w:jc w:val="center"/>
              <w:rPr>
                <w:rFonts w:hint="eastAsia" w:ascii="方正仿宋_GBK" w:hAnsi="宋体" w:eastAsia="方正仿宋_GBK"/>
                <w:sz w:val="24"/>
                <w:szCs w:val="28"/>
              </w:rPr>
            </w:pPr>
          </w:p>
        </w:tc>
        <w:tc>
          <w:tcPr>
            <w:tcW w:w="1233"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1648" w:type="dxa"/>
            <w:noWrap w:val="0"/>
            <w:vAlign w:val="center"/>
          </w:tcPr>
          <w:p>
            <w:pPr>
              <w:jc w:val="center"/>
              <w:rPr>
                <w:rFonts w:hint="eastAsia" w:ascii="方正仿宋_GBK" w:hAnsi="宋体" w:eastAsia="方正仿宋_GBK"/>
                <w:sz w:val="24"/>
                <w:szCs w:val="28"/>
              </w:rPr>
            </w:pPr>
          </w:p>
        </w:tc>
        <w:tc>
          <w:tcPr>
            <w:tcW w:w="1721" w:type="dxa"/>
            <w:noWrap w:val="0"/>
            <w:vAlign w:val="center"/>
          </w:tcPr>
          <w:p>
            <w:pPr>
              <w:jc w:val="center"/>
              <w:rPr>
                <w:rFonts w:hint="eastAsia" w:ascii="方正仿宋_GBK" w:hAnsi="宋体" w:eastAsia="方正仿宋_GBK"/>
                <w:sz w:val="24"/>
                <w:szCs w:val="28"/>
              </w:rPr>
            </w:pPr>
          </w:p>
        </w:tc>
        <w:tc>
          <w:tcPr>
            <w:tcW w:w="1417" w:type="dxa"/>
            <w:noWrap w:val="0"/>
            <w:vAlign w:val="center"/>
          </w:tcPr>
          <w:p>
            <w:pPr>
              <w:jc w:val="center"/>
              <w:rPr>
                <w:rFonts w:hint="eastAsia" w:ascii="方正仿宋_GBK" w:hAnsi="宋体" w:eastAsia="方正仿宋_GBK"/>
                <w:sz w:val="24"/>
                <w:szCs w:val="28"/>
              </w:rPr>
            </w:pPr>
          </w:p>
        </w:tc>
        <w:tc>
          <w:tcPr>
            <w:tcW w:w="1250" w:type="dxa"/>
            <w:noWrap w:val="0"/>
            <w:vAlign w:val="center"/>
          </w:tcPr>
          <w:p>
            <w:pPr>
              <w:jc w:val="center"/>
              <w:rPr>
                <w:rFonts w:hint="eastAsia" w:ascii="方正仿宋_GBK" w:hAnsi="宋体" w:eastAsia="方正仿宋_GBK"/>
                <w:sz w:val="24"/>
                <w:szCs w:val="28"/>
              </w:rPr>
            </w:pPr>
          </w:p>
        </w:tc>
        <w:tc>
          <w:tcPr>
            <w:tcW w:w="867" w:type="dxa"/>
            <w:noWrap w:val="0"/>
            <w:vAlign w:val="center"/>
          </w:tcPr>
          <w:p>
            <w:pPr>
              <w:jc w:val="center"/>
              <w:rPr>
                <w:rFonts w:hint="eastAsia" w:ascii="方正仿宋_GBK" w:hAnsi="宋体" w:eastAsia="方正仿宋_GBK"/>
                <w:sz w:val="24"/>
                <w:szCs w:val="28"/>
              </w:rPr>
            </w:pPr>
          </w:p>
        </w:tc>
        <w:tc>
          <w:tcPr>
            <w:tcW w:w="1186" w:type="dxa"/>
            <w:noWrap w:val="0"/>
            <w:vAlign w:val="center"/>
          </w:tcPr>
          <w:p>
            <w:pPr>
              <w:jc w:val="center"/>
              <w:rPr>
                <w:rFonts w:hint="eastAsia" w:ascii="方正仿宋_GBK" w:hAnsi="宋体" w:eastAsia="方正仿宋_GBK"/>
                <w:sz w:val="24"/>
                <w:szCs w:val="28"/>
              </w:rPr>
            </w:pPr>
          </w:p>
        </w:tc>
        <w:tc>
          <w:tcPr>
            <w:tcW w:w="1233"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648" w:type="dxa"/>
            <w:noWrap w:val="0"/>
            <w:vAlign w:val="center"/>
          </w:tcPr>
          <w:p>
            <w:pPr>
              <w:jc w:val="center"/>
              <w:rPr>
                <w:rFonts w:hint="eastAsia" w:ascii="方正仿宋_GBK" w:hAnsi="宋体" w:eastAsia="方正仿宋_GBK"/>
                <w:sz w:val="24"/>
                <w:szCs w:val="28"/>
              </w:rPr>
            </w:pPr>
          </w:p>
        </w:tc>
        <w:tc>
          <w:tcPr>
            <w:tcW w:w="1721" w:type="dxa"/>
            <w:noWrap w:val="0"/>
            <w:vAlign w:val="center"/>
          </w:tcPr>
          <w:p>
            <w:pPr>
              <w:jc w:val="center"/>
              <w:rPr>
                <w:rFonts w:hint="eastAsia" w:ascii="方正仿宋_GBK" w:hAnsi="宋体" w:eastAsia="方正仿宋_GBK"/>
                <w:sz w:val="24"/>
                <w:szCs w:val="28"/>
              </w:rPr>
            </w:pPr>
          </w:p>
        </w:tc>
        <w:tc>
          <w:tcPr>
            <w:tcW w:w="1417" w:type="dxa"/>
            <w:noWrap w:val="0"/>
            <w:vAlign w:val="center"/>
          </w:tcPr>
          <w:p>
            <w:pPr>
              <w:jc w:val="center"/>
              <w:rPr>
                <w:rFonts w:hint="eastAsia" w:ascii="方正仿宋_GBK" w:hAnsi="宋体" w:eastAsia="方正仿宋_GBK"/>
                <w:sz w:val="24"/>
                <w:szCs w:val="28"/>
              </w:rPr>
            </w:pPr>
          </w:p>
        </w:tc>
        <w:tc>
          <w:tcPr>
            <w:tcW w:w="1250" w:type="dxa"/>
            <w:noWrap w:val="0"/>
            <w:vAlign w:val="center"/>
          </w:tcPr>
          <w:p>
            <w:pPr>
              <w:jc w:val="center"/>
              <w:rPr>
                <w:rFonts w:hint="eastAsia" w:ascii="方正仿宋_GBK" w:hAnsi="宋体" w:eastAsia="方正仿宋_GBK"/>
                <w:sz w:val="24"/>
                <w:szCs w:val="28"/>
              </w:rPr>
            </w:pPr>
          </w:p>
        </w:tc>
        <w:tc>
          <w:tcPr>
            <w:tcW w:w="867" w:type="dxa"/>
            <w:noWrap w:val="0"/>
            <w:vAlign w:val="center"/>
          </w:tcPr>
          <w:p>
            <w:pPr>
              <w:jc w:val="center"/>
              <w:rPr>
                <w:rFonts w:hint="eastAsia" w:ascii="方正仿宋_GBK" w:hAnsi="宋体" w:eastAsia="方正仿宋_GBK"/>
                <w:sz w:val="24"/>
                <w:szCs w:val="28"/>
              </w:rPr>
            </w:pPr>
          </w:p>
        </w:tc>
        <w:tc>
          <w:tcPr>
            <w:tcW w:w="1186" w:type="dxa"/>
            <w:noWrap w:val="0"/>
            <w:vAlign w:val="center"/>
          </w:tcPr>
          <w:p>
            <w:pPr>
              <w:jc w:val="center"/>
              <w:rPr>
                <w:rFonts w:hint="eastAsia" w:ascii="方正仿宋_GBK" w:hAnsi="宋体" w:eastAsia="方正仿宋_GBK"/>
                <w:sz w:val="24"/>
                <w:szCs w:val="28"/>
              </w:rPr>
            </w:pPr>
          </w:p>
        </w:tc>
        <w:tc>
          <w:tcPr>
            <w:tcW w:w="1233"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1648" w:type="dxa"/>
            <w:noWrap w:val="0"/>
            <w:vAlign w:val="center"/>
          </w:tcPr>
          <w:p>
            <w:pPr>
              <w:jc w:val="center"/>
              <w:rPr>
                <w:rFonts w:hint="eastAsia" w:ascii="方正仿宋_GBK" w:hAnsi="宋体" w:eastAsia="方正仿宋_GBK"/>
                <w:sz w:val="24"/>
                <w:szCs w:val="28"/>
              </w:rPr>
            </w:pPr>
          </w:p>
        </w:tc>
        <w:tc>
          <w:tcPr>
            <w:tcW w:w="1721" w:type="dxa"/>
            <w:noWrap w:val="0"/>
            <w:vAlign w:val="center"/>
          </w:tcPr>
          <w:p>
            <w:pPr>
              <w:jc w:val="center"/>
              <w:rPr>
                <w:rFonts w:hint="eastAsia" w:ascii="方正仿宋_GBK" w:hAnsi="宋体" w:eastAsia="方正仿宋_GBK"/>
                <w:sz w:val="24"/>
                <w:szCs w:val="28"/>
              </w:rPr>
            </w:pPr>
          </w:p>
        </w:tc>
        <w:tc>
          <w:tcPr>
            <w:tcW w:w="1417" w:type="dxa"/>
            <w:noWrap w:val="0"/>
            <w:vAlign w:val="center"/>
          </w:tcPr>
          <w:p>
            <w:pPr>
              <w:jc w:val="center"/>
              <w:rPr>
                <w:rFonts w:hint="eastAsia" w:ascii="方正仿宋_GBK" w:hAnsi="宋体" w:eastAsia="方正仿宋_GBK"/>
                <w:sz w:val="24"/>
                <w:szCs w:val="28"/>
              </w:rPr>
            </w:pPr>
          </w:p>
        </w:tc>
        <w:tc>
          <w:tcPr>
            <w:tcW w:w="1250" w:type="dxa"/>
            <w:noWrap w:val="0"/>
            <w:vAlign w:val="center"/>
          </w:tcPr>
          <w:p>
            <w:pPr>
              <w:jc w:val="center"/>
              <w:rPr>
                <w:rFonts w:hint="eastAsia" w:ascii="方正仿宋_GBK" w:hAnsi="宋体" w:eastAsia="方正仿宋_GBK"/>
                <w:sz w:val="24"/>
                <w:szCs w:val="28"/>
              </w:rPr>
            </w:pPr>
          </w:p>
        </w:tc>
        <w:tc>
          <w:tcPr>
            <w:tcW w:w="867" w:type="dxa"/>
            <w:noWrap w:val="0"/>
            <w:vAlign w:val="center"/>
          </w:tcPr>
          <w:p>
            <w:pPr>
              <w:jc w:val="center"/>
              <w:rPr>
                <w:rFonts w:hint="eastAsia" w:ascii="方正仿宋_GBK" w:hAnsi="宋体" w:eastAsia="方正仿宋_GBK"/>
                <w:sz w:val="24"/>
                <w:szCs w:val="28"/>
              </w:rPr>
            </w:pPr>
          </w:p>
        </w:tc>
        <w:tc>
          <w:tcPr>
            <w:tcW w:w="1186" w:type="dxa"/>
            <w:noWrap w:val="0"/>
            <w:vAlign w:val="center"/>
          </w:tcPr>
          <w:p>
            <w:pPr>
              <w:jc w:val="center"/>
              <w:rPr>
                <w:rFonts w:hint="eastAsia" w:ascii="方正仿宋_GBK" w:hAnsi="宋体" w:eastAsia="方正仿宋_GBK"/>
                <w:sz w:val="24"/>
                <w:szCs w:val="28"/>
              </w:rPr>
            </w:pPr>
          </w:p>
        </w:tc>
        <w:tc>
          <w:tcPr>
            <w:tcW w:w="1233"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1648" w:type="dxa"/>
            <w:noWrap w:val="0"/>
            <w:vAlign w:val="center"/>
          </w:tcPr>
          <w:p>
            <w:pPr>
              <w:jc w:val="center"/>
              <w:rPr>
                <w:rFonts w:hint="eastAsia" w:ascii="方正仿宋_GBK" w:hAnsi="宋体" w:eastAsia="方正仿宋_GBK"/>
                <w:sz w:val="24"/>
                <w:szCs w:val="28"/>
              </w:rPr>
            </w:pPr>
          </w:p>
        </w:tc>
        <w:tc>
          <w:tcPr>
            <w:tcW w:w="1721" w:type="dxa"/>
            <w:noWrap w:val="0"/>
            <w:vAlign w:val="center"/>
          </w:tcPr>
          <w:p>
            <w:pPr>
              <w:jc w:val="center"/>
              <w:rPr>
                <w:rFonts w:hint="eastAsia" w:ascii="方正仿宋_GBK" w:hAnsi="宋体" w:eastAsia="方正仿宋_GBK"/>
                <w:sz w:val="24"/>
                <w:szCs w:val="28"/>
              </w:rPr>
            </w:pPr>
          </w:p>
        </w:tc>
        <w:tc>
          <w:tcPr>
            <w:tcW w:w="1417" w:type="dxa"/>
            <w:noWrap w:val="0"/>
            <w:vAlign w:val="center"/>
          </w:tcPr>
          <w:p>
            <w:pPr>
              <w:jc w:val="center"/>
              <w:rPr>
                <w:rFonts w:hint="eastAsia" w:ascii="方正仿宋_GBK" w:hAnsi="宋体" w:eastAsia="方正仿宋_GBK"/>
                <w:sz w:val="24"/>
                <w:szCs w:val="28"/>
              </w:rPr>
            </w:pPr>
          </w:p>
        </w:tc>
        <w:tc>
          <w:tcPr>
            <w:tcW w:w="1250" w:type="dxa"/>
            <w:noWrap w:val="0"/>
            <w:vAlign w:val="center"/>
          </w:tcPr>
          <w:p>
            <w:pPr>
              <w:jc w:val="center"/>
              <w:rPr>
                <w:rFonts w:hint="eastAsia" w:ascii="方正仿宋_GBK" w:hAnsi="宋体" w:eastAsia="方正仿宋_GBK"/>
                <w:sz w:val="24"/>
                <w:szCs w:val="28"/>
              </w:rPr>
            </w:pPr>
          </w:p>
        </w:tc>
        <w:tc>
          <w:tcPr>
            <w:tcW w:w="867" w:type="dxa"/>
            <w:noWrap w:val="0"/>
            <w:vAlign w:val="center"/>
          </w:tcPr>
          <w:p>
            <w:pPr>
              <w:jc w:val="center"/>
              <w:rPr>
                <w:rFonts w:hint="eastAsia" w:ascii="方正仿宋_GBK" w:hAnsi="宋体" w:eastAsia="方正仿宋_GBK"/>
                <w:sz w:val="24"/>
                <w:szCs w:val="28"/>
              </w:rPr>
            </w:pPr>
          </w:p>
        </w:tc>
        <w:tc>
          <w:tcPr>
            <w:tcW w:w="1186" w:type="dxa"/>
            <w:noWrap w:val="0"/>
            <w:vAlign w:val="center"/>
          </w:tcPr>
          <w:p>
            <w:pPr>
              <w:jc w:val="center"/>
              <w:rPr>
                <w:rFonts w:hint="eastAsia" w:ascii="方正仿宋_GBK" w:hAnsi="宋体" w:eastAsia="方正仿宋_GBK"/>
                <w:sz w:val="24"/>
                <w:szCs w:val="28"/>
              </w:rPr>
            </w:pPr>
          </w:p>
        </w:tc>
        <w:tc>
          <w:tcPr>
            <w:tcW w:w="1233" w:type="dxa"/>
            <w:noWrap w:val="0"/>
            <w:vAlign w:val="center"/>
          </w:tcPr>
          <w:p>
            <w:pPr>
              <w:jc w:val="center"/>
              <w:rPr>
                <w:rFonts w:hint="eastAsia" w:ascii="方正仿宋_GBK" w:hAnsi="宋体" w:eastAsia="方正仿宋_GBK"/>
                <w:sz w:val="24"/>
                <w:szCs w:val="28"/>
              </w:rPr>
            </w:pPr>
          </w:p>
        </w:tc>
      </w:tr>
    </w:tbl>
    <w:p>
      <w:pPr>
        <w:snapToGrid w:val="0"/>
        <w:spacing w:line="500" w:lineRule="exact"/>
        <w:ind w:firstLine="480" w:firstLineChars="200"/>
        <w:rPr>
          <w:rFonts w:hint="eastAsia" w:ascii="方正仿宋_GBK" w:hAnsi="宋体" w:eastAsia="方正仿宋_GBK"/>
          <w:sz w:val="24"/>
          <w:szCs w:val="28"/>
        </w:rPr>
      </w:pPr>
    </w:p>
    <w:p>
      <w:pPr>
        <w:snapToGrid w:val="0"/>
        <w:spacing w:line="500" w:lineRule="exact"/>
        <w:ind w:firstLine="480" w:firstLineChars="200"/>
        <w:rPr>
          <w:rFonts w:hint="eastAsia" w:ascii="方正仿宋_GBK" w:hAnsi="宋体" w:eastAsia="方正仿宋_GBK"/>
          <w:sz w:val="24"/>
          <w:szCs w:val="28"/>
        </w:rPr>
      </w:pPr>
      <w:r>
        <w:rPr>
          <w:rFonts w:hint="eastAsia" w:ascii="方正仿宋_GBK" w:hAnsi="宋体" w:eastAsia="方正仿宋_GBK"/>
          <w:sz w:val="24"/>
          <w:szCs w:val="28"/>
        </w:rPr>
        <w:t>注：1.</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应完整填写本表。</w:t>
      </w:r>
    </w:p>
    <w:p>
      <w:pPr>
        <w:snapToGrid w:val="0"/>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2.该表可扩展</w:t>
      </w:r>
      <w:bookmarkStart w:id="161" w:name="OLE_LINK2"/>
      <w:bookmarkStart w:id="162" w:name="OLE_LINK1"/>
      <w:r>
        <w:rPr>
          <w:rFonts w:hint="eastAsia" w:ascii="方正仿宋_GBK" w:hAnsi="宋体" w:eastAsia="方正仿宋_GBK"/>
          <w:sz w:val="24"/>
          <w:szCs w:val="28"/>
        </w:rPr>
        <w:t>。</w:t>
      </w:r>
      <w:bookmarkEnd w:id="161"/>
      <w:bookmarkEnd w:id="162"/>
    </w:p>
    <w:p>
      <w:pPr>
        <w:pStyle w:val="37"/>
        <w:spacing w:line="360" w:lineRule="auto"/>
        <w:rPr>
          <w:rFonts w:hint="eastAsia" w:ascii="方正仿宋_GBK" w:hAnsi="宋体" w:eastAsia="方正仿宋_GBK"/>
          <w:sz w:val="24"/>
          <w:szCs w:val="24"/>
        </w:rPr>
      </w:pPr>
    </w:p>
    <w:p>
      <w:pPr>
        <w:pStyle w:val="37"/>
        <w:spacing w:line="360" w:lineRule="auto"/>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rPr>
          <w:rFonts w:hint="eastAsia"/>
        </w:rPr>
      </w:pPr>
    </w:p>
    <w:p>
      <w:pPr>
        <w:rPr>
          <w:rFonts w:hint="eastAsia"/>
        </w:rPr>
      </w:pPr>
    </w:p>
    <w:p>
      <w:pPr>
        <w:spacing w:line="360" w:lineRule="auto"/>
        <w:rPr>
          <w:rFonts w:hint="eastAsia"/>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名称（公章）或自然人签署：</w:t>
      </w:r>
    </w:p>
    <w:p>
      <w:pPr>
        <w:spacing w:line="360" w:lineRule="auto"/>
        <w:ind w:right="480" w:firstLine="6480" w:firstLineChars="2700"/>
        <w:rPr>
          <w:rFonts w:hint="eastAsia" w:ascii="方正仿宋_GBK" w:hAnsi="宋体" w:eastAsia="方正仿宋_GBK"/>
          <w:sz w:val="24"/>
          <w:szCs w:val="24"/>
        </w:rPr>
      </w:pPr>
      <w:r>
        <w:rPr>
          <w:rFonts w:hint="eastAsia" w:ascii="方正仿宋_GBK" w:hAnsi="宋体" w:eastAsia="方正仿宋_GBK"/>
          <w:sz w:val="24"/>
          <w:szCs w:val="24"/>
        </w:rPr>
        <w:t>年     月    日</w:t>
      </w:r>
    </w:p>
    <w:p>
      <w:pPr>
        <w:snapToGrid w:val="0"/>
        <w:spacing w:line="360" w:lineRule="auto"/>
        <w:ind w:firstLine="480" w:firstLineChars="200"/>
        <w:rPr>
          <w:rFonts w:hint="eastAsia" w:ascii="方正仿宋_GBK" w:hAnsi="宋体" w:eastAsia="方正仿宋_GBK"/>
          <w:sz w:val="24"/>
          <w:szCs w:val="24"/>
          <w:bdr w:val="single" w:color="auto" w:sz="4" w:space="0"/>
        </w:rPr>
        <w:sectPr>
          <w:headerReference r:id="rId17" w:type="default"/>
          <w:pgSz w:w="11907" w:h="16840"/>
          <w:pgMar w:top="1134" w:right="1191" w:bottom="1134" w:left="1304" w:header="851" w:footer="992" w:gutter="0"/>
          <w:pgNumType w:fmt="numberInDash"/>
          <w:cols w:space="720" w:num="1"/>
          <w:docGrid w:linePitch="380" w:charSpace="-5735"/>
        </w:sectPr>
      </w:pPr>
    </w:p>
    <w:p>
      <w:pPr>
        <w:tabs>
          <w:tab w:val="left" w:pos="2895"/>
        </w:tabs>
        <w:spacing w:line="400" w:lineRule="exact"/>
        <w:ind w:firstLine="480" w:firstLineChars="200"/>
        <w:rPr>
          <w:rFonts w:hint="default" w:ascii="方正仿宋_GBK" w:hAnsi="宋体" w:eastAsia="方正仿宋_GBK"/>
          <w:sz w:val="24"/>
          <w:szCs w:val="24"/>
          <w:lang w:val="en-US" w:eastAsia="zh-CN"/>
        </w:rPr>
      </w:pPr>
      <w:bookmarkStart w:id="163" w:name="_Toc28623"/>
      <w:bookmarkStart w:id="164" w:name="_Toc4940"/>
      <w:bookmarkStart w:id="165" w:name="_Toc313008357"/>
      <w:bookmarkStart w:id="166" w:name="_Toc313888361"/>
      <w:bookmarkStart w:id="167" w:name="_Toc76462351"/>
      <w:bookmarkStart w:id="168" w:name="_Toc18669"/>
      <w:bookmarkStart w:id="169" w:name="_Toc106030907"/>
      <w:bookmarkStart w:id="170" w:name="_Toc342913420"/>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开标现场最终报价表</w:t>
      </w:r>
      <w:bookmarkEnd w:id="163"/>
      <w:bookmarkEnd w:id="164"/>
    </w:p>
    <w:p>
      <w:pPr>
        <w:pStyle w:val="4"/>
        <w:adjustRightInd w:val="0"/>
        <w:snapToGrid w:val="0"/>
        <w:spacing w:before="0" w:after="0" w:line="400" w:lineRule="exact"/>
        <w:ind w:firstLine="480" w:firstLineChars="200"/>
        <w:rPr>
          <w:rFonts w:hint="eastAsia" w:ascii="方正仿宋_GBK" w:hAnsi="宋体" w:eastAsia="方正仿宋_GBK"/>
          <w:sz w:val="24"/>
        </w:rPr>
      </w:pPr>
    </w:p>
    <w:p>
      <w:pPr>
        <w:jc w:val="center"/>
        <w:rPr>
          <w:rFonts w:hint="eastAsia" w:ascii="方正仿宋_GBK" w:eastAsia="方正仿宋_GBK"/>
          <w:b/>
          <w:szCs w:val="28"/>
          <w:lang w:val="en-US" w:eastAsia="zh-CN"/>
        </w:rPr>
      </w:pPr>
      <w:r>
        <w:rPr>
          <w:rFonts w:hint="eastAsia" w:ascii="方正仿宋_GBK" w:eastAsia="方正仿宋_GBK"/>
          <w:b/>
          <w:szCs w:val="28"/>
          <w:lang w:val="en-US" w:eastAsia="zh-CN"/>
        </w:rPr>
        <w:t>开标现场最终报价表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89"/>
        <w:gridCol w:w="803"/>
        <w:gridCol w:w="202"/>
        <w:gridCol w:w="1499"/>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投标人名称</w:t>
            </w:r>
          </w:p>
        </w:tc>
        <w:tc>
          <w:tcPr>
            <w:tcW w:w="7549" w:type="dxa"/>
            <w:gridSpan w:val="14"/>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产品名称</w:t>
            </w:r>
          </w:p>
        </w:tc>
        <w:tc>
          <w:tcPr>
            <w:tcW w:w="3686" w:type="dxa"/>
            <w:gridSpan w:val="11"/>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c>
          <w:tcPr>
            <w:tcW w:w="1194" w:type="dxa"/>
            <w:gridSpan w:val="3"/>
            <w:vAlign w:val="center"/>
          </w:tcPr>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生产企业</w:t>
            </w:r>
          </w:p>
        </w:tc>
        <w:tc>
          <w:tcPr>
            <w:tcW w:w="3520" w:type="dxa"/>
            <w:gridSpan w:val="2"/>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规格/型号</w:t>
            </w:r>
          </w:p>
        </w:tc>
        <w:tc>
          <w:tcPr>
            <w:tcW w:w="1134" w:type="dxa"/>
            <w:gridSpan w:val="3"/>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993" w:type="dxa"/>
            <w:gridSpan w:val="3"/>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产 地</w:t>
            </w:r>
          </w:p>
        </w:tc>
        <w:tc>
          <w:tcPr>
            <w:tcW w:w="904" w:type="dxa"/>
            <w:gridSpan w:val="2"/>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849" w:type="dxa"/>
            <w:gridSpan w:val="6"/>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医疗器械注册证号</w:t>
            </w:r>
          </w:p>
        </w:tc>
        <w:tc>
          <w:tcPr>
            <w:tcW w:w="3520" w:type="dxa"/>
            <w:gridSpan w:val="2"/>
            <w:vAlign w:val="center"/>
          </w:tcPr>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投标单价（元）</w:t>
            </w:r>
          </w:p>
        </w:tc>
        <w:tc>
          <w:tcPr>
            <w:tcW w:w="1134" w:type="dxa"/>
            <w:gridSpan w:val="3"/>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709" w:type="dxa"/>
            <w:gridSpan w:val="2"/>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计数单位</w:t>
            </w:r>
          </w:p>
        </w:tc>
        <w:tc>
          <w:tcPr>
            <w:tcW w:w="851" w:type="dxa"/>
            <w:gridSpan w:val="2"/>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181" w:type="dxa"/>
            <w:gridSpan w:val="5"/>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投标数量</w:t>
            </w:r>
          </w:p>
        </w:tc>
        <w:tc>
          <w:tcPr>
            <w:tcW w:w="803" w:type="dxa"/>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701" w:type="dxa"/>
            <w:gridSpan w:val="2"/>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投标总价</w:t>
            </w:r>
          </w:p>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（小写）</w:t>
            </w:r>
          </w:p>
        </w:tc>
        <w:tc>
          <w:tcPr>
            <w:tcW w:w="2021" w:type="dxa"/>
            <w:vAlign w:val="center"/>
          </w:tcPr>
          <w:p>
            <w:pPr>
              <w:spacing w:line="400" w:lineRule="exact"/>
              <w:ind w:firstLine="480" w:firstLineChars="200"/>
              <w:jc w:val="left"/>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7"/>
            <w:vAlign w:val="center"/>
          </w:tcPr>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质保期</w:t>
            </w:r>
          </w:p>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（月）</w:t>
            </w:r>
          </w:p>
        </w:tc>
        <w:tc>
          <w:tcPr>
            <w:tcW w:w="1418" w:type="dxa"/>
            <w:gridSpan w:val="3"/>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701" w:type="dxa"/>
            <w:gridSpan w:val="5"/>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交货期</w:t>
            </w:r>
          </w:p>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（日历日）</w:t>
            </w:r>
          </w:p>
        </w:tc>
        <w:tc>
          <w:tcPr>
            <w:tcW w:w="1417" w:type="dxa"/>
            <w:gridSpan w:val="4"/>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701" w:type="dxa"/>
            <w:gridSpan w:val="2"/>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维修到场时间</w:t>
            </w:r>
          </w:p>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（小时）</w:t>
            </w:r>
          </w:p>
        </w:tc>
        <w:tc>
          <w:tcPr>
            <w:tcW w:w="2021" w:type="dxa"/>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备用机到场时间</w:t>
            </w:r>
          </w:p>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（日历日）</w:t>
            </w:r>
          </w:p>
        </w:tc>
        <w:tc>
          <w:tcPr>
            <w:tcW w:w="992" w:type="dxa"/>
            <w:gridSpan w:val="3"/>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701" w:type="dxa"/>
            <w:gridSpan w:val="5"/>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培训人员数量/培训时长</w:t>
            </w:r>
          </w:p>
        </w:tc>
        <w:tc>
          <w:tcPr>
            <w:tcW w:w="1336" w:type="dxa"/>
            <w:gridSpan w:val="4"/>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499" w:type="dxa"/>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是否接受付款方式</w:t>
            </w:r>
          </w:p>
        </w:tc>
        <w:tc>
          <w:tcPr>
            <w:tcW w:w="2021" w:type="dxa"/>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随机备品、附件、工具数量及供应方式</w:t>
            </w:r>
          </w:p>
        </w:tc>
        <w:tc>
          <w:tcPr>
            <w:tcW w:w="7549" w:type="dxa"/>
            <w:gridSpan w:val="14"/>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质保期后服务</w:t>
            </w:r>
          </w:p>
        </w:tc>
        <w:tc>
          <w:tcPr>
            <w:tcW w:w="7549" w:type="dxa"/>
            <w:gridSpan w:val="14"/>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7"/>
            <w:vAlign w:val="center"/>
          </w:tcPr>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投标单位</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投标单位</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pStyle w:val="4"/>
        <w:adjustRightInd w:val="0"/>
        <w:snapToGrid w:val="0"/>
        <w:spacing w:before="0" w:after="0" w:line="400" w:lineRule="exact"/>
        <w:ind w:firstLine="480" w:firstLineChars="200"/>
        <w:rPr>
          <w:rFonts w:hint="eastAsia" w:ascii="方正仿宋_GBK" w:hAnsi="宋体" w:eastAsia="方正仿宋_GBK"/>
          <w:sz w:val="24"/>
        </w:rPr>
      </w:pPr>
    </w:p>
    <w:p>
      <w:pPr>
        <w:tabs>
          <w:tab w:val="left" w:pos="6300"/>
        </w:tabs>
        <w:snapToGrid w:val="0"/>
        <w:spacing w:line="312" w:lineRule="auto"/>
        <w:ind w:firstLine="480" w:firstLineChars="200"/>
        <w:rPr>
          <w:rFonts w:hint="eastAsia" w:ascii="方正仿宋_GBK" w:hAnsi="宋体" w:eastAsia="方正仿宋_GBK" w:cs="Times New Roman"/>
          <w:b/>
          <w:bCs/>
          <w:color w:val="FF0000"/>
          <w:sz w:val="24"/>
          <w:szCs w:val="24"/>
          <w:lang w:eastAsia="zh-CN"/>
        </w:rPr>
      </w:pPr>
    </w:p>
    <w:p>
      <w:pPr>
        <w:tabs>
          <w:tab w:val="left" w:pos="6300"/>
        </w:tabs>
        <w:snapToGrid w:val="0"/>
        <w:spacing w:line="312" w:lineRule="auto"/>
        <w:ind w:firstLine="480" w:firstLineChars="200"/>
        <w:rPr>
          <w:rFonts w:hint="eastAsia" w:ascii="方正仿宋_GBK" w:hAnsi="宋体" w:eastAsia="方正仿宋_GBK" w:cs="Times New Roman"/>
          <w:b/>
          <w:bCs/>
          <w:color w:val="FF0000"/>
          <w:sz w:val="24"/>
          <w:szCs w:val="24"/>
          <w:lang w:eastAsia="zh-CN"/>
        </w:rPr>
      </w:pPr>
      <w:r>
        <w:rPr>
          <w:rFonts w:hint="eastAsia" w:ascii="方正仿宋_GBK" w:hAnsi="宋体" w:eastAsia="方正仿宋_GBK" w:cs="Times New Roman"/>
          <w:b/>
          <w:bCs/>
          <w:color w:val="FF0000"/>
          <w:sz w:val="24"/>
          <w:szCs w:val="24"/>
          <w:lang w:eastAsia="zh-CN"/>
        </w:rPr>
        <w:t>注：该表投标报价部分于现场填写并提交，</w:t>
      </w:r>
      <w:r>
        <w:rPr>
          <w:rFonts w:hint="eastAsia" w:ascii="方正仿宋_GBK" w:hAnsi="宋体" w:eastAsia="方正仿宋_GBK" w:cs="Times New Roman"/>
          <w:b/>
          <w:bCs/>
          <w:color w:val="FF0000"/>
          <w:sz w:val="24"/>
          <w:szCs w:val="24"/>
          <w:lang w:val="en-US" w:eastAsia="zh-CN"/>
        </w:rPr>
        <w:t>其余部分应提前填写并盖章确认</w:t>
      </w:r>
      <w:r>
        <w:rPr>
          <w:rFonts w:hint="eastAsia" w:ascii="方正仿宋_GBK" w:hAnsi="宋体" w:eastAsia="方正仿宋_GBK" w:cs="Times New Roman"/>
          <w:b/>
          <w:bCs/>
          <w:color w:val="FF0000"/>
          <w:sz w:val="24"/>
          <w:szCs w:val="24"/>
          <w:lang w:eastAsia="zh-CN"/>
        </w:rPr>
        <w:t>。</w:t>
      </w:r>
    </w:p>
    <w:p>
      <w:pPr>
        <w:pStyle w:val="4"/>
        <w:adjustRightInd w:val="0"/>
        <w:snapToGrid w:val="0"/>
        <w:spacing w:before="0" w:after="0" w:line="400" w:lineRule="exact"/>
        <w:rPr>
          <w:rFonts w:hint="eastAsia" w:ascii="方正仿宋_GBK" w:hAnsi="宋体" w:eastAsia="方正仿宋_GBK"/>
          <w:sz w:val="24"/>
        </w:rPr>
      </w:pPr>
      <w:bookmarkStart w:id="171" w:name="_Toc2736"/>
      <w:r>
        <w:rPr>
          <w:rFonts w:hint="eastAsia" w:ascii="方正仿宋_GBK" w:hAnsi="宋体" w:eastAsia="方正仿宋_GBK"/>
          <w:sz w:val="24"/>
        </w:rPr>
        <w:t>二、</w:t>
      </w:r>
      <w:r>
        <w:rPr>
          <w:rFonts w:hint="eastAsia" w:ascii="方正仿宋_GBK" w:hAnsi="宋体" w:eastAsia="方正仿宋_GBK"/>
          <w:sz w:val="24"/>
          <w:lang w:val="en-US" w:eastAsia="zh-CN"/>
        </w:rPr>
        <w:t>技术</w:t>
      </w:r>
      <w:r>
        <w:rPr>
          <w:rFonts w:hint="eastAsia" w:ascii="方正仿宋_GBK" w:hAnsi="宋体" w:eastAsia="方正仿宋_GBK"/>
          <w:sz w:val="24"/>
        </w:rPr>
        <w:t>部分</w:t>
      </w:r>
      <w:bookmarkEnd w:id="165"/>
      <w:bookmarkEnd w:id="166"/>
      <w:bookmarkEnd w:id="167"/>
      <w:bookmarkEnd w:id="168"/>
      <w:bookmarkEnd w:id="169"/>
      <w:bookmarkEnd w:id="170"/>
      <w:bookmarkEnd w:id="171"/>
    </w:p>
    <w:p>
      <w:pPr>
        <w:tabs>
          <w:tab w:val="left" w:pos="6300"/>
        </w:tabs>
        <w:snapToGrid w:val="0"/>
        <w:spacing w:line="400" w:lineRule="exact"/>
        <w:ind w:firstLine="480" w:firstLineChars="200"/>
        <w:rPr>
          <w:rFonts w:hint="eastAsia" w:ascii="方正仿宋_GBK" w:hAnsi="宋体" w:eastAsia="方正仿宋_GBK"/>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技术</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磋商项目名称：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序号</w:t>
            </w:r>
          </w:p>
        </w:tc>
        <w:tc>
          <w:tcPr>
            <w:tcW w:w="1541"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采购需求</w:t>
            </w:r>
          </w:p>
        </w:tc>
        <w:tc>
          <w:tcPr>
            <w:tcW w:w="1600"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响应情况</w:t>
            </w:r>
          </w:p>
        </w:tc>
        <w:tc>
          <w:tcPr>
            <w:tcW w:w="1199"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541"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600" w:type="pct"/>
            <w:noWrap w:val="0"/>
            <w:vAlign w:val="center"/>
          </w:tcPr>
          <w:p>
            <w:pPr>
              <w:tabs>
                <w:tab w:val="left" w:pos="6300"/>
              </w:tabs>
              <w:snapToGrid w:val="0"/>
              <w:spacing w:line="500" w:lineRule="exact"/>
              <w:outlineLvl w:val="0"/>
              <w:rPr>
                <w:rFonts w:hint="eastAsia" w:ascii="方正仿宋_GBK" w:hAnsi="宋体" w:eastAsia="方正仿宋_GBK"/>
                <w:sz w:val="21"/>
                <w:szCs w:val="21"/>
              </w:rPr>
            </w:pPr>
            <w:r>
              <w:rPr>
                <w:rFonts w:ascii="方正仿宋_GBK" w:hAnsi="仿宋" w:eastAsia="方正仿宋_GBK"/>
                <w:sz w:val="21"/>
                <w:szCs w:val="21"/>
              </w:rPr>
              <w:t>提醒</w:t>
            </w:r>
            <w:r>
              <w:rPr>
                <w:rFonts w:hint="eastAsia" w:ascii="方正仿宋_GBK" w:hAnsi="仿宋" w:eastAsia="方正仿宋_GBK"/>
                <w:sz w:val="21"/>
                <w:szCs w:val="21"/>
              </w:rPr>
              <w:t>：</w:t>
            </w:r>
            <w:r>
              <w:rPr>
                <w:rFonts w:ascii="方正仿宋_GBK" w:hAnsi="仿宋" w:eastAsia="方正仿宋_GBK"/>
                <w:sz w:val="21"/>
                <w:szCs w:val="21"/>
              </w:rPr>
              <w:t>请注明</w:t>
            </w:r>
            <w:r>
              <w:rPr>
                <w:rFonts w:hint="eastAsia" w:ascii="方正仿宋_GBK" w:hAnsi="仿宋" w:eastAsia="方正仿宋_GBK"/>
                <w:sz w:val="21"/>
                <w:szCs w:val="21"/>
              </w:rPr>
              <w:t>技术参数</w:t>
            </w:r>
            <w:r>
              <w:rPr>
                <w:rFonts w:ascii="方正仿宋_GBK" w:hAnsi="仿宋" w:eastAsia="方正仿宋_GBK"/>
                <w:sz w:val="21"/>
                <w:szCs w:val="21"/>
              </w:rPr>
              <w:t>或具体内容以及</w:t>
            </w:r>
            <w:r>
              <w:rPr>
                <w:rFonts w:hint="eastAsia" w:ascii="方正仿宋_GBK" w:hAnsi="仿宋" w:eastAsia="方正仿宋_GBK"/>
                <w:sz w:val="21"/>
                <w:szCs w:val="21"/>
              </w:rPr>
              <w:t>响应文件</w:t>
            </w:r>
            <w:r>
              <w:rPr>
                <w:rFonts w:ascii="方正仿宋_GBK" w:hAnsi="仿宋" w:eastAsia="方正仿宋_GBK"/>
                <w:sz w:val="21"/>
                <w:szCs w:val="21"/>
              </w:rPr>
              <w:t>中</w:t>
            </w:r>
            <w:r>
              <w:rPr>
                <w:rFonts w:hint="eastAsia" w:ascii="方正仿宋_GBK" w:hAnsi="仿宋" w:eastAsia="方正仿宋_GBK"/>
                <w:sz w:val="21"/>
                <w:szCs w:val="21"/>
              </w:rPr>
              <w:t>技术参数</w:t>
            </w:r>
            <w:r>
              <w:rPr>
                <w:rFonts w:ascii="方正仿宋_GBK" w:hAnsi="仿宋" w:eastAsia="方正仿宋_GBK"/>
                <w:sz w:val="21"/>
                <w:szCs w:val="21"/>
              </w:rPr>
              <w:t>或</w:t>
            </w:r>
            <w:r>
              <w:rPr>
                <w:rFonts w:hint="eastAsia" w:ascii="方正仿宋_GBK" w:hAnsi="仿宋" w:eastAsia="方正仿宋_GBK"/>
                <w:sz w:val="21"/>
                <w:szCs w:val="21"/>
              </w:rPr>
              <w:t>具体</w:t>
            </w:r>
            <w:r>
              <w:rPr>
                <w:rFonts w:ascii="方正仿宋_GBK" w:hAnsi="仿宋" w:eastAsia="方正仿宋_GBK"/>
                <w:sz w:val="21"/>
                <w:szCs w:val="21"/>
              </w:rPr>
              <w:t>内容</w:t>
            </w:r>
            <w:r>
              <w:rPr>
                <w:rFonts w:hint="eastAsia" w:ascii="方正仿宋_GBK" w:hAnsi="仿宋" w:eastAsia="方正仿宋_GBK"/>
                <w:sz w:val="21"/>
                <w:szCs w:val="21"/>
              </w:rPr>
              <w:t>的</w:t>
            </w:r>
            <w:r>
              <w:rPr>
                <w:rFonts w:ascii="方正仿宋_GBK" w:hAnsi="仿宋" w:eastAsia="方正仿宋_GBK"/>
                <w:sz w:val="21"/>
                <w:szCs w:val="21"/>
              </w:rPr>
              <w:t>位置（</w:t>
            </w:r>
            <w:r>
              <w:rPr>
                <w:rFonts w:hint="eastAsia" w:ascii="方正仿宋_GBK" w:hAnsi="仿宋" w:eastAsia="方正仿宋_GBK"/>
                <w:sz w:val="21"/>
                <w:szCs w:val="21"/>
              </w:rPr>
              <w:t>页码</w:t>
            </w:r>
            <w:r>
              <w:rPr>
                <w:rFonts w:ascii="方正仿宋_GBK" w:hAnsi="仿宋" w:eastAsia="方正仿宋_GBK"/>
                <w:sz w:val="21"/>
                <w:szCs w:val="21"/>
              </w:rPr>
              <w:t>）</w:t>
            </w:r>
          </w:p>
        </w:tc>
        <w:tc>
          <w:tcPr>
            <w:tcW w:w="1199"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541"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600"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199"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541"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600"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199"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541"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600"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199"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541"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600"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199"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541"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600"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199"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541"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600"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199"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541"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600"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199"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541"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600"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199"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541"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600"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c>
          <w:tcPr>
            <w:tcW w:w="1199" w:type="pct"/>
            <w:noWrap w:val="0"/>
            <w:vAlign w:val="center"/>
          </w:tcPr>
          <w:p>
            <w:pPr>
              <w:tabs>
                <w:tab w:val="left" w:pos="6300"/>
              </w:tabs>
              <w:snapToGrid w:val="0"/>
              <w:spacing w:line="500" w:lineRule="exact"/>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项目服务需求”中所列条款进行比较和响应；</w:t>
      </w:r>
    </w:p>
    <w:p>
      <w:pPr>
        <w:snapToGrid w:val="0"/>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hint="eastAsia"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（二）其他资料（格式自定）</w:t>
      </w:r>
    </w:p>
    <w:p>
      <w:pPr>
        <w:pStyle w:val="4"/>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172" w:name="_Toc313008358"/>
      <w:bookmarkStart w:id="173" w:name="_Toc313888362"/>
      <w:bookmarkStart w:id="174" w:name="_Toc30639"/>
      <w:bookmarkStart w:id="175" w:name="_Toc106030908"/>
      <w:bookmarkStart w:id="176" w:name="_Toc24665"/>
      <w:bookmarkStart w:id="177" w:name="_Toc342913421"/>
      <w:bookmarkStart w:id="178" w:name="_Toc76462352"/>
      <w:r>
        <w:rPr>
          <w:rFonts w:hint="eastAsia" w:ascii="方正仿宋_GBK" w:hAnsi="宋体" w:eastAsia="方正仿宋_GBK"/>
          <w:sz w:val="24"/>
        </w:rPr>
        <w:t>三、商务部分</w:t>
      </w:r>
      <w:bookmarkEnd w:id="172"/>
      <w:bookmarkEnd w:id="173"/>
      <w:bookmarkEnd w:id="174"/>
      <w:bookmarkEnd w:id="175"/>
      <w:bookmarkEnd w:id="176"/>
      <w:bookmarkEnd w:id="177"/>
      <w:bookmarkEnd w:id="178"/>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磋商项目名称： </w:t>
      </w:r>
    </w:p>
    <w:tbl>
      <w:tblPr>
        <w:tblStyle w:val="5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pPr>
              <w:snapToGrid w:val="0"/>
              <w:spacing w:line="360" w:lineRule="auto"/>
              <w:ind w:firstLine="465"/>
              <w:rPr>
                <w:rFonts w:hint="eastAsia" w:ascii="方正仿宋_GBK" w:hAnsi="宋体" w:eastAsia="方正仿宋_GBK"/>
                <w:sz w:val="21"/>
                <w:szCs w:val="24"/>
              </w:rPr>
            </w:pPr>
            <w:r>
              <w:rPr>
                <w:rFonts w:hint="eastAsia" w:ascii="方正仿宋_GBK" w:hAnsi="宋体" w:eastAsia="方正仿宋_GBK"/>
                <w:sz w:val="21"/>
                <w:szCs w:val="24"/>
              </w:rPr>
              <w:t>序号</w:t>
            </w:r>
          </w:p>
        </w:tc>
        <w:tc>
          <w:tcPr>
            <w:tcW w:w="3179"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磋商项目商务需求</w:t>
            </w:r>
          </w:p>
        </w:tc>
        <w:tc>
          <w:tcPr>
            <w:tcW w:w="2434"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响应情况</w:t>
            </w:r>
          </w:p>
        </w:tc>
        <w:tc>
          <w:tcPr>
            <w:tcW w:w="2355"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p>
        </w:tc>
        <w:tc>
          <w:tcPr>
            <w:tcW w:w="3179"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p>
        </w:tc>
        <w:tc>
          <w:tcPr>
            <w:tcW w:w="2434" w:type="dxa"/>
            <w:noWrap w:val="0"/>
            <w:vAlign w:val="center"/>
          </w:tcPr>
          <w:p>
            <w:pPr>
              <w:tabs>
                <w:tab w:val="left" w:pos="6300"/>
              </w:tabs>
              <w:snapToGrid w:val="0"/>
              <w:spacing w:line="360" w:lineRule="auto"/>
              <w:outlineLvl w:val="0"/>
              <w:rPr>
                <w:rFonts w:hint="eastAsia" w:ascii="方正仿宋_GBK" w:hAnsi="宋体" w:eastAsia="方正仿宋_GBK"/>
                <w:sz w:val="21"/>
                <w:szCs w:val="24"/>
              </w:rPr>
            </w:pPr>
            <w:r>
              <w:rPr>
                <w:rFonts w:ascii="方正仿宋_GBK" w:hAnsi="仿宋" w:eastAsia="方正仿宋_GBK"/>
                <w:sz w:val="21"/>
                <w:szCs w:val="21"/>
              </w:rPr>
              <w:t>提醒</w:t>
            </w:r>
            <w:r>
              <w:rPr>
                <w:rFonts w:hint="eastAsia" w:ascii="方正仿宋_GBK" w:hAnsi="仿宋" w:eastAsia="方正仿宋_GBK"/>
                <w:sz w:val="21"/>
                <w:szCs w:val="21"/>
              </w:rPr>
              <w:t>：</w:t>
            </w:r>
            <w:r>
              <w:rPr>
                <w:rFonts w:ascii="方正仿宋_GBK" w:hAnsi="仿宋" w:eastAsia="方正仿宋_GBK"/>
                <w:sz w:val="21"/>
                <w:szCs w:val="21"/>
              </w:rPr>
              <w:t>请注明具体内容以及</w:t>
            </w:r>
            <w:r>
              <w:rPr>
                <w:rFonts w:hint="eastAsia" w:ascii="方正仿宋_GBK" w:hAnsi="仿宋" w:eastAsia="方正仿宋_GBK"/>
                <w:sz w:val="21"/>
                <w:szCs w:val="21"/>
              </w:rPr>
              <w:t>响应文件</w:t>
            </w:r>
            <w:r>
              <w:rPr>
                <w:rFonts w:ascii="方正仿宋_GBK" w:hAnsi="仿宋" w:eastAsia="方正仿宋_GBK"/>
                <w:sz w:val="21"/>
                <w:szCs w:val="21"/>
              </w:rPr>
              <w:t>中</w:t>
            </w:r>
            <w:r>
              <w:rPr>
                <w:rFonts w:hint="eastAsia" w:ascii="方正仿宋_GBK" w:hAnsi="仿宋" w:eastAsia="方正仿宋_GBK"/>
                <w:sz w:val="21"/>
                <w:szCs w:val="21"/>
              </w:rPr>
              <w:t>具体</w:t>
            </w:r>
            <w:r>
              <w:rPr>
                <w:rFonts w:ascii="方正仿宋_GBK" w:hAnsi="仿宋" w:eastAsia="方正仿宋_GBK"/>
                <w:sz w:val="21"/>
                <w:szCs w:val="21"/>
              </w:rPr>
              <w:t>内容</w:t>
            </w:r>
            <w:r>
              <w:rPr>
                <w:rFonts w:hint="eastAsia" w:ascii="方正仿宋_GBK" w:hAnsi="仿宋" w:eastAsia="方正仿宋_GBK"/>
                <w:sz w:val="21"/>
                <w:szCs w:val="21"/>
              </w:rPr>
              <w:t>的</w:t>
            </w:r>
            <w:r>
              <w:rPr>
                <w:rFonts w:ascii="方正仿宋_GBK" w:hAnsi="仿宋" w:eastAsia="方正仿宋_GBK"/>
                <w:sz w:val="21"/>
                <w:szCs w:val="21"/>
              </w:rPr>
              <w:t>位置（</w:t>
            </w:r>
            <w:r>
              <w:rPr>
                <w:rFonts w:hint="eastAsia" w:ascii="方正仿宋_GBK" w:hAnsi="仿宋" w:eastAsia="方正仿宋_GBK"/>
                <w:sz w:val="21"/>
                <w:szCs w:val="21"/>
              </w:rPr>
              <w:t>页码</w:t>
            </w:r>
            <w:r>
              <w:rPr>
                <w:rFonts w:ascii="方正仿宋_GBK" w:hAnsi="仿宋" w:eastAsia="方正仿宋_GBK"/>
                <w:sz w:val="21"/>
                <w:szCs w:val="21"/>
              </w:rPr>
              <w:t>）</w:t>
            </w:r>
          </w:p>
        </w:tc>
        <w:tc>
          <w:tcPr>
            <w:tcW w:w="2355"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p>
        </w:tc>
        <w:tc>
          <w:tcPr>
            <w:tcW w:w="3179"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p>
        </w:tc>
        <w:tc>
          <w:tcPr>
            <w:tcW w:w="2434"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p>
        </w:tc>
        <w:tc>
          <w:tcPr>
            <w:tcW w:w="2355"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p>
        </w:tc>
        <w:tc>
          <w:tcPr>
            <w:tcW w:w="3179"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p>
        </w:tc>
        <w:tc>
          <w:tcPr>
            <w:tcW w:w="2434"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p>
        </w:tc>
        <w:tc>
          <w:tcPr>
            <w:tcW w:w="2355"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p>
        </w:tc>
        <w:tc>
          <w:tcPr>
            <w:tcW w:w="3179"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p>
        </w:tc>
        <w:tc>
          <w:tcPr>
            <w:tcW w:w="2434"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p>
        </w:tc>
        <w:tc>
          <w:tcPr>
            <w:tcW w:w="2355"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p>
        </w:tc>
        <w:tc>
          <w:tcPr>
            <w:tcW w:w="3179"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p>
        </w:tc>
        <w:tc>
          <w:tcPr>
            <w:tcW w:w="2434"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p>
        </w:tc>
        <w:tc>
          <w:tcPr>
            <w:tcW w:w="2355"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p>
        </w:tc>
        <w:tc>
          <w:tcPr>
            <w:tcW w:w="3179"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p>
        </w:tc>
        <w:tc>
          <w:tcPr>
            <w:tcW w:w="2434"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p>
        </w:tc>
        <w:tc>
          <w:tcPr>
            <w:tcW w:w="2355" w:type="dxa"/>
            <w:noWrap w:val="0"/>
            <w:vAlign w:val="center"/>
          </w:tcPr>
          <w:p>
            <w:pPr>
              <w:tabs>
                <w:tab w:val="left" w:pos="6300"/>
              </w:tabs>
              <w:snapToGrid w:val="0"/>
              <w:spacing w:line="360" w:lineRule="auto"/>
              <w:jc w:val="center"/>
              <w:outlineLvl w:val="0"/>
              <w:rPr>
                <w:rFonts w:hint="eastAsia" w:ascii="方正仿宋_GBK" w:hAnsi="宋体" w:eastAsia="方正仿宋_GBK"/>
                <w:sz w:val="21"/>
                <w:szCs w:val="24"/>
              </w:rPr>
            </w:pPr>
          </w:p>
        </w:tc>
      </w:tr>
    </w:tbl>
    <w:p>
      <w:pPr>
        <w:snapToGrid w:val="0"/>
        <w:spacing w:line="360" w:lineRule="auto"/>
        <w:ind w:firstLine="465"/>
        <w:rPr>
          <w:rFonts w:hint="eastAsia" w:ascii="方正仿宋_GBK" w:hAnsi="宋体" w:eastAsia="方正仿宋_GBK"/>
          <w:sz w:val="24"/>
          <w:szCs w:val="24"/>
        </w:rPr>
      </w:pPr>
    </w:p>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项目商务需求”中所列条款进行比较和响应；</w:t>
      </w:r>
    </w:p>
    <w:p>
      <w:pPr>
        <w:snapToGrid w:val="0"/>
        <w:spacing w:line="400" w:lineRule="exact"/>
        <w:ind w:firstLine="480" w:firstLineChars="200"/>
        <w:rPr>
          <w:rFonts w:hint="eastAsia" w:ascii="方正仿宋_GBK" w:eastAsia="方正仿宋_GBK"/>
          <w:b/>
        </w:rPr>
        <w:sectPr>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rPr>
        <w:t>2.本表可扩展。</w:t>
      </w:r>
    </w:p>
    <w:p>
      <w:pPr>
        <w:snapToGrid w:val="0"/>
        <w:spacing w:line="400" w:lineRule="exact"/>
        <w:ind w:firstLine="480" w:firstLineChars="200"/>
        <w:rPr>
          <w:rFonts w:hint="eastAsia" w:ascii="方正仿宋_GBK" w:hAnsi="宋体" w:eastAsia="方正仿宋_GBK"/>
          <w:sz w:val="24"/>
          <w:szCs w:val="24"/>
        </w:rPr>
      </w:pPr>
      <w:bookmarkStart w:id="179" w:name="_Toc283382459"/>
      <w:r>
        <w:rPr>
          <w:rFonts w:hint="eastAsia" w:ascii="方正仿宋_GBK" w:hAnsi="宋体" w:eastAsia="方正仿宋_GBK"/>
          <w:sz w:val="24"/>
          <w:szCs w:val="24"/>
        </w:rPr>
        <w:t>（二）其它优惠承诺（格式自定）</w:t>
      </w:r>
    </w:p>
    <w:p>
      <w:pPr>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End w:id="179"/>
      <w:bookmarkStart w:id="180" w:name="_Toc106030909"/>
      <w:bookmarkStart w:id="181" w:name="_Toc342913422"/>
      <w:bookmarkStart w:id="182" w:name="_Toc313888363"/>
      <w:bookmarkStart w:id="183" w:name="_Toc76462353"/>
      <w:bookmarkStart w:id="184" w:name="_Toc26948"/>
      <w:bookmarkStart w:id="185" w:name="_Toc2610"/>
      <w:bookmarkStart w:id="186" w:name="_Toc313008359"/>
      <w:r>
        <w:rPr>
          <w:rFonts w:hint="eastAsia" w:ascii="方正仿宋_GBK" w:hAnsi="宋体" w:eastAsia="方正仿宋_GBK"/>
          <w:sz w:val="24"/>
        </w:rPr>
        <w:t>四、资格条件</w:t>
      </w:r>
      <w:bookmarkEnd w:id="180"/>
      <w:bookmarkEnd w:id="181"/>
      <w:bookmarkEnd w:id="182"/>
      <w:bookmarkEnd w:id="183"/>
      <w:bookmarkEnd w:id="184"/>
      <w:bookmarkEnd w:id="185"/>
      <w:bookmarkEnd w:id="186"/>
    </w:p>
    <w:p>
      <w:pPr>
        <w:tabs>
          <w:tab w:val="left" w:pos="6300"/>
        </w:tabs>
        <w:snapToGrid w:val="0"/>
        <w:spacing w:line="4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磋商项目名称：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snapToGrid w:val="0"/>
        <w:spacing w:line="400" w:lineRule="exact"/>
        <w:ind w:firstLine="560" w:firstLineChars="200"/>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磋商项目名称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（被授权人姓名及身份证代码）代表我单位全权办理上述项目的磋商、签约等具体工作，并签署全部有关文件、协议及合同。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u w:val="none"/>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w:t>
      </w: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none"/>
        </w:rPr>
        <w:t>重庆医科大学附属儿童医院</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一、我方完全理解并接受该项目招标文件所有要求。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三、我方提交的所有投标文件、资料都是准确和真实的，如有虚假或隐瞒，我方愿意承担一切法律责任。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四、我方承诺按照招标文件要求，提供招标项目的技术服务。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五、我方按招标文件要求提交的投标文件为：投标文件正本1份，副本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六、如果我方中标，我方将履行招标文件中规定的各项要求以及我方投标文件的各项承诺，按《政府采购法》、《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九、我方同意按有关规定及招标文件要求，缴纳足额投标保证金。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tabs>
          <w:tab w:val="left" w:pos="6300"/>
        </w:tabs>
        <w:snapToGrid w:val="0"/>
        <w:spacing w:line="500" w:lineRule="exact"/>
        <w:ind w:firstLine="570"/>
        <w:rPr>
          <w:rFonts w:ascii="宋体" w:hAnsi="宋体"/>
        </w:rPr>
      </w:pPr>
    </w:p>
    <w:p>
      <w:pPr>
        <w:pStyle w:val="67"/>
      </w:pPr>
    </w:p>
    <w:p>
      <w:pPr>
        <w:pStyle w:val="68"/>
        <w:rPr>
          <w:rFonts w:ascii="宋体" w:hAnsi="宋体"/>
        </w:rPr>
      </w:pPr>
    </w:p>
    <w:p>
      <w:pPr>
        <w:pStyle w:val="68"/>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tabs>
          <w:tab w:val="left" w:pos="6300"/>
        </w:tabs>
        <w:snapToGrid w:val="0"/>
        <w:spacing w:line="500" w:lineRule="exact"/>
        <w:ind w:firstLine="7920" w:firstLineChars="3300"/>
        <w:rPr>
          <w:rFonts w:hint="eastAsia"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）特定资格条件证明文件</w:t>
      </w:r>
    </w:p>
    <w:p>
      <w:pPr>
        <w:tabs>
          <w:tab w:val="left" w:pos="6300"/>
        </w:tabs>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560" w:firstLineChars="200"/>
        <w:rPr>
          <w:rFonts w:hint="eastAsia" w:ascii="方正仿宋_GBK" w:hAnsi="宋体" w:eastAsia="方正仿宋_GBK"/>
          <w:sz w:val="24"/>
        </w:rPr>
      </w:pPr>
      <w:bookmarkStart w:id="187" w:name="_Toc14422"/>
      <w:r>
        <w:rPr>
          <w:rFonts w:ascii="方正仿宋_GBK" w:hAnsi="宋体" w:eastAsia="方正仿宋_GBK"/>
          <w:b w:val="0"/>
          <w:sz w:val="28"/>
        </w:rPr>
        <w:br w:type="page"/>
      </w:r>
      <w:bookmarkStart w:id="188" w:name="_Toc106030910"/>
      <w:bookmarkStart w:id="189" w:name="_Toc8805"/>
      <w:bookmarkStart w:id="190" w:name="_Toc76462354"/>
      <w:bookmarkStart w:id="191" w:name="_Toc160"/>
      <w:r>
        <w:rPr>
          <w:rFonts w:hint="eastAsia" w:ascii="方正仿宋_GBK" w:hAnsi="宋体" w:eastAsia="方正仿宋_GBK"/>
          <w:sz w:val="24"/>
        </w:rPr>
        <w:t>五、其他资料</w:t>
      </w:r>
      <w:bookmarkEnd w:id="187"/>
      <w:bookmarkEnd w:id="188"/>
      <w:bookmarkEnd w:id="189"/>
      <w:bookmarkEnd w:id="190"/>
      <w:bookmarkEnd w:id="191"/>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（一）联合体协议或分包意向协议（格式自定）</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）其他与项目有关的资料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总体情况介绍、其他与本项目有关的资料等。</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outlineLvl w:val="0"/>
        <w:rPr>
          <w:rFonts w:hint="eastAsia" w:ascii="方正仿宋_GBK" w:hAnsi="宋体" w:eastAsia="方正仿宋_GBK"/>
        </w:rPr>
      </w:pPr>
      <w:r>
        <w:rPr>
          <w:rFonts w:hint="eastAsia" w:ascii="方正仿宋_GBK" w:hAnsi="宋体" w:eastAsia="方正仿宋_GBK"/>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1"/>
      </w:rPr>
    </w:pPr>
  </w:p>
  <w:p>
    <w:pPr>
      <w:pStyle w:val="35"/>
      <w:jc w:val="center"/>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35"/>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jc w:val="cente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35"/>
                      <w:jc w:val="cente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jc w:val="cente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35"/>
                      <w:jc w:val="cente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18</w:t>
                    </w:r>
                    <w:r>
                      <w:fldChar w:fldCharType="end"/>
                    </w:r>
                  </w:p>
                </w:txbxContent>
              </v:textbox>
            </v:shape>
          </w:pict>
        </mc:Fallback>
      </mc:AlternateContent>
    </w:r>
  </w:p>
  <w:p>
    <w:pPr>
      <w:pStyle w:val="35"/>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2"/>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5"/>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8"/>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3"/>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39"/>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7"/>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600"/>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4A01A81"/>
    <w:rsid w:val="07F103E0"/>
    <w:rsid w:val="08D66189"/>
    <w:rsid w:val="0C343C7D"/>
    <w:rsid w:val="147A5E14"/>
    <w:rsid w:val="15404BA4"/>
    <w:rsid w:val="175E77FA"/>
    <w:rsid w:val="17A1211B"/>
    <w:rsid w:val="18ED7A84"/>
    <w:rsid w:val="18FA5B7C"/>
    <w:rsid w:val="19255AF5"/>
    <w:rsid w:val="195D1EFF"/>
    <w:rsid w:val="1AF34431"/>
    <w:rsid w:val="1C931DF8"/>
    <w:rsid w:val="1CE82E3A"/>
    <w:rsid w:val="21864056"/>
    <w:rsid w:val="22AC0C0B"/>
    <w:rsid w:val="28386375"/>
    <w:rsid w:val="28556F82"/>
    <w:rsid w:val="2AA01F44"/>
    <w:rsid w:val="307426F8"/>
    <w:rsid w:val="3ACE5D4F"/>
    <w:rsid w:val="3BDA3F87"/>
    <w:rsid w:val="406334F2"/>
    <w:rsid w:val="42AE0024"/>
    <w:rsid w:val="452C7897"/>
    <w:rsid w:val="46FE1B5E"/>
    <w:rsid w:val="497B7CB3"/>
    <w:rsid w:val="4B2D12E0"/>
    <w:rsid w:val="4BEB6B31"/>
    <w:rsid w:val="4DD36371"/>
    <w:rsid w:val="4EA15A85"/>
    <w:rsid w:val="5115115D"/>
    <w:rsid w:val="51335032"/>
    <w:rsid w:val="51C22F06"/>
    <w:rsid w:val="52D92ACB"/>
    <w:rsid w:val="53B4776F"/>
    <w:rsid w:val="53DF1E3A"/>
    <w:rsid w:val="56A5316B"/>
    <w:rsid w:val="56CE30F3"/>
    <w:rsid w:val="570728CE"/>
    <w:rsid w:val="5CA67F0E"/>
    <w:rsid w:val="666D7D81"/>
    <w:rsid w:val="6FE969BF"/>
    <w:rsid w:val="74D70DF7"/>
    <w:rsid w:val="763C3AF2"/>
    <w:rsid w:val="77874785"/>
    <w:rsid w:val="77967AA9"/>
    <w:rsid w:val="789F3DA6"/>
    <w:rsid w:val="78A52377"/>
    <w:rsid w:val="7B5B7497"/>
    <w:rsid w:val="7C237BD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69"/>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0"/>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1"/>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2"/>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3"/>
    <w:qFormat/>
    <w:uiPriority w:val="0"/>
  </w:style>
  <w:style w:type="paragraph" w:styleId="33">
    <w:name w:val="Body Text Indent 2"/>
    <w:basedOn w:val="1"/>
    <w:link w:val="74"/>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5"/>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20"/>
    <w:next w:val="20"/>
    <w:link w:val="76"/>
    <w:qFormat/>
    <w:uiPriority w:val="0"/>
    <w:pPr>
      <w:adjustRightInd/>
      <w:spacing w:line="240" w:lineRule="auto"/>
      <w:textAlignment w:val="auto"/>
    </w:pPr>
  </w:style>
  <w:style w:type="paragraph" w:styleId="55">
    <w:name w:val="Body Text First Indent"/>
    <w:basedOn w:val="1"/>
    <w:qFormat/>
    <w:uiPriority w:val="0"/>
    <w:pPr>
      <w:spacing w:line="360" w:lineRule="auto"/>
      <w:ind w:firstLine="420"/>
    </w:pPr>
    <w:rPr>
      <w:rFonts w:ascii="宋体" w:hAnsi="宋体"/>
      <w:sz w:val="24"/>
    </w:rPr>
  </w:style>
  <w:style w:type="paragraph" w:styleId="56">
    <w:name w:val="Body Text First Indent 2"/>
    <w:basedOn w:val="23"/>
    <w:link w:val="77"/>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标题 5（有编号）（绿盟科技）"/>
    <w:basedOn w:val="1"/>
    <w:next w:val="68"/>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8">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69">
    <w:name w:val="标题 2 Char"/>
    <w:link w:val="4"/>
    <w:qFormat/>
    <w:uiPriority w:val="0"/>
    <w:rPr>
      <w:rFonts w:ascii="Arial" w:hAnsi="Arial" w:eastAsia="黑体"/>
      <w:b/>
      <w:kern w:val="2"/>
      <w:sz w:val="32"/>
    </w:rPr>
  </w:style>
  <w:style w:type="character" w:customStyle="1" w:styleId="70">
    <w:name w:val="标题 3 Char"/>
    <w:link w:val="5"/>
    <w:qFormat/>
    <w:uiPriority w:val="0"/>
    <w:rPr>
      <w:rFonts w:eastAsia="宋体"/>
      <w:b/>
      <w:kern w:val="2"/>
      <w:sz w:val="32"/>
      <w:lang w:val="en-US" w:eastAsia="zh-CN"/>
    </w:rPr>
  </w:style>
  <w:style w:type="character" w:customStyle="1" w:styleId="71">
    <w:name w:val="批注文字 Char"/>
    <w:link w:val="20"/>
    <w:qFormat/>
    <w:uiPriority w:val="0"/>
    <w:rPr>
      <w:sz w:val="24"/>
    </w:rPr>
  </w:style>
  <w:style w:type="character" w:customStyle="1" w:styleId="72">
    <w:name w:val="正文文本缩进 Char"/>
    <w:link w:val="23"/>
    <w:qFormat/>
    <w:uiPriority w:val="0"/>
    <w:rPr>
      <w:kern w:val="2"/>
      <w:sz w:val="44"/>
    </w:rPr>
  </w:style>
  <w:style w:type="character" w:customStyle="1" w:styleId="73">
    <w:name w:val="日期 Char"/>
    <w:link w:val="32"/>
    <w:qFormat/>
    <w:uiPriority w:val="0"/>
    <w:rPr>
      <w:kern w:val="2"/>
      <w:sz w:val="28"/>
    </w:rPr>
  </w:style>
  <w:style w:type="character" w:customStyle="1" w:styleId="74">
    <w:name w:val="正文文本缩进 2 Char"/>
    <w:link w:val="33"/>
    <w:qFormat/>
    <w:uiPriority w:val="0"/>
    <w:rPr>
      <w:kern w:val="2"/>
      <w:sz w:val="28"/>
    </w:rPr>
  </w:style>
  <w:style w:type="character" w:customStyle="1" w:styleId="75">
    <w:name w:val="脚注文本 Char"/>
    <w:link w:val="40"/>
    <w:qFormat/>
    <w:uiPriority w:val="0"/>
    <w:rPr>
      <w:kern w:val="2"/>
      <w:sz w:val="18"/>
    </w:rPr>
  </w:style>
  <w:style w:type="character" w:customStyle="1" w:styleId="76">
    <w:name w:val="批注主题 Char"/>
    <w:link w:val="54"/>
    <w:qFormat/>
    <w:uiPriority w:val="0"/>
  </w:style>
  <w:style w:type="character" w:customStyle="1" w:styleId="77">
    <w:name w:val="正文首行缩进 2 Char"/>
    <w:link w:val="56"/>
    <w:qFormat/>
    <w:uiPriority w:val="0"/>
  </w:style>
  <w:style w:type="character" w:customStyle="1" w:styleId="78">
    <w:name w:val="v151"/>
    <w:qFormat/>
    <w:uiPriority w:val="0"/>
    <w:rPr>
      <w:sz w:val="18"/>
    </w:rPr>
  </w:style>
  <w:style w:type="character" w:customStyle="1" w:styleId="79">
    <w:name w:val=" Char Char7"/>
    <w:qFormat/>
    <w:uiPriority w:val="0"/>
    <w:rPr>
      <w:rFonts w:ascii="宋体" w:hAnsi="宋体" w:eastAsia="宋体"/>
      <w:kern w:val="2"/>
      <w:sz w:val="28"/>
    </w:rPr>
  </w:style>
  <w:style w:type="character" w:customStyle="1" w:styleId="80">
    <w:name w:val="小 Char"/>
    <w:qFormat/>
    <w:uiPriority w:val="0"/>
    <w:rPr>
      <w:rFonts w:ascii="宋体" w:hAnsi="Courier New" w:eastAsia="宋体"/>
      <w:kern w:val="2"/>
      <w:sz w:val="21"/>
      <w:lang w:val="en-US" w:eastAsia="zh-CN" w:bidi="ar-SA"/>
    </w:rPr>
  </w:style>
  <w:style w:type="character" w:customStyle="1" w:styleId="81">
    <w:name w:val="文字 Char"/>
    <w:link w:val="82"/>
    <w:qFormat/>
    <w:uiPriority w:val="0"/>
    <w:rPr>
      <w:rFonts w:ascii="宋体"/>
      <w:kern w:val="2"/>
      <w:sz w:val="28"/>
    </w:rPr>
  </w:style>
  <w:style w:type="paragraph" w:customStyle="1" w:styleId="82">
    <w:name w:val="文字"/>
    <w:basedOn w:val="1"/>
    <w:link w:val="81"/>
    <w:qFormat/>
    <w:uiPriority w:val="0"/>
    <w:pPr>
      <w:tabs>
        <w:tab w:val="left" w:pos="8520"/>
      </w:tabs>
      <w:spacing w:line="312" w:lineRule="auto"/>
      <w:ind w:right="-210" w:firstLine="556"/>
    </w:pPr>
    <w:rPr>
      <w:rFonts w:ascii="宋体"/>
    </w:rPr>
  </w:style>
  <w:style w:type="character" w:customStyle="1" w:styleId="83">
    <w:name w:val="content-white1"/>
    <w:qFormat/>
    <w:uiPriority w:val="0"/>
    <w:rPr>
      <w:rFonts w:ascii="_x000B__x000C_" w:hAnsi="_x000B__x000C_"/>
      <w:color w:val="auto"/>
      <w:sz w:val="18"/>
      <w:u w:val="none"/>
    </w:rPr>
  </w:style>
  <w:style w:type="character" w:customStyle="1" w:styleId="84">
    <w:name w:val="正文 + 三号 Char"/>
    <w:qFormat/>
    <w:uiPriority w:val="0"/>
    <w:rPr>
      <w:rFonts w:eastAsia="宋体"/>
      <w:kern w:val="2"/>
      <w:sz w:val="21"/>
      <w:lang w:val="en-US" w:eastAsia="zh-CN"/>
    </w:rPr>
  </w:style>
  <w:style w:type="character" w:customStyle="1" w:styleId="85">
    <w:name w:val="H2 Char"/>
    <w:qFormat/>
    <w:uiPriority w:val="0"/>
    <w:rPr>
      <w:rFonts w:ascii="Arial" w:hAnsi="Arial" w:eastAsia="宋体"/>
      <w:kern w:val="2"/>
      <w:sz w:val="28"/>
      <w:lang w:val="en-US" w:eastAsia="zh-CN"/>
    </w:rPr>
  </w:style>
  <w:style w:type="character" w:customStyle="1" w:styleId="86">
    <w:name w:val=" Char Char3"/>
    <w:qFormat/>
    <w:uiPriority w:val="0"/>
    <w:rPr>
      <w:rFonts w:eastAsia="宋体"/>
      <w:kern w:val="2"/>
      <w:sz w:val="18"/>
      <w:lang w:val="en-US" w:eastAsia="zh-CN"/>
    </w:rPr>
  </w:style>
  <w:style w:type="character" w:customStyle="1" w:styleId="87">
    <w:name w:val=" Char Char4"/>
    <w:qFormat/>
    <w:uiPriority w:val="0"/>
    <w:rPr>
      <w:rFonts w:eastAsia="宋体"/>
      <w:b/>
      <w:kern w:val="2"/>
      <w:sz w:val="21"/>
      <w:lang w:val="en-US" w:eastAsia="zh-CN"/>
    </w:rPr>
  </w:style>
  <w:style w:type="character" w:customStyle="1" w:styleId="88">
    <w:name w:val="Table Text Char1 Char"/>
    <w:qFormat/>
    <w:uiPriority w:val="0"/>
    <w:rPr>
      <w:rFonts w:ascii="Arial" w:hAnsi="Arial"/>
      <w:kern w:val="2"/>
      <w:sz w:val="18"/>
      <w:lang w:val="en-US" w:eastAsia="zh-CN" w:bidi="ar-SA"/>
    </w:rPr>
  </w:style>
  <w:style w:type="character" w:customStyle="1" w:styleId="89">
    <w:name w:val=" Char Char5"/>
    <w:qFormat/>
    <w:uiPriority w:val="0"/>
    <w:rPr>
      <w:rFonts w:ascii="Arial" w:hAnsi="Arial" w:eastAsia="宋体"/>
      <w:b/>
      <w:smallCaps/>
      <w:kern w:val="28"/>
      <w:sz w:val="36"/>
      <w:lang w:val="en-US" w:eastAsia="en-US"/>
    </w:rPr>
  </w:style>
  <w:style w:type="character" w:customStyle="1" w:styleId="90">
    <w:name w:val=" Char Char"/>
    <w:qFormat/>
    <w:uiPriority w:val="0"/>
    <w:rPr>
      <w:rFonts w:ascii="宋体" w:hAnsi="宋体" w:eastAsia="宋体"/>
      <w:kern w:val="2"/>
      <w:sz w:val="24"/>
      <w:lang w:val="en-US" w:eastAsia="zh-CN" w:bidi="ar-SA"/>
    </w:rPr>
  </w:style>
  <w:style w:type="character" w:customStyle="1" w:styleId="91">
    <w:name w:val="Table Heading Char Char"/>
    <w:qFormat/>
    <w:uiPriority w:val="0"/>
    <w:rPr>
      <w:rFonts w:ascii="Arial" w:hAnsi="Arial" w:eastAsia="黑体"/>
      <w:kern w:val="2"/>
      <w:sz w:val="18"/>
      <w:lang w:val="en-US" w:eastAsia="zh-CN"/>
    </w:rPr>
  </w:style>
  <w:style w:type="character" w:customStyle="1" w:styleId="92">
    <w:name w:val="Table Text Char Char Char Char"/>
    <w:link w:val="93"/>
    <w:qFormat/>
    <w:uiPriority w:val="0"/>
    <w:rPr>
      <w:rFonts w:ascii="Arial" w:hAnsi="Arial"/>
      <w:kern w:val="2"/>
      <w:sz w:val="18"/>
      <w:lang w:val="en-US" w:eastAsia="zh-CN" w:bidi="ar-SA"/>
    </w:rPr>
  </w:style>
  <w:style w:type="paragraph" w:customStyle="1" w:styleId="93">
    <w:name w:val="Table Text Char Char Char"/>
    <w:link w:val="92"/>
    <w:qFormat/>
    <w:uiPriority w:val="0"/>
    <w:pPr>
      <w:snapToGrid w:val="0"/>
      <w:spacing w:before="80" w:after="80"/>
    </w:pPr>
    <w:rPr>
      <w:rFonts w:ascii="Arial" w:hAnsi="Arial" w:eastAsia="宋体" w:cs="Times New Roman"/>
      <w:kern w:val="2"/>
      <w:sz w:val="18"/>
      <w:lang w:val="en-US" w:eastAsia="zh-CN" w:bidi="ar-SA"/>
    </w:rPr>
  </w:style>
  <w:style w:type="character" w:customStyle="1" w:styleId="94">
    <w:name w:val="Table Text Char"/>
    <w:link w:val="95"/>
    <w:qFormat/>
    <w:uiPriority w:val="0"/>
    <w:rPr>
      <w:rFonts w:ascii="Arial" w:hAnsi="Arial"/>
      <w:kern w:val="2"/>
      <w:sz w:val="18"/>
      <w:lang w:val="en-US" w:eastAsia="zh-CN" w:bidi="ar-SA"/>
    </w:rPr>
  </w:style>
  <w:style w:type="paragraph" w:customStyle="1" w:styleId="95">
    <w:name w:val="Table Text"/>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 Char Char2"/>
    <w:qFormat/>
    <w:uiPriority w:val="0"/>
    <w:rPr>
      <w:rFonts w:eastAsia="宋体"/>
      <w:kern w:val="2"/>
      <w:sz w:val="18"/>
      <w:lang w:val="en-US" w:eastAsia="zh-CN"/>
    </w:rPr>
  </w:style>
  <w:style w:type="character" w:customStyle="1" w:styleId="97">
    <w:name w:val="标书正文:  0.74 厘米 Char1"/>
    <w:qFormat/>
    <w:uiPriority w:val="0"/>
    <w:rPr>
      <w:rFonts w:eastAsia="宋体"/>
      <w:kern w:val="2"/>
      <w:sz w:val="24"/>
      <w:lang w:val="en-US" w:eastAsia="zh-CN"/>
    </w:rPr>
  </w:style>
  <w:style w:type="character" w:customStyle="1" w:styleId="98">
    <w:name w:val="样式 宋体"/>
    <w:qFormat/>
    <w:uiPriority w:val="0"/>
    <w:rPr>
      <w:rFonts w:ascii="宋体" w:hAnsi="宋体" w:eastAsia="宋体"/>
      <w:sz w:val="28"/>
    </w:rPr>
  </w:style>
  <w:style w:type="character" w:customStyle="1" w:styleId="99">
    <w:name w:val="未命名11"/>
    <w:qFormat/>
    <w:uiPriority w:val="0"/>
    <w:rPr>
      <w:color w:val="77FFFF"/>
      <w:sz w:val="24"/>
    </w:rPr>
  </w:style>
  <w:style w:type="character" w:customStyle="1" w:styleId="100">
    <w:name w:val="crowed11"/>
    <w:qFormat/>
    <w:uiPriority w:val="0"/>
    <w:rPr>
      <w:rFonts w:hint="default" w:ascii="_x000B__x000C_" w:hAnsi="_x000B__x000C_"/>
      <w:sz w:val="24"/>
    </w:rPr>
  </w:style>
  <w:style w:type="character" w:customStyle="1" w:styleId="101">
    <w:name w:val=" Char Char6"/>
    <w:qFormat/>
    <w:uiPriority w:val="0"/>
    <w:rPr>
      <w:rFonts w:ascii="仿宋_GB2312" w:eastAsia="仿宋_GB2312"/>
      <w:kern w:val="2"/>
      <w:sz w:val="32"/>
    </w:rPr>
  </w:style>
  <w:style w:type="character" w:customStyle="1" w:styleId="102">
    <w:name w:val="title_emph1"/>
    <w:qFormat/>
    <w:uiPriority w:val="0"/>
    <w:rPr>
      <w:rFonts w:hint="default" w:ascii="Arial" w:hAnsi="Arial"/>
      <w:b/>
      <w:sz w:val="20"/>
    </w:rPr>
  </w:style>
  <w:style w:type="character" w:customStyle="1" w:styleId="103">
    <w:name w:val="font1"/>
    <w:qFormat/>
    <w:uiPriority w:val="0"/>
    <w:rPr>
      <w:color w:val="000000"/>
      <w:sz w:val="18"/>
    </w:rPr>
  </w:style>
  <w:style w:type="character" w:customStyle="1" w:styleId="104">
    <w:name w:val=" Char Char11"/>
    <w:qFormat/>
    <w:uiPriority w:val="0"/>
    <w:rPr>
      <w:rFonts w:ascii="宋体"/>
      <w:kern w:val="2"/>
      <w:sz w:val="28"/>
    </w:rPr>
  </w:style>
  <w:style w:type="character" w:customStyle="1" w:styleId="105">
    <w:name w:val="top-det1"/>
    <w:qFormat/>
    <w:uiPriority w:val="0"/>
    <w:rPr>
      <w:b/>
      <w:color w:val="000000"/>
    </w:rPr>
  </w:style>
  <w:style w:type="paragraph" w:customStyle="1" w:styleId="106">
    <w:name w:val="二级列表"/>
    <w:basedOn w:val="107"/>
    <w:next w:val="107"/>
    <w:qFormat/>
    <w:uiPriority w:val="0"/>
    <w:pPr>
      <w:tabs>
        <w:tab w:val="left" w:pos="2120"/>
      </w:tabs>
      <w:ind w:firstLine="0" w:firstLineChars="0"/>
    </w:pPr>
    <w:rPr>
      <w:b/>
    </w:rPr>
  </w:style>
  <w:style w:type="paragraph" w:customStyle="1" w:styleId="107">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8">
    <w:name w:val="标题3——2"/>
    <w:basedOn w:val="5"/>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09">
    <w:name w:val="文本1"/>
    <w:basedOn w:val="1"/>
    <w:qFormat/>
    <w:uiPriority w:val="0"/>
    <w:pPr>
      <w:adjustRightInd w:val="0"/>
      <w:spacing w:line="312" w:lineRule="atLeast"/>
      <w:jc w:val="center"/>
      <w:textAlignment w:val="baseline"/>
    </w:pPr>
    <w:rPr>
      <w:kern w:val="0"/>
      <w:sz w:val="18"/>
    </w:rPr>
  </w:style>
  <w:style w:type="paragraph" w:customStyle="1" w:styleId="110">
    <w:name w:val="Title - Revision"/>
    <w:basedOn w:val="53"/>
    <w:qFormat/>
    <w:uiPriority w:val="0"/>
    <w:pPr>
      <w:spacing w:before="720" w:beforeLines="0" w:beforeAutospacing="0"/>
    </w:pPr>
  </w:style>
  <w:style w:type="paragraph" w:customStyle="1" w:styleId="111">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2">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3">
    <w:name w:val="二级条标题"/>
    <w:basedOn w:val="114"/>
    <w:next w:val="116"/>
    <w:qFormat/>
    <w:uiPriority w:val="0"/>
    <w:pPr>
      <w:ind w:left="840"/>
      <w:outlineLvl w:val="3"/>
    </w:pPr>
  </w:style>
  <w:style w:type="paragraph" w:customStyle="1" w:styleId="114">
    <w:name w:val="一级条标题"/>
    <w:basedOn w:val="115"/>
    <w:next w:val="116"/>
    <w:qFormat/>
    <w:uiPriority w:val="0"/>
    <w:pPr>
      <w:numPr>
        <w:ilvl w:val="1"/>
        <w:numId w:val="0"/>
      </w:numPr>
      <w:spacing w:before="0" w:beforeLines="0" w:beforeAutospacing="0" w:after="0" w:afterLines="0" w:afterAutospacing="0"/>
      <w:ind w:left="525"/>
      <w:outlineLvl w:val="2"/>
    </w:pPr>
    <w:rPr>
      <w:sz w:val="21"/>
    </w:rPr>
  </w:style>
  <w:style w:type="paragraph" w:customStyle="1" w:styleId="115">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7">
    <w:name w:val="1.正文"/>
    <w:basedOn w:val="1"/>
    <w:qFormat/>
    <w:uiPriority w:val="0"/>
    <w:pPr>
      <w:spacing w:line="360" w:lineRule="auto"/>
      <w:ind w:left="540" w:leftChars="225" w:firstLine="540" w:firstLineChars="225"/>
    </w:pPr>
    <w:rPr>
      <w:sz w:val="24"/>
    </w:rPr>
  </w:style>
  <w:style w:type="paragraph" w:customStyle="1" w:styleId="118">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19">
    <w:name w:val="编号正文"/>
    <w:basedOn w:val="120"/>
    <w:qFormat/>
    <w:uiPriority w:val="0"/>
    <w:pPr>
      <w:snapToGrid/>
      <w:spacing w:line="360" w:lineRule="auto"/>
      <w:ind w:left="1407" w:hanging="1047"/>
      <w:jc w:val="left"/>
    </w:pPr>
    <w:rPr>
      <w:rFonts w:eastAsia="仿宋_GB2312"/>
    </w:rPr>
  </w:style>
  <w:style w:type="paragraph" w:customStyle="1" w:styleId="120">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1">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2">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3">
    <w:name w:val="默认段落字体 Para Char Char Char Char Char Char Char Char Char1 Char Char Char Char"/>
    <w:basedOn w:val="1"/>
    <w:qFormat/>
    <w:uiPriority w:val="0"/>
    <w:rPr>
      <w:rFonts w:ascii="Tahoma" w:hAnsi="Tahoma"/>
      <w:sz w:val="24"/>
    </w:rPr>
  </w:style>
  <w:style w:type="paragraph" w:customStyle="1" w:styleId="124">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5">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6">
    <w:name w:val=" Char Char14 Char Char"/>
    <w:basedOn w:val="1"/>
    <w:qFormat/>
    <w:uiPriority w:val="0"/>
    <w:rPr>
      <w:sz w:val="21"/>
      <w:szCs w:val="24"/>
    </w:rPr>
  </w:style>
  <w:style w:type="paragraph" w:customStyle="1" w:styleId="127">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8">
    <w:name w:val=" Char2 Char Char Char Char Char Char"/>
    <w:basedOn w:val="1"/>
    <w:qFormat/>
    <w:uiPriority w:val="0"/>
    <w:rPr>
      <w:rFonts w:ascii="仿宋_GB2312"/>
      <w:b/>
      <w:sz w:val="30"/>
    </w:rPr>
  </w:style>
  <w:style w:type="paragraph" w:customStyle="1" w:styleId="129">
    <w:name w:val="_Style 128"/>
    <w:qFormat/>
    <w:uiPriority w:val="0"/>
    <w:rPr>
      <w:rFonts w:ascii="Times New Roman" w:hAnsi="Times New Roman" w:eastAsia="宋体" w:cs="Times New Roman"/>
      <w:kern w:val="2"/>
      <w:sz w:val="21"/>
      <w:lang w:val="en-US" w:eastAsia="zh-CN" w:bidi="ar-SA"/>
    </w:rPr>
  </w:style>
  <w:style w:type="paragraph" w:customStyle="1" w:styleId="130">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1">
    <w:name w:val="正文 + 三号"/>
    <w:basedOn w:val="1"/>
    <w:qFormat/>
    <w:uiPriority w:val="0"/>
    <w:rPr>
      <w:sz w:val="21"/>
    </w:rPr>
  </w:style>
  <w:style w:type="paragraph" w:customStyle="1" w:styleId="132">
    <w:name w:val="样式 首行缩进:  0.74 厘米"/>
    <w:basedOn w:val="1"/>
    <w:qFormat/>
    <w:uiPriority w:val="0"/>
    <w:pPr>
      <w:spacing w:line="360" w:lineRule="auto"/>
      <w:ind w:firstLine="420"/>
    </w:pPr>
    <w:rPr>
      <w:sz w:val="24"/>
    </w:rPr>
  </w:style>
  <w:style w:type="paragraph" w:customStyle="1" w:styleId="133">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4">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5">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6">
    <w:name w:val="Table Contents"/>
    <w:basedOn w:val="2"/>
    <w:qFormat/>
    <w:uiPriority w:val="0"/>
    <w:pPr>
      <w:suppressAutoHyphens/>
      <w:jc w:val="left"/>
    </w:pPr>
    <w:rPr>
      <w:rFonts w:ascii="Times New Roman" w:eastAsia="Times New Roman"/>
      <w:kern w:val="0"/>
      <w:sz w:val="24"/>
    </w:rPr>
  </w:style>
  <w:style w:type="paragraph" w:customStyle="1" w:styleId="137">
    <w:name w:val="表格文本"/>
    <w:qFormat/>
    <w:uiPriority w:val="0"/>
    <w:pPr>
      <w:tabs>
        <w:tab w:val="decimal" w:pos="0"/>
      </w:tabs>
    </w:pPr>
    <w:rPr>
      <w:rFonts w:ascii="Arial" w:hAnsi="Arial" w:eastAsia="宋体" w:cs="Times New Roman"/>
      <w:sz w:val="21"/>
      <w:lang w:val="en-US" w:eastAsia="zh-CN" w:bidi="ar-SA"/>
    </w:rPr>
  </w:style>
  <w:style w:type="paragraph" w:customStyle="1" w:styleId="138">
    <w:name w:val=" Char Char Char Char Char Char Char"/>
    <w:basedOn w:val="1"/>
    <w:qFormat/>
    <w:uiPriority w:val="0"/>
    <w:rPr>
      <w:rFonts w:ascii="Tahoma" w:hAnsi="Tahoma"/>
      <w:sz w:val="24"/>
    </w:rPr>
  </w:style>
  <w:style w:type="paragraph" w:customStyle="1" w:styleId="139">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0">
    <w:name w:val="内容标题"/>
    <w:basedOn w:val="18"/>
    <w:qFormat/>
    <w:uiPriority w:val="0"/>
    <w:rPr>
      <w:rFonts w:ascii="Tahoma" w:hAnsi="Tahoma"/>
      <w:sz w:val="24"/>
    </w:rPr>
  </w:style>
  <w:style w:type="paragraph" w:customStyle="1" w:styleId="141">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2">
    <w:name w:val="1"/>
    <w:basedOn w:val="1"/>
    <w:next w:val="30"/>
    <w:qFormat/>
    <w:uiPriority w:val="0"/>
    <w:rPr>
      <w:rFonts w:ascii="宋体" w:hAnsi="Courier New"/>
      <w:sz w:val="21"/>
    </w:rPr>
  </w:style>
  <w:style w:type="paragraph" w:customStyle="1" w:styleId="143">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4">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5">
    <w:name w:val="Char Char Char Char Char Char Char"/>
    <w:basedOn w:val="18"/>
    <w:qFormat/>
    <w:uiPriority w:val="0"/>
    <w:rPr>
      <w:rFonts w:ascii="宋体" w:hAnsi="Tahoma"/>
    </w:rPr>
  </w:style>
  <w:style w:type="paragraph" w:customStyle="1" w:styleId="146">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7">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8">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49">
    <w:name w:val="样式 行距: 1.5 倍行距1"/>
    <w:basedOn w:val="1"/>
    <w:qFormat/>
    <w:uiPriority w:val="0"/>
    <w:pPr>
      <w:snapToGrid w:val="0"/>
    </w:pPr>
    <w:rPr>
      <w:sz w:val="21"/>
    </w:rPr>
  </w:style>
  <w:style w:type="paragraph" w:customStyle="1" w:styleId="150">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1">
    <w:name w:val="00"/>
    <w:basedOn w:val="1"/>
    <w:qFormat/>
    <w:uiPriority w:val="0"/>
    <w:pPr>
      <w:autoSpaceDE w:val="0"/>
      <w:autoSpaceDN w:val="0"/>
      <w:adjustRightInd w:val="0"/>
      <w:jc w:val="left"/>
    </w:pPr>
    <w:rPr>
      <w:rFonts w:ascii="黑体" w:eastAsia="黑体"/>
      <w:b/>
      <w:kern w:val="0"/>
      <w:sz w:val="20"/>
    </w:rPr>
  </w:style>
  <w:style w:type="paragraph" w:customStyle="1" w:styleId="152">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3">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4">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5">
    <w:name w:val="标准正文"/>
    <w:basedOn w:val="23"/>
    <w:qFormat/>
    <w:uiPriority w:val="0"/>
    <w:pPr>
      <w:spacing w:before="60" w:beforeLines="0" w:after="60" w:afterLines="0" w:line="360" w:lineRule="auto"/>
      <w:ind w:left="0" w:firstLine="482"/>
    </w:pPr>
    <w:rPr>
      <w:rFonts w:ascii="Arial" w:hAnsi="Arial"/>
      <w:sz w:val="24"/>
    </w:rPr>
  </w:style>
  <w:style w:type="paragraph" w:customStyle="1" w:styleId="156">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7">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8">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59">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0">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1">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2">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3"/>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0"/>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header" Target="header5.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31</Pages>
  <Words>10211</Words>
  <Characters>10548</Characters>
  <Lines>170</Lines>
  <Paragraphs>47</Paragraphs>
  <TotalTime>10</TotalTime>
  <ScaleCrop>false</ScaleCrop>
  <LinksUpToDate>false</LinksUpToDate>
  <CharactersWithSpaces>11991</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周洋</cp:lastModifiedBy>
  <cp:lastPrinted>2015-03-25T02:14:00Z</cp:lastPrinted>
  <dcterms:modified xsi:type="dcterms:W3CDTF">2023-04-07T01:05:00Z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4CA781E230C144429398CD60AD667AEC</vt:lpwstr>
  </property>
</Properties>
</file>