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YSB230 </w:t>
      </w:r>
    </w:p>
    <w:p>
      <w:pPr>
        <w:spacing w:line="360" w:lineRule="auto"/>
        <w:ind w:firstLine="2160" w:firstLineChars="6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中药敷贴机器</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8</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_Toc27110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_Toc9183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_Toc26664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_Toc22327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_Toc14433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_Toc18675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_Toc12473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_Toc19431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_Toc17606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_Toc13119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_Toc20271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_Toc17526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24037"/>
      <w:bookmarkStart w:id="1" w:name="_Toc11641050"/>
      <w:bookmarkStart w:id="2" w:name="_Toc106030870"/>
      <w:bookmarkStart w:id="3" w:name="_Toc27110"/>
      <w:bookmarkStart w:id="4" w:name="_Toc12789052"/>
      <w:bookmarkStart w:id="5" w:name="_Toc76462316"/>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lang w:val="en-US" w:eastAsia="zh-CN"/>
        </w:rPr>
        <w:t>中药敷贴机器</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13893526"/>
      <w:bookmarkStart w:id="7" w:name="_Toc3856"/>
      <w:bookmarkStart w:id="8" w:name="_Toc317775175"/>
      <w:bookmarkStart w:id="9" w:name="_Toc76462317"/>
      <w:bookmarkStart w:id="10" w:name="_Toc106030871"/>
      <w:bookmarkStart w:id="11" w:name="_Toc13094"/>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2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9"/>
        <w:gridCol w:w="2027"/>
        <w:gridCol w:w="1155"/>
        <w:gridCol w:w="1425"/>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25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1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272"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 xml:space="preserve">YSB230 </w:t>
            </w:r>
          </w:p>
        </w:tc>
        <w:tc>
          <w:tcPr>
            <w:tcW w:w="1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中药敷贴机器</w:t>
            </w:r>
          </w:p>
        </w:tc>
        <w:tc>
          <w:tcPr>
            <w:tcW w:w="7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w:t>
            </w:r>
          </w:p>
        </w:tc>
        <w:tc>
          <w:tcPr>
            <w:tcW w:w="8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27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76462319"/>
      <w:bookmarkStart w:id="19" w:name="_Toc4480"/>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76462320"/>
      <w:bookmarkStart w:id="22" w:name="_Toc9183"/>
      <w:bookmarkStart w:id="23" w:name="_Toc106030874"/>
      <w:bookmarkStart w:id="24" w:name="_Toc27954"/>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1</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2</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投标人</w:t>
      </w:r>
      <w:r>
        <w:rPr>
          <w:rFonts w:hint="eastAsia" w:ascii="方正仿宋_GBK" w:hAnsi="宋体" w:eastAsia="方正仿宋_GBK" w:cs="Times New Roman"/>
          <w:sz w:val="24"/>
          <w:szCs w:val="24"/>
          <w:lang w:val="en-US" w:eastAsia="zh-CN"/>
        </w:rPr>
        <w:t>须具备</w:t>
      </w:r>
      <w:r>
        <w:rPr>
          <w:rFonts w:hint="eastAsia" w:ascii="方正仿宋_GBK" w:hAnsi="宋体" w:eastAsia="方正仿宋_GBK" w:cs="Times New Roman"/>
          <w:sz w:val="24"/>
          <w:szCs w:val="24"/>
        </w:rPr>
        <w:t>医疗器械经营许可证</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3</w:t>
      </w:r>
      <w:r>
        <w:rPr>
          <w:rFonts w:hint="eastAsia" w:ascii="方正仿宋_GBK" w:hAnsi="宋体" w:eastAsia="方正仿宋_GBK" w:cs="Times New Roman"/>
          <w:sz w:val="24"/>
          <w:szCs w:val="24"/>
          <w:lang w:val="en-US" w:eastAsia="zh-CN"/>
        </w:rPr>
        <w:t>.投标产品制造商</w:t>
      </w:r>
      <w:r>
        <w:rPr>
          <w:rFonts w:hint="eastAsia" w:ascii="方正仿宋_GBK" w:hAnsi="宋体" w:eastAsia="方正仿宋_GBK" w:cs="Times New Roman"/>
          <w:sz w:val="24"/>
          <w:szCs w:val="24"/>
        </w:rPr>
        <w:t>的医疗器械生产企业许可证和生产目录表</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4</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所投产品属三类医疗器械的，须具备有效期内《医疗器械经营企业许可证》或《医疗器械经营许可证》</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5</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所提供产品属二类医疗器械的，须具备有效期内《医疗器械经营企业许可证》或《第二类医疗器械经营备案凭证》</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6</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所提供产品属一类医疗器械的，须具有所提供产品《第一类医疗器械备案凭证》及《第一类医疗器械备案信息表》</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5047161"/>
      <w:bookmarkStart w:id="26" w:name="_Toc11956"/>
      <w:bookmarkStart w:id="27" w:name="_Toc6178"/>
      <w:bookmarkStart w:id="28" w:name="_Toc26664"/>
      <w:bookmarkStart w:id="29" w:name="_Toc65660334"/>
      <w:bookmarkStart w:id="30" w:name="_Toc521053053"/>
      <w:bookmarkStart w:id="31" w:name="_Toc12841"/>
      <w:bookmarkStart w:id="32" w:name="_Toc106034625"/>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525047162"/>
      <w:bookmarkStart w:id="35" w:name="_Toc2945"/>
      <w:bookmarkStart w:id="36" w:name="_Toc65660335"/>
      <w:bookmarkStart w:id="37" w:name="_Toc521053054"/>
      <w:bookmarkStart w:id="38" w:name="_Toc4355"/>
      <w:bookmarkStart w:id="39" w:name="_Toc2410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16269"/>
      <w:bookmarkStart w:id="43" w:name="_Toc65660336"/>
      <w:bookmarkStart w:id="44" w:name="_Toc521053055"/>
      <w:bookmarkStart w:id="45" w:name="_Toc6563"/>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0415"/>
      <w:bookmarkStart w:id="48" w:name="_Toc525047164"/>
      <w:bookmarkStart w:id="49" w:name="_Toc1733"/>
      <w:bookmarkStart w:id="50" w:name="_Toc24901"/>
      <w:bookmarkStart w:id="51" w:name="_Toc21079"/>
      <w:bookmarkStart w:id="52" w:name="_Toc65660337"/>
      <w:bookmarkStart w:id="53" w:name="_Toc106034628"/>
      <w:bookmarkStart w:id="54" w:name="_Toc521053056"/>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1625"/>
      <w:bookmarkStart w:id="57" w:name="_Toc8649"/>
      <w:bookmarkStart w:id="58" w:name="_Toc725"/>
      <w:bookmarkStart w:id="59" w:name="_Toc19886"/>
      <w:bookmarkStart w:id="60" w:name="_Toc11017"/>
      <w:bookmarkStart w:id="61" w:name="_Toc23143"/>
      <w:bookmarkStart w:id="62" w:name="_Toc2422"/>
      <w:bookmarkStart w:id="63" w:name="_Toc2070"/>
      <w:bookmarkStart w:id="64" w:name="_Toc32686"/>
      <w:bookmarkStart w:id="65" w:name="_Toc25639"/>
      <w:bookmarkStart w:id="66" w:name="_Toc1492"/>
      <w:bookmarkStart w:id="67" w:name="_Toc5461"/>
      <w:bookmarkStart w:id="68" w:name="_Toc12959"/>
      <w:bookmarkStart w:id="69" w:name="_Toc75793504"/>
      <w:bookmarkStart w:id="70" w:name="_Toc26176"/>
      <w:bookmarkStart w:id="71" w:name="_Toc22327"/>
      <w:bookmarkStart w:id="72" w:name="_Toc106030380"/>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bookmarkEnd w:id="72"/>
    </w:p>
    <w:p>
      <w:pPr>
        <w:ind w:firstLine="480" w:firstLineChars="200"/>
        <w:rPr>
          <w:rFonts w:hint="eastAsia" w:ascii="方正仿宋_GBK" w:hAnsi="宋体" w:eastAsia="方正仿宋_GBK" w:cs="Times New Roman"/>
          <w:b/>
          <w:bCs/>
          <w:sz w:val="24"/>
          <w:szCs w:val="24"/>
          <w:lang w:val="en-US" w:eastAsia="zh-CN"/>
        </w:rPr>
      </w:pPr>
      <w:bookmarkStart w:id="73" w:name="_Toc29985"/>
      <w:bookmarkStart w:id="74" w:name="_Toc22910"/>
      <w:bookmarkStart w:id="75" w:name="_Toc11703"/>
      <w:bookmarkStart w:id="76" w:name="_Toc23656"/>
      <w:bookmarkStart w:id="77" w:name="_Toc20979"/>
      <w:bookmarkStart w:id="78" w:name="_Toc9261"/>
      <w:bookmarkStart w:id="79" w:name="_Toc23504"/>
      <w:bookmarkStart w:id="80" w:name="_Toc14433"/>
      <w:bookmarkStart w:id="81" w:name="_Toc106030381"/>
      <w:bookmarkStart w:id="82" w:name="_Toc4519"/>
      <w:bookmarkStart w:id="83" w:name="_Toc4913"/>
      <w:bookmarkStart w:id="84" w:name="_Toc7027"/>
      <w:bookmarkStart w:id="85" w:name="_Toc19238"/>
      <w:bookmarkStart w:id="86" w:name="_Toc75793505"/>
      <w:bookmarkStart w:id="87" w:name="_Toc8370"/>
      <w:bookmarkStart w:id="88" w:name="_Toc4531"/>
      <w:r>
        <w:rPr>
          <w:rFonts w:hint="eastAsia" w:ascii="方正仿宋_GBK" w:hAnsi="宋体" w:eastAsia="方正仿宋_GBK" w:cs="Times New Roman"/>
          <w:b/>
          <w:bCs/>
          <w:sz w:val="24"/>
          <w:szCs w:val="24"/>
          <w:lang w:val="en-US" w:eastAsia="zh-CN"/>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431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产品名称</w:t>
            </w:r>
          </w:p>
        </w:tc>
        <w:tc>
          <w:tcPr>
            <w:tcW w:w="156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数量/单位</w:t>
            </w:r>
          </w:p>
        </w:tc>
        <w:tc>
          <w:tcPr>
            <w:tcW w:w="216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lang w:eastAsia="zh-CN"/>
              </w:rPr>
            </w:pPr>
            <w:r>
              <w:rPr>
                <w:rFonts w:hint="eastAsia" w:ascii="方正仿宋_GBK" w:hAnsi="宋体" w:eastAsia="方正仿宋_GBK"/>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pStyle w:val="23"/>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p>
        </w:tc>
        <w:tc>
          <w:tcPr>
            <w:tcW w:w="431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中药敷贴机器</w:t>
            </w:r>
          </w:p>
        </w:tc>
        <w:tc>
          <w:tcPr>
            <w:tcW w:w="1560"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2台</w:t>
            </w:r>
          </w:p>
        </w:tc>
        <w:tc>
          <w:tcPr>
            <w:tcW w:w="216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p>
        </w:tc>
      </w:tr>
    </w:tbl>
    <w:p>
      <w:pPr>
        <w:ind w:firstLine="480" w:firstLineChars="200"/>
        <w:rPr>
          <w:rFonts w:hint="eastAsia" w:ascii="方正仿宋_GBK" w:hAnsi="宋体" w:eastAsia="方正仿宋_GBK" w:cs="Times New Roman"/>
          <w:sz w:val="24"/>
          <w:szCs w:val="24"/>
          <w:lang w:val="en-US" w:eastAsia="zh-CN"/>
        </w:rPr>
      </w:pPr>
      <w:bookmarkStart w:id="89" w:name="_Toc10143"/>
      <w:bookmarkStart w:id="90" w:name="_Toc21817"/>
      <w:bookmarkStart w:id="91" w:name="_Toc695"/>
      <w:bookmarkStart w:id="92" w:name="_Toc28205"/>
      <w:bookmarkStart w:id="93" w:name="_Toc75793506"/>
      <w:bookmarkStart w:id="94" w:name="_Toc18800"/>
      <w:bookmarkStart w:id="95" w:name="_Toc106030382"/>
      <w:bookmarkStart w:id="96" w:name="_Toc27067"/>
      <w:bookmarkStart w:id="97" w:name="_Toc23975"/>
      <w:bookmarkStart w:id="98" w:name="_Toc12568"/>
      <w:bookmarkStart w:id="99" w:name="_Toc32262"/>
      <w:bookmarkStart w:id="100" w:name="_Toc7792"/>
      <w:bookmarkStart w:id="101" w:name="_Toc26453"/>
      <w:bookmarkStart w:id="102" w:name="_Toc15696"/>
      <w:bookmarkStart w:id="103" w:name="_Toc18675"/>
      <w:bookmarkStart w:id="104" w:name="_Toc18903"/>
      <w:bookmarkStart w:id="105" w:name="_Toc5751"/>
      <w:r>
        <w:rPr>
          <w:rFonts w:hint="eastAsia" w:ascii="方正仿宋_GBK" w:hAnsi="宋体" w:eastAsia="方正仿宋_GBK" w:cs="Times New Roman"/>
          <w:b/>
          <w:bCs/>
          <w:sz w:val="24"/>
          <w:szCs w:val="24"/>
          <w:lang w:val="en-US" w:eastAsia="zh-CN"/>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（一）详细技术参数要求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1.工作电流：≥5A；</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w:t>
      </w:r>
      <w:r>
        <w:rPr>
          <w:rFonts w:hint="default" w:ascii="方正仿宋_GBK" w:hAnsi="宋体" w:eastAsia="方正仿宋_GBK" w:cs="Times New Roman"/>
          <w:sz w:val="24"/>
          <w:szCs w:val="24"/>
          <w:lang w:val="en-US" w:eastAsia="zh-CN"/>
        </w:rPr>
        <w:t>安全</w:t>
      </w:r>
      <w:r>
        <w:rPr>
          <w:rFonts w:hint="eastAsia" w:ascii="方正仿宋_GBK" w:hAnsi="宋体" w:eastAsia="方正仿宋_GBK" w:cs="Times New Roman"/>
          <w:sz w:val="24"/>
          <w:szCs w:val="24"/>
          <w:lang w:val="en-US" w:eastAsia="zh-CN"/>
        </w:rPr>
        <w:t>功能：有交叉污染防护、运动部件防护、高温部件防护；</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3.自动温控：根据设置参数，自动调节温度；</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4.自动电机转速：根据设置参数达到要求转速；</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5.自动计时：根据设置参数，到时自动停止、鸣音提示；</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6.温控精度：±10℃；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7.容量：≥700ml；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8.最小化胶量：≤150ml；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9.最大化胶量 ：≥250ml；</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10.有人机交互功能。</w:t>
      </w:r>
    </w:p>
    <w:p>
      <w:pP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（二）响应证明</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技术需求所有条款的响应须有投标人提供技术白皮书、产品说明书、彩页或官网截图之一并盖设备制造厂商公章确认作为证明材料。</w:t>
      </w:r>
    </w:p>
    <w:p>
      <w:pPr>
        <w:pStyle w:val="2"/>
        <w:rPr>
          <w:rFonts w:hint="eastAsia"/>
          <w:lang w:eastAsia="zh-CN"/>
        </w:rPr>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hint="eastAsia" w:ascii="方正仿宋_GBK" w:hAnsi="Times New Roman" w:eastAsia="方正仿宋_GBK" w:cs="Times New Roman"/>
          <w:b/>
          <w:sz w:val="44"/>
          <w:szCs w:val="20"/>
        </w:rPr>
      </w:pPr>
      <w:bookmarkStart w:id="106" w:name="_Toc106030882"/>
      <w:bookmarkStart w:id="107" w:name="_Toc76462327"/>
      <w:bookmarkStart w:id="108" w:name="_Toc7791"/>
      <w:bookmarkStart w:id="109" w:name="_Toc12473"/>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106"/>
      <w:bookmarkEnd w:id="107"/>
      <w:bookmarkEnd w:id="108"/>
      <w:bookmarkEnd w:id="10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交货时间：中标通知书发</w:t>
            </w:r>
            <w:r>
              <w:rPr>
                <w:rFonts w:hint="eastAsia" w:ascii="方正仿宋_GBK" w:hAnsi="宋体" w:eastAsia="方正仿宋_GBK" w:cs="Times New Roman"/>
                <w:color w:val="auto"/>
                <w:kern w:val="2"/>
                <w:sz w:val="24"/>
                <w:szCs w:val="24"/>
                <w:lang w:val="en-US" w:eastAsia="zh-CN" w:bidi="ar-SA"/>
              </w:rPr>
              <w:t>出后15个工作日交货并完成验收。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一</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货物到达现场后，</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应经采购人或其指定验收单位清点品名、规格、数量；检查外观，作出</w:t>
            </w:r>
            <w:r>
              <w:rPr>
                <w:rFonts w:hint="eastAsia" w:ascii="方正仿宋_GBK" w:hAnsi="宋体" w:eastAsia="方正仿宋_GBK"/>
                <w:color w:val="auto"/>
                <w:sz w:val="24"/>
                <w:szCs w:val="24"/>
                <w:lang w:val="en-US" w:eastAsia="zh-CN"/>
              </w:rPr>
              <w:t>表面</w:t>
            </w:r>
            <w:r>
              <w:rPr>
                <w:rFonts w:hint="eastAsia" w:ascii="方正仿宋_GBK" w:hAnsi="宋体" w:eastAsia="方正仿宋_GBK"/>
                <w:color w:val="auto"/>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应保证货物到达用户所在地完好无损，如有缺漏、损坏，由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1.</w:t>
            </w:r>
            <w:r>
              <w:rPr>
                <w:rFonts w:hint="eastAsia" w:ascii="方正仿宋_GBK" w:hAnsi="宋体" w:eastAsia="方正仿宋_GBK"/>
                <w:color w:val="auto"/>
                <w:sz w:val="24"/>
                <w:szCs w:val="24"/>
              </w:rPr>
              <w:t>设备品种、规格、数量、技术参数以及商品品牌、制造商等与采购合同一致，性能指标达到规定的标准。</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货物技术资料、装箱单、合格证等资料齐全。</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在规定时间内完成交货并验收，并经采购人确认。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四</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提供的货物未达到竞争性谈判规定要求，且对采购人造成损失的，由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采购人需要制造商对</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交付的产品（包括质量、技术参数等）进行确认的，制造商应予以配合，并出具书面意见。</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六</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该项目所有设备</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不低于三</w:t>
            </w:r>
            <w:r>
              <w:rPr>
                <w:rFonts w:hint="eastAsia" w:ascii="方正仿宋_GBK" w:hAnsi="宋体" w:eastAsia="方正仿宋_GBK"/>
                <w:color w:val="auto"/>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小时内采取相应响应措施；无法在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小时内解决的，应在</w:t>
            </w:r>
            <w:r>
              <w:rPr>
                <w:rFonts w:hint="eastAsia" w:ascii="方正仿宋_GBK" w:hAnsi="宋体" w:eastAsia="方正仿宋_GBK"/>
                <w:color w:val="auto"/>
                <w:sz w:val="24"/>
                <w:szCs w:val="24"/>
                <w:lang w:val="en-US" w:eastAsia="zh-CN"/>
              </w:rPr>
              <w:t>48</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1.3技术升级</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在质保期内，如果</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的产品技术升级，</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应及时通知采购人，如采购人有相应要求，</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应对采购人进行</w:t>
            </w:r>
            <w:r>
              <w:rPr>
                <w:rFonts w:hint="eastAsia" w:ascii="方正仿宋_GBK" w:hAnsi="宋体" w:eastAsia="方正仿宋_GBK"/>
                <w:color w:val="auto"/>
                <w:sz w:val="24"/>
                <w:szCs w:val="24"/>
                <w:lang w:val="en-US" w:eastAsia="zh-CN"/>
              </w:rPr>
              <w:t>无条件免费</w:t>
            </w:r>
            <w:r>
              <w:rPr>
                <w:rFonts w:hint="eastAsia" w:ascii="方正仿宋_GBK" w:hAnsi="宋体" w:eastAsia="方正仿宋_GBK"/>
                <w:color w:val="auto"/>
                <w:sz w:val="24"/>
                <w:szCs w:val="24"/>
              </w:rPr>
              <w:t>升级服务。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s="Times New Roman"/>
                <w:color w:val="auto"/>
                <w:sz w:val="24"/>
                <w:szCs w:val="24"/>
              </w:rPr>
              <w:t>一年不低于4次定期维护保养</w:t>
            </w:r>
            <w:r>
              <w:rPr>
                <w:rFonts w:hint="eastAsia" w:ascii="方正仿宋_GBK" w:hAnsi="宋体" w:eastAsia="方正仿宋_GBK" w:cs="Times New Roman"/>
                <w:color w:val="auto"/>
                <w:sz w:val="24"/>
                <w:szCs w:val="24"/>
                <w:lang w:eastAsia="zh-CN"/>
              </w:rPr>
              <w:t>。</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color w:val="auto"/>
                <w:kern w:val="0"/>
                <w:sz w:val="24"/>
                <w:szCs w:val="24"/>
              </w:rPr>
            </w:pPr>
            <w:r>
              <w:rPr>
                <w:rFonts w:hint="eastAsia" w:ascii="方正仿宋_GBK" w:hAnsi="宋体" w:eastAsia="方正仿宋_GBK" w:cs="宋体"/>
                <w:color w:val="auto"/>
                <w:kern w:val="0"/>
                <w:sz w:val="24"/>
                <w:szCs w:val="24"/>
              </w:rPr>
              <w:t>（三）备品备件及易损件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olor w:val="auto"/>
                <w:sz w:val="24"/>
                <w:szCs w:val="24"/>
                <w:lang w:eastAsia="zh-CN"/>
              </w:rPr>
            </w:pPr>
            <w:r>
              <w:rPr>
                <w:rFonts w:hint="eastAsia" w:ascii="方正仿宋_GBK" w:hAnsi="宋体" w:eastAsia="方正仿宋_GBK" w:cs="宋体"/>
                <w:color w:val="auto"/>
                <w:kern w:val="0"/>
                <w:sz w:val="24"/>
                <w:szCs w:val="24"/>
                <w:lang w:eastAsia="zh-CN"/>
              </w:rPr>
              <w:t>投标人</w:t>
            </w:r>
            <w:r>
              <w:rPr>
                <w:rFonts w:hint="eastAsia" w:ascii="方正仿宋_GBK" w:hAnsi="宋体" w:eastAsia="方正仿宋_GBK" w:cs="宋体"/>
                <w:color w:val="auto"/>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szCs w:val="20"/>
                <w:lang w:val="en-US" w:eastAsia="zh-CN"/>
              </w:rPr>
            </w:pPr>
            <w:r>
              <w:rPr>
                <w:rFonts w:hint="eastAsia" w:ascii="方正仿宋_GBK" w:hAnsi="宋体" w:eastAsia="方正仿宋_GBK" w:cs="Times New Roman"/>
                <w:sz w:val="24"/>
                <w:szCs w:val="24"/>
                <w:lang w:val="en-US" w:eastAsia="zh-CN"/>
              </w:rPr>
              <w:t>合同完成签订且验收合格后，</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向采购人开具发票，采购人</w:t>
            </w:r>
            <w:r>
              <w:rPr>
                <w:rFonts w:hint="eastAsia" w:ascii="方正仿宋_GBK" w:hAnsi="宋体" w:eastAsia="方正仿宋_GBK" w:cs="Times New Roman"/>
                <w:sz w:val="24"/>
                <w:szCs w:val="24"/>
                <w:lang w:val="en-US" w:eastAsia="zh-CN"/>
              </w:rPr>
              <w:t>收到发票后2个月内</w:t>
            </w:r>
            <w:r>
              <w:rPr>
                <w:rFonts w:hint="eastAsia" w:ascii="方正仿宋_GBK" w:hAnsi="宋体" w:eastAsia="方正仿宋_GBK" w:cs="Times New Roman"/>
                <w:sz w:val="24"/>
                <w:szCs w:val="24"/>
              </w:rPr>
              <w:t>以转账方式向</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支付</w:t>
            </w:r>
            <w:r>
              <w:rPr>
                <w:rFonts w:hint="eastAsia" w:ascii="方正仿宋_GBK" w:hAnsi="宋体" w:eastAsia="方正仿宋_GBK" w:cs="Times New Roman"/>
                <w:sz w:val="24"/>
                <w:szCs w:val="24"/>
                <w:lang w:val="en-US" w:eastAsia="zh-CN"/>
              </w:rPr>
              <w:t>合同金额</w:t>
            </w:r>
            <w:r>
              <w:rPr>
                <w:rFonts w:hint="eastAsia" w:ascii="方正仿宋_GBK" w:hAnsi="宋体" w:eastAsia="方正仿宋_GBK" w:cs="Times New Roman"/>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110" w:name="_Toc106030887"/>
      <w:bookmarkStart w:id="111" w:name="_Toc6692"/>
      <w:bookmarkStart w:id="112"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3" w:name="_Toc1943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4" w:name="_Toc106030888"/>
      <w:bookmarkStart w:id="115" w:name="_Toc14958"/>
      <w:bookmarkStart w:id="116" w:name="_Toc76462333"/>
      <w:bookmarkStart w:id="117" w:name="_Toc2612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114"/>
      <w:bookmarkEnd w:id="115"/>
      <w:bookmarkEnd w:id="116"/>
      <w:bookmarkEnd w:id="1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8" w:name="_Toc27374"/>
      <w:r>
        <w:rPr>
          <w:rFonts w:hint="eastAsia" w:ascii="方正仿宋_GBK" w:hAnsi="宋体" w:eastAsia="方正仿宋_GBK"/>
          <w:sz w:val="24"/>
          <w:lang w:val="en-US" w:eastAsia="zh-CN"/>
        </w:rPr>
        <w:t>二、评标方法</w:t>
      </w:r>
      <w:bookmarkEnd w:id="11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最低价评标</w:t>
      </w:r>
      <w:bookmarkStart w:id="228" w:name="_GoBack"/>
      <w:bookmarkEnd w:id="228"/>
      <w:r>
        <w:rPr>
          <w:rFonts w:hint="eastAsia" w:ascii="方正仿宋_GBK" w:hAnsi="宋体" w:eastAsia="方正仿宋_GBK" w:cs="宋体"/>
          <w:kern w:val="0"/>
          <w:sz w:val="24"/>
          <w:szCs w:val="24"/>
        </w:rPr>
        <w:t>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19" w:name="_Toc24315"/>
      <w:bookmarkStart w:id="120" w:name="_Toc30944"/>
      <w:bookmarkStart w:id="121" w:name="_Toc106030889"/>
      <w:bookmarkStart w:id="122" w:name="_Toc76462334"/>
      <w:bookmarkStart w:id="123" w:name="_Toc102227320"/>
      <w:bookmarkStart w:id="124" w:name="_Toc342913394"/>
      <w:r>
        <w:rPr>
          <w:rFonts w:hint="eastAsia" w:ascii="方正仿宋_GBK" w:hAnsi="宋体" w:eastAsia="方正仿宋_GBK"/>
          <w:sz w:val="24"/>
          <w:lang w:val="en-US" w:eastAsia="zh-CN"/>
        </w:rPr>
        <w:t>三、报价方式</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25"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25"/>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r>
        <w:rPr>
          <w:rFonts w:hint="eastAsia" w:ascii="方正仿宋_GBK" w:hAnsi="宋体" w:eastAsia="方正仿宋_GBK"/>
          <w:sz w:val="24"/>
          <w:lang w:val="en-US" w:eastAsia="zh-CN"/>
        </w:rPr>
        <w:t>四、评审标准</w:t>
      </w:r>
      <w:bookmarkEnd w:id="119"/>
      <w:bookmarkEnd w:id="120"/>
      <w:bookmarkEnd w:id="121"/>
      <w:bookmarkEnd w:id="122"/>
    </w:p>
    <w:p>
      <w:pPr>
        <w:snapToGrid w:val="0"/>
        <w:spacing w:line="400" w:lineRule="exact"/>
        <w:ind w:firstLine="480" w:firstLineChars="200"/>
        <w:rPr>
          <w:rFonts w:hint="eastAsia" w:ascii="方正仿宋_GBK" w:hAnsi="宋体" w:eastAsia="方正仿宋_GBK"/>
          <w:sz w:val="24"/>
          <w:szCs w:val="24"/>
        </w:rPr>
      </w:pPr>
      <w:bookmarkStart w:id="126" w:name="_Toc31497"/>
      <w:bookmarkStart w:id="127" w:name="_Toc76462335"/>
      <w:bookmarkStart w:id="128" w:name="_Toc106030890"/>
      <w:r>
        <w:rPr>
          <w:rFonts w:hint="eastAsia" w:ascii="方正仿宋_GBK" w:hAnsi="宋体" w:eastAsia="方正仿宋_GBK"/>
          <w:sz w:val="24"/>
          <w:szCs w:val="24"/>
        </w:rPr>
        <w:t>（一）关于技术（质量）、商务偏离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项目技术（质量）需求”要求的，投标人将失去成为中标候选人的资格；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9" w:name="_Toc17606"/>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26"/>
      <w:bookmarkEnd w:id="127"/>
      <w:bookmarkEnd w:id="128"/>
      <w:bookmarkEnd w:id="12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30" w:name="_Toc106030891"/>
      <w:bookmarkStart w:id="131" w:name="_Toc76462336"/>
      <w:bookmarkStart w:id="132" w:name="_Toc10687"/>
      <w:bookmarkStart w:id="133" w:name="_Toc12222"/>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23"/>
      <w:bookmarkEnd w:id="124"/>
      <w:bookmarkEnd w:id="130"/>
      <w:bookmarkEnd w:id="131"/>
      <w:bookmarkEnd w:id="132"/>
      <w:bookmarkEnd w:id="133"/>
      <w:r>
        <w:rPr>
          <w:rFonts w:hint="eastAsia" w:ascii="方正仿宋_GBK" w:hAnsi="宋体" w:eastAsia="方正仿宋_GBK"/>
          <w:sz w:val="24"/>
          <w:lang w:val="en-US" w:eastAsia="zh-CN"/>
        </w:rPr>
        <w:t>废标条款</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4" w:name="_Toc29948"/>
      <w:bookmarkStart w:id="135" w:name="_Toc106030892"/>
      <w:bookmarkStart w:id="136" w:name="_Toc76462337"/>
      <w:bookmarkStart w:id="137" w:name="_Toc102227313"/>
      <w:bookmarkStart w:id="138" w:name="_Toc13119"/>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4"/>
      <w:bookmarkEnd w:id="135"/>
      <w:bookmarkEnd w:id="136"/>
      <w:bookmarkEnd w:id="137"/>
      <w:bookmarkEnd w:id="13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342913389"/>
      <w:bookmarkStart w:id="140" w:name="_Toc106030893"/>
      <w:bookmarkStart w:id="141" w:name="_Toc20271"/>
      <w:bookmarkStart w:id="142" w:name="_Toc76462338"/>
      <w:bookmarkStart w:id="143" w:name="_Toc26717"/>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39"/>
      <w:bookmarkEnd w:id="140"/>
      <w:bookmarkEnd w:id="141"/>
      <w:bookmarkEnd w:id="142"/>
      <w:bookmarkEnd w:id="143"/>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4" w:name="_Toc106030894"/>
      <w:bookmarkStart w:id="145" w:name="_Toc342913391"/>
      <w:bookmarkStart w:id="146" w:name="_Toc15712"/>
      <w:bookmarkStart w:id="147" w:name="_Toc76462339"/>
      <w:bookmarkStart w:id="148" w:name="_Toc278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44"/>
      <w:bookmarkEnd w:id="145"/>
      <w:bookmarkEnd w:id="146"/>
      <w:bookmarkEnd w:id="147"/>
      <w:bookmarkEnd w:id="14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49" w:name="_Toc318159160"/>
      <w:bookmarkStart w:id="150" w:name="_Toc318166429"/>
      <w:bookmarkStart w:id="151" w:name="_Toc318159349"/>
      <w:bookmarkStart w:id="152" w:name="_Toc318159780"/>
    </w:p>
    <w:bookmarkEnd w:id="149"/>
    <w:bookmarkEnd w:id="150"/>
    <w:bookmarkEnd w:id="151"/>
    <w:bookmarkEnd w:id="15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106030895"/>
      <w:bookmarkStart w:id="154" w:name="_Toc179714297"/>
      <w:bookmarkStart w:id="155" w:name="_Toc20510"/>
      <w:bookmarkStart w:id="156" w:name="_Toc102227318"/>
      <w:bookmarkStart w:id="157" w:name="_Toc342913392"/>
      <w:bookmarkStart w:id="158" w:name="_Toc26007"/>
      <w:bookmarkStart w:id="159" w:name="_Toc7646234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53"/>
      <w:bookmarkEnd w:id="154"/>
      <w:bookmarkEnd w:id="155"/>
      <w:bookmarkEnd w:id="156"/>
      <w:bookmarkEnd w:id="157"/>
      <w:bookmarkEnd w:id="158"/>
      <w:bookmarkEnd w:id="1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76462341"/>
      <w:bookmarkStart w:id="161" w:name="_Toc32166"/>
      <w:bookmarkStart w:id="162" w:name="_Toc106030896"/>
      <w:bookmarkStart w:id="163"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60"/>
      <w:bookmarkEnd w:id="161"/>
      <w:bookmarkEnd w:id="162"/>
      <w:bookmarkEnd w:id="163"/>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4" w:name="_Toc342913395"/>
      <w:bookmarkStart w:id="165" w:name="_Toc2729"/>
      <w:bookmarkStart w:id="166" w:name="_Toc106030897"/>
      <w:bookmarkStart w:id="167" w:name="_Toc102227321"/>
      <w:bookmarkStart w:id="168" w:name="_Toc21532"/>
      <w:bookmarkStart w:id="169" w:name="_Toc76462342"/>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0" w:name="_Toc76462343"/>
      <w:bookmarkStart w:id="171" w:name="_Toc106030898"/>
      <w:bookmarkStart w:id="172" w:name="_Toc4796"/>
      <w:bookmarkStart w:id="173"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4" w:name="_Toc106030899"/>
      <w:bookmarkStart w:id="175" w:name="_Toc76462344"/>
      <w:bookmarkStart w:id="176"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77" w:name="_Toc23896"/>
      <w:r>
        <w:rPr>
          <w:rFonts w:hint="eastAsia" w:ascii="方正仿宋_GBK" w:hAnsi="宋体" w:eastAsia="方正仿宋_GBK"/>
          <w:sz w:val="24"/>
        </w:rPr>
        <w:t>七</w:t>
      </w:r>
      <w:r>
        <w:rPr>
          <w:rFonts w:hint="eastAsia" w:ascii="方正仿宋_GBK" w:hAnsi="宋体" w:eastAsia="方正仿宋_GBK"/>
          <w:color w:val="auto"/>
          <w:sz w:val="24"/>
        </w:rPr>
        <w:t>、</w:t>
      </w:r>
      <w:bookmarkEnd w:id="174"/>
      <w:bookmarkEnd w:id="175"/>
      <w:bookmarkEnd w:id="176"/>
      <w:bookmarkStart w:id="178" w:name="_Toc102227322"/>
      <w:bookmarkStart w:id="179" w:name="_Toc3372"/>
      <w:bookmarkStart w:id="180" w:name="_Toc106030901"/>
      <w:bookmarkStart w:id="181" w:name="_Toc76462346"/>
      <w:bookmarkStart w:id="182" w:name="_Toc342913396"/>
      <w:bookmarkStart w:id="183" w:name="_Toc11641055"/>
      <w:bookmarkStart w:id="184" w:name="_Toc12789059"/>
      <w:r>
        <w:rPr>
          <w:rFonts w:hint="eastAsia" w:ascii="方正仿宋_GBK" w:hAnsi="宋体" w:eastAsia="方正仿宋_GBK"/>
          <w:color w:val="auto"/>
          <w:sz w:val="24"/>
        </w:rPr>
        <w:t>签订</w:t>
      </w:r>
      <w:bookmarkEnd w:id="178"/>
      <w:r>
        <w:rPr>
          <w:rFonts w:hint="eastAsia" w:ascii="方正仿宋_GBK" w:hAnsi="宋体" w:eastAsia="方正仿宋_GBK"/>
          <w:color w:val="auto"/>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83"/>
      <w:bookmarkEnd w:id="184"/>
    </w:p>
    <w:p>
      <w:pPr>
        <w:pStyle w:val="4"/>
        <w:spacing w:before="200" w:after="200" w:line="240" w:lineRule="auto"/>
        <w:jc w:val="center"/>
        <w:rPr>
          <w:rFonts w:hint="eastAsia" w:ascii="方正仿宋_GBK" w:hAnsi="Times New Roman" w:eastAsia="方正仿宋_GBK" w:cs="Times New Roman"/>
          <w:b/>
          <w:sz w:val="44"/>
          <w:szCs w:val="20"/>
        </w:rPr>
      </w:pPr>
      <w:bookmarkStart w:id="185" w:name="_Hlt41879464"/>
      <w:bookmarkEnd w:id="185"/>
      <w:bookmarkStart w:id="186" w:name="_Toc27984"/>
      <w:bookmarkStart w:id="187" w:name="_Toc76462349"/>
      <w:bookmarkStart w:id="188" w:name="_Toc17526"/>
      <w:bookmarkStart w:id="189" w:name="_Toc106030905"/>
      <w:r>
        <w:rPr>
          <w:rFonts w:hint="eastAsia" w:ascii="方正仿宋_GBK" w:hAnsi="Times New Roman" w:eastAsia="方正仿宋_GBK" w:cs="Times New Roman"/>
          <w:b/>
          <w:sz w:val="44"/>
          <w:szCs w:val="20"/>
        </w:rPr>
        <w:t>第六篇  响应文件编制要求</w:t>
      </w:r>
      <w:bookmarkEnd w:id="186"/>
      <w:bookmarkEnd w:id="187"/>
      <w:bookmarkEnd w:id="188"/>
      <w:bookmarkEnd w:id="18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90" w:name="_Toc76462350"/>
      <w:bookmarkStart w:id="191" w:name="_Toc313888360"/>
      <w:bookmarkStart w:id="192" w:name="_Toc106030906"/>
      <w:bookmarkStart w:id="193" w:name="_Toc15994"/>
      <w:bookmarkStart w:id="194" w:name="_Toc313008356"/>
      <w:bookmarkStart w:id="195" w:name="_Toc342913419"/>
      <w:bookmarkStart w:id="196" w:name="_Toc12789073"/>
      <w:bookmarkStart w:id="19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99" w:name="OLE_LINK2"/>
      <w:bookmarkStart w:id="200" w:name="OLE_LINK1"/>
      <w:r>
        <w:rPr>
          <w:rFonts w:hint="eastAsia" w:ascii="方正仿宋_GBK" w:hAnsi="宋体" w:eastAsia="方正仿宋_GBK"/>
          <w:sz w:val="24"/>
          <w:szCs w:val="28"/>
        </w:rPr>
        <w:t>。</w:t>
      </w:r>
      <w:bookmarkEnd w:id="199"/>
      <w:bookmarkEnd w:id="200"/>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201" w:name="_Toc18669"/>
      <w:bookmarkStart w:id="202" w:name="_Toc76462351"/>
      <w:bookmarkStart w:id="203" w:name="_Toc106030907"/>
      <w:bookmarkStart w:id="204" w:name="_Toc342913420"/>
      <w:bookmarkStart w:id="205" w:name="_Toc313888361"/>
      <w:bookmarkStart w:id="206" w:name="_Toc313008357"/>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7" w:name="_Toc2495"/>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201"/>
      <w:bookmarkEnd w:id="202"/>
      <w:bookmarkEnd w:id="203"/>
      <w:bookmarkEnd w:id="204"/>
      <w:bookmarkEnd w:id="205"/>
      <w:bookmarkEnd w:id="206"/>
      <w:bookmarkEnd w:id="20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8" w:name="_Toc313888362"/>
      <w:bookmarkStart w:id="209" w:name="_Toc76462352"/>
      <w:bookmarkStart w:id="210" w:name="_Toc313008358"/>
      <w:bookmarkStart w:id="211" w:name="_Toc342913421"/>
      <w:bookmarkStart w:id="212" w:name="_Toc106030908"/>
      <w:bookmarkStart w:id="213" w:name="_Toc12962"/>
      <w:bookmarkStart w:id="214" w:name="_Toc30639"/>
      <w:r>
        <w:rPr>
          <w:rFonts w:hint="eastAsia" w:ascii="方正仿宋_GBK" w:hAnsi="宋体" w:eastAsia="方正仿宋_GBK"/>
          <w:sz w:val="24"/>
        </w:rPr>
        <w:t>三、商务部分</w:t>
      </w:r>
      <w:bookmarkEnd w:id="208"/>
      <w:bookmarkEnd w:id="209"/>
      <w:bookmarkEnd w:id="210"/>
      <w:bookmarkEnd w:id="211"/>
      <w:bookmarkEnd w:id="212"/>
      <w:bookmarkEnd w:id="213"/>
      <w:bookmarkEnd w:id="21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1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15"/>
      <w:bookmarkStart w:id="216" w:name="_Toc13280"/>
      <w:bookmarkStart w:id="217" w:name="_Toc342913422"/>
      <w:bookmarkStart w:id="218" w:name="_Toc313008359"/>
      <w:bookmarkStart w:id="219" w:name="_Toc26948"/>
      <w:bookmarkStart w:id="220" w:name="_Toc106030909"/>
      <w:bookmarkStart w:id="221" w:name="_Toc313888363"/>
      <w:bookmarkStart w:id="222" w:name="_Toc76462353"/>
      <w:r>
        <w:rPr>
          <w:rFonts w:hint="eastAsia" w:ascii="方正仿宋_GBK" w:hAnsi="宋体" w:eastAsia="方正仿宋_GBK"/>
          <w:sz w:val="24"/>
        </w:rPr>
        <w:t>四、资格条件</w:t>
      </w:r>
      <w:bookmarkEnd w:id="216"/>
      <w:bookmarkEnd w:id="217"/>
      <w:bookmarkEnd w:id="218"/>
      <w:bookmarkEnd w:id="219"/>
      <w:bookmarkEnd w:id="220"/>
      <w:bookmarkEnd w:id="221"/>
      <w:bookmarkEnd w:id="22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23" w:name="_Toc14422"/>
      <w:r>
        <w:rPr>
          <w:rFonts w:ascii="方正仿宋_GBK" w:hAnsi="宋体" w:eastAsia="方正仿宋_GBK"/>
          <w:b w:val="0"/>
          <w:sz w:val="28"/>
        </w:rPr>
        <w:br w:type="page"/>
      </w:r>
      <w:bookmarkStart w:id="224" w:name="_Toc106030910"/>
      <w:bookmarkStart w:id="225" w:name="_Toc13605"/>
      <w:bookmarkStart w:id="226" w:name="_Toc76462354"/>
      <w:bookmarkStart w:id="227" w:name="_Toc8805"/>
      <w:r>
        <w:rPr>
          <w:rFonts w:hint="eastAsia" w:ascii="方正仿宋_GBK" w:hAnsi="宋体" w:eastAsia="方正仿宋_GBK"/>
          <w:sz w:val="24"/>
        </w:rPr>
        <w:t>五、其他资料</w:t>
      </w:r>
      <w:bookmarkEnd w:id="223"/>
      <w:bookmarkEnd w:id="224"/>
      <w:bookmarkEnd w:id="225"/>
      <w:bookmarkEnd w:id="226"/>
      <w:bookmarkEnd w:id="22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1"/>
      </w:rPr>
      <w:instrText xml:space="preserve"> PAGE </w:instrText>
    </w:r>
    <w:r>
      <w:fldChar w:fldCharType="separate"/>
    </w:r>
    <w:r>
      <w:rPr>
        <w:rStyle w:val="61"/>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7A1211B"/>
    <w:rsid w:val="18ED7A84"/>
    <w:rsid w:val="19255AF5"/>
    <w:rsid w:val="1A7E6296"/>
    <w:rsid w:val="1F0D01CA"/>
    <w:rsid w:val="21864056"/>
    <w:rsid w:val="22F860AB"/>
    <w:rsid w:val="2486441F"/>
    <w:rsid w:val="2AA01F44"/>
    <w:rsid w:val="2DB02B6B"/>
    <w:rsid w:val="300C58E0"/>
    <w:rsid w:val="30607DAE"/>
    <w:rsid w:val="332D1E43"/>
    <w:rsid w:val="37556B60"/>
    <w:rsid w:val="38CD7FDC"/>
    <w:rsid w:val="3ACE5D4F"/>
    <w:rsid w:val="3C55524B"/>
    <w:rsid w:val="3DF6488D"/>
    <w:rsid w:val="3F1C71CA"/>
    <w:rsid w:val="406334F2"/>
    <w:rsid w:val="409F14A1"/>
    <w:rsid w:val="40F0756C"/>
    <w:rsid w:val="41271529"/>
    <w:rsid w:val="415F6EA3"/>
    <w:rsid w:val="452C7897"/>
    <w:rsid w:val="457671C4"/>
    <w:rsid w:val="48DB4D9B"/>
    <w:rsid w:val="494C6B8D"/>
    <w:rsid w:val="497B7CB3"/>
    <w:rsid w:val="4A8845CE"/>
    <w:rsid w:val="4B2D12E0"/>
    <w:rsid w:val="4BEB6B31"/>
    <w:rsid w:val="4DD36371"/>
    <w:rsid w:val="4F070047"/>
    <w:rsid w:val="4F3C244F"/>
    <w:rsid w:val="5115115D"/>
    <w:rsid w:val="521E4A24"/>
    <w:rsid w:val="52D92ACB"/>
    <w:rsid w:val="53B4776F"/>
    <w:rsid w:val="53DF1E3A"/>
    <w:rsid w:val="558E730F"/>
    <w:rsid w:val="57857077"/>
    <w:rsid w:val="5CA67F0E"/>
    <w:rsid w:val="670A099E"/>
    <w:rsid w:val="68BD663A"/>
    <w:rsid w:val="692F74C0"/>
    <w:rsid w:val="696405DD"/>
    <w:rsid w:val="6FE969BF"/>
    <w:rsid w:val="701245F9"/>
    <w:rsid w:val="71175C34"/>
    <w:rsid w:val="728123B1"/>
    <w:rsid w:val="74D70DF7"/>
    <w:rsid w:val="750950F5"/>
    <w:rsid w:val="750D16CF"/>
    <w:rsid w:val="789F3DA6"/>
    <w:rsid w:val="78A52377"/>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2023-08-28T02:52:50Z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