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宋体" w:hAnsi="宋体"/>
        </w:rPr>
      </w:pPr>
    </w:p>
    <w:p>
      <w:pPr>
        <w:spacing w:line="1600" w:lineRule="exact"/>
        <w:jc w:val="center"/>
        <w:outlineLvl w:val="0"/>
        <w:rPr>
          <w:rFonts w:ascii="方正黑体_GBK" w:eastAsia="方正黑体_GBK"/>
          <w:sz w:val="100"/>
        </w:rPr>
      </w:pPr>
    </w:p>
    <w:p>
      <w:pPr>
        <w:pStyle w:val="68"/>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采购文件</w:t>
      </w:r>
    </w:p>
    <w:p>
      <w:pPr>
        <w:pStyle w:val="68"/>
        <w:spacing w:before="100" w:after="100" w:line="300" w:lineRule="auto"/>
        <w:jc w:val="center"/>
        <w:rPr>
          <w:rFonts w:ascii="黑体"/>
          <w:sz w:val="32"/>
        </w:rPr>
      </w:pPr>
      <w:r>
        <w:rPr>
          <w:rFonts w:hint="eastAsia" w:ascii="方正黑体_GBK" w:hAnsi="宋体" w:eastAsia="方正黑体_GBK"/>
          <w:b w:val="0"/>
          <w:sz w:val="130"/>
          <w:szCs w:val="130"/>
        </w:rPr>
        <w:t xml:space="preserve">   </w:t>
      </w:r>
    </w:p>
    <w:p>
      <w:pPr>
        <w:pStyle w:val="69"/>
        <w:rPr>
          <w:rFonts w:ascii="方正黑体_GBK" w:hAnsi="宋体" w:eastAsia="方正黑体_GBK"/>
          <w:kern w:val="2"/>
          <w:sz w:val="44"/>
          <w:szCs w:val="44"/>
        </w:rPr>
      </w:pPr>
    </w:p>
    <w:p>
      <w:pPr>
        <w:pStyle w:val="69"/>
        <w:rPr>
          <w:rFonts w:ascii="方正黑体_GBK" w:hAnsi="宋体" w:eastAsia="方正黑体_GBK"/>
          <w:kern w:val="2"/>
          <w:sz w:val="44"/>
          <w:szCs w:val="44"/>
        </w:rPr>
      </w:pPr>
    </w:p>
    <w:p>
      <w:pPr>
        <w:spacing w:line="360" w:lineRule="auto"/>
        <w:ind w:firstLine="1440" w:firstLineChars="4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YSB230</w:t>
      </w:r>
      <w:r>
        <w:rPr>
          <w:rFonts w:ascii="方正小标宋_GBK" w:hAnsi="宋体" w:eastAsia="方正小标宋_GBK"/>
          <w:sz w:val="36"/>
          <w:szCs w:val="36"/>
          <w:u w:val="single"/>
        </w:rPr>
        <w:t>3</w:t>
      </w:r>
      <w:r>
        <w:rPr>
          <w:rFonts w:hint="eastAsia" w:ascii="方正小标宋_GBK" w:hAnsi="宋体" w:eastAsia="方正小标宋_GBK"/>
          <w:sz w:val="36"/>
          <w:szCs w:val="36"/>
          <w:u w:val="single"/>
          <w:lang w:val="en-US" w:eastAsia="zh-CN"/>
        </w:rPr>
        <w:t>45</w:t>
      </w:r>
    </w:p>
    <w:p>
      <w:pPr>
        <w:spacing w:line="360" w:lineRule="auto"/>
        <w:ind w:firstLine="1440" w:firstLineChars="400"/>
        <w:outlineLvl w:val="0"/>
        <w:rPr>
          <w:rFonts w:ascii="方正小标宋_GBK" w:hAnsi="宋体" w:eastAsia="方正小标宋_GBK"/>
          <w:sz w:val="36"/>
          <w:szCs w:val="36"/>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Y染色体微缺失检测试剂盒</w:t>
      </w:r>
    </w:p>
    <w:p>
      <w:pPr>
        <w:spacing w:line="700" w:lineRule="exact"/>
        <w:rPr>
          <w:rFonts w:ascii="方正小标宋_GBK" w:hAnsi="宋体" w:eastAsia="方正小标宋_GBK"/>
          <w:b/>
          <w:sz w:val="36"/>
          <w:szCs w:val="36"/>
        </w:rPr>
      </w:pPr>
    </w:p>
    <w:p>
      <w:pPr>
        <w:spacing w:line="500" w:lineRule="exact"/>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pStyle w:val="23"/>
      </w:pPr>
    </w:p>
    <w:p>
      <w:pPr>
        <w:spacing w:line="500" w:lineRule="exact"/>
        <w:jc w:val="center"/>
        <w:outlineLvl w:val="0"/>
        <w:rPr>
          <w:rFonts w:ascii="方正小标宋_GBK" w:eastAsia="方正小标宋_GBK"/>
          <w:sz w:val="36"/>
          <w:szCs w:val="36"/>
        </w:rPr>
      </w:pPr>
      <w:r>
        <w:rPr>
          <w:rFonts w:hint="eastAsia" w:ascii="方正小标宋_GBK" w:eastAsia="方正小标宋_GBK"/>
          <w:sz w:val="36"/>
          <w:szCs w:val="36"/>
        </w:rPr>
        <w:t>重庆医科大学附属儿童医院</w:t>
      </w:r>
    </w:p>
    <w:p>
      <w:pPr>
        <w:spacing w:line="720" w:lineRule="exact"/>
        <w:jc w:val="center"/>
        <w:outlineLvl w:val="0"/>
        <w:rPr>
          <w:rFonts w:ascii="方正黑体_GBK" w:hAnsi="宋体" w:eastAsia="方正黑体_GBK"/>
          <w:sz w:val="48"/>
          <w:szCs w:val="32"/>
        </w:rPr>
      </w:pPr>
      <w:r>
        <w:rPr>
          <w:rFonts w:hint="eastAsia" w:ascii="方正小标宋_GBK" w:hAnsi="宋体" w:eastAsia="方正小标宋_GBK"/>
          <w:sz w:val="36"/>
          <w:szCs w:val="36"/>
        </w:rPr>
        <w:t>2023年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ind w:left="560"/>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fldChar w:fldCharType="begin"/>
      </w:r>
      <w:r>
        <w:instrText xml:space="preserve"> HYPERLINK \l "_Toc27110" </w:instrText>
      </w:r>
      <w:r>
        <w:fldChar w:fldCharType="separate"/>
      </w:r>
      <w:r>
        <w:rPr>
          <w:rFonts w:hint="eastAsia" w:ascii="方正仿宋_GBK" w:eastAsia="方正仿宋_GBK"/>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"_Toc13094" </w:instrText>
      </w:r>
      <w:r>
        <w:fldChar w:fldCharType="separate"/>
      </w:r>
      <w:r>
        <w:rPr>
          <w:rFonts w:hint="eastAsia" w:ascii="方正仿宋_GBK" w:hAnsi="宋体" w:eastAsia="方正仿宋_GBK"/>
          <w:sz w:val="24"/>
          <w:szCs w:val="24"/>
        </w:rPr>
        <w:t>一、公开比选采购内容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"_Toc14168" </w:instrText>
      </w:r>
      <w:r>
        <w:fldChar w:fldCharType="separate"/>
      </w:r>
      <w:r>
        <w:rPr>
          <w:rFonts w:hint="eastAsia" w:ascii="方正仿宋_GBK" w:hAnsi="宋体" w:eastAsia="方正仿宋_GBK"/>
          <w:sz w:val="24"/>
          <w:szCs w:val="24"/>
        </w:rPr>
        <w:t>二、投标人资格条件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"_Toc9183" </w:instrText>
      </w:r>
      <w:r>
        <w:fldChar w:fldCharType="separate"/>
      </w:r>
      <w:r>
        <w:rPr>
          <w:rFonts w:hint="eastAsia" w:ascii="方正仿宋_GBK" w:hAnsi="宋体" w:eastAsia="方正仿宋_GBK"/>
          <w:sz w:val="24"/>
          <w:szCs w:val="24"/>
        </w:rPr>
        <w:t>三、比选有关说明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"_Toc26664" </w:instrText>
      </w:r>
      <w: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"_Toc24100" </w:instrText>
      </w:r>
      <w:r>
        <w:fldChar w:fldCharType="separate"/>
      </w:r>
      <w:r>
        <w:rPr>
          <w:rFonts w:hint="eastAsia" w:ascii="方正仿宋_GBK" w:hAnsi="宋体" w:eastAsia="方正仿宋_GBK"/>
          <w:sz w:val="24"/>
          <w:szCs w:val="24"/>
        </w:rPr>
        <w:t>五、其它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"_Toc21079" </w:instrText>
      </w:r>
      <w:r>
        <w:fldChar w:fldCharType="separate"/>
      </w:r>
      <w:r>
        <w:rPr>
          <w:rFonts w:hint="eastAsia" w:ascii="方正仿宋_GBK" w:hAnsi="宋体" w:eastAsia="方正仿宋_GBK"/>
          <w:sz w:val="24"/>
          <w:szCs w:val="24"/>
        </w:rPr>
        <w:t>六、联系方式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38"/>
        <w:tabs>
          <w:tab w:val="right" w:leader="dot" w:pos="9412"/>
        </w:tabs>
        <w:rPr>
          <w:sz w:val="24"/>
          <w:szCs w:val="24"/>
        </w:rPr>
      </w:pPr>
      <w:r>
        <w:fldChar w:fldCharType="begin"/>
      </w:r>
      <w:r>
        <w:instrText xml:space="preserve"> HYPERLINK \l "_Toc22327" </w:instrText>
      </w:r>
      <w:r>
        <w:fldChar w:fldCharType="separate"/>
      </w:r>
      <w:r>
        <w:rPr>
          <w:rFonts w:hint="eastAsia" w:ascii="方正仿宋_GBK" w:eastAsia="方正仿宋_GBK"/>
          <w:sz w:val="24"/>
          <w:szCs w:val="24"/>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"_Toc14433" </w:instrText>
      </w:r>
      <w: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"_Toc18675" </w:instrText>
      </w:r>
      <w: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"_Toc12473" </w:instrText>
      </w:r>
      <w:r>
        <w:fldChar w:fldCharType="separate"/>
      </w:r>
      <w:r>
        <w:rPr>
          <w:rFonts w:hint="eastAsia" w:ascii="方正仿宋_GBK" w:eastAsia="方正仿宋_GBK"/>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"_Toc19431" </w:instrText>
      </w:r>
      <w:r>
        <w:fldChar w:fldCharType="separate"/>
      </w:r>
      <w:r>
        <w:rPr>
          <w:rFonts w:hint="eastAsia" w:ascii="方正仿宋_GBK" w:eastAsia="方正仿宋_GBK"/>
          <w:sz w:val="24"/>
          <w:szCs w:val="24"/>
        </w:rPr>
        <w:t>第四篇  公开比选程序及方法、评审标准、无效响应和采购终止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"_Toc26127" </w:instrText>
      </w:r>
      <w:r>
        <w:fldChar w:fldCharType="separate"/>
      </w:r>
      <w:r>
        <w:rPr>
          <w:rFonts w:hint="eastAsia" w:ascii="方正仿宋_GBK" w:hAnsi="宋体" w:eastAsia="方正仿宋_GBK"/>
          <w:sz w:val="24"/>
          <w:szCs w:val="24"/>
        </w:rPr>
        <w:t>一、公开比选采购程序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"_Toc27374" </w:instrText>
      </w:r>
      <w:r>
        <w:fldChar w:fldCharType="separate"/>
      </w:r>
      <w:r>
        <w:rPr>
          <w:rFonts w:hint="eastAsia" w:ascii="方正仿宋_GBK" w:hAnsi="宋体" w:eastAsia="方正仿宋_GBK"/>
          <w:sz w:val="24"/>
          <w:szCs w:val="24"/>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"_Toc24315" </w:instrText>
      </w:r>
      <w:r>
        <w:fldChar w:fldCharType="separate"/>
      </w:r>
      <w:r>
        <w:rPr>
          <w:rFonts w:hint="eastAsia" w:ascii="方正仿宋_GBK" w:hAnsi="宋体" w:eastAsia="方正仿宋_GBK"/>
          <w:sz w:val="24"/>
          <w:szCs w:val="24"/>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"_Toc17606" </w:instrText>
      </w:r>
      <w:r>
        <w:fldChar w:fldCharType="separate"/>
      </w:r>
      <w:r>
        <w:rPr>
          <w:rFonts w:hint="eastAsia" w:ascii="方正仿宋_GBK" w:hAnsi="宋体" w:eastAsia="方正仿宋_GBK"/>
          <w:sz w:val="24"/>
          <w:szCs w:val="24"/>
        </w:rPr>
        <w:t>四、无效响应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"_Toc12222" </w:instrText>
      </w:r>
      <w:r>
        <w:fldChar w:fldCharType="separate"/>
      </w:r>
      <w:r>
        <w:rPr>
          <w:rFonts w:hint="eastAsia" w:ascii="方正仿宋_GBK" w:hAnsi="宋体" w:eastAsia="方正仿宋_GBK"/>
          <w:sz w:val="24"/>
          <w:szCs w:val="24"/>
        </w:rPr>
        <w:t>五、采购终止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"_Toc13119" </w:instrText>
      </w:r>
      <w:r>
        <w:fldChar w:fldCharType="separate"/>
      </w:r>
      <w:r>
        <w:rPr>
          <w:rFonts w:hint="eastAsia" w:ascii="方正仿宋_GBK" w:eastAsia="方正仿宋_GBK"/>
          <w:sz w:val="24"/>
          <w:szCs w:val="24"/>
        </w:rPr>
        <w:t>第五篇  投标人须知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"_Toc20271" </w:instrText>
      </w:r>
      <w:r>
        <w:fldChar w:fldCharType="separate"/>
      </w:r>
      <w:r>
        <w:rPr>
          <w:rFonts w:hint="eastAsia" w:ascii="方正仿宋_GBK" w:hAnsi="宋体" w:eastAsia="方正仿宋_GBK"/>
          <w:sz w:val="24"/>
          <w:szCs w:val="24"/>
        </w:rPr>
        <w:t>一、公开比选采购费用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"_Toc27891" </w:instrText>
      </w:r>
      <w:r>
        <w:fldChar w:fldCharType="separate"/>
      </w:r>
      <w:r>
        <w:rPr>
          <w:rFonts w:hint="eastAsia" w:ascii="方正仿宋_GBK" w:hAnsi="宋体" w:eastAsia="方正仿宋_GBK"/>
          <w:sz w:val="24"/>
          <w:szCs w:val="24"/>
        </w:rPr>
        <w:t>二、公开比选采购文件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"_Toc20510" </w:instrText>
      </w:r>
      <w:r>
        <w:fldChar w:fldCharType="separate"/>
      </w:r>
      <w:r>
        <w:rPr>
          <w:rFonts w:hint="eastAsia" w:ascii="方正仿宋_GBK" w:hAnsi="宋体" w:eastAsia="方正仿宋_GBK"/>
          <w:sz w:val="24"/>
          <w:szCs w:val="24"/>
        </w:rPr>
        <w:t>三、比选要求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"_Toc32166" </w:instrText>
      </w:r>
      <w:r>
        <w:fldChar w:fldCharType="separate"/>
      </w:r>
      <w:r>
        <w:rPr>
          <w:rFonts w:hint="eastAsia" w:ascii="方正仿宋_GBK" w:hAnsi="宋体" w:eastAsia="方正仿宋_GBK"/>
          <w:sz w:val="24"/>
          <w:szCs w:val="24"/>
        </w:rPr>
        <w:t>四、成交供应商的确认和变更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"_Toc2729" </w:instrText>
      </w:r>
      <w: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"_Toc4796" </w:instrText>
      </w:r>
      <w:r>
        <w:fldChar w:fldCharType="separate"/>
      </w:r>
      <w:r>
        <w:rPr>
          <w:rFonts w:hint="eastAsia" w:ascii="方正仿宋_GBK" w:hAnsi="宋体" w:eastAsia="方正仿宋_GBK"/>
          <w:sz w:val="24"/>
          <w:szCs w:val="24"/>
        </w:rPr>
        <w:t>六、质疑处理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"_Toc23896" </w:instrText>
      </w:r>
      <w: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"_Toc17526" </w:instrText>
      </w:r>
      <w:r>
        <w:fldChar w:fldCharType="separate"/>
      </w:r>
      <w:r>
        <w:rPr>
          <w:rFonts w:hint="eastAsia" w:ascii="方正仿宋_GBK" w:eastAsia="方正仿宋_GBK"/>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"_Toc11260" </w:instrText>
      </w:r>
      <w: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"_Toc2495" </w:instrText>
      </w:r>
      <w: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"_Toc12962" </w:instrText>
      </w:r>
      <w: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"_Toc13280" </w:instrText>
      </w:r>
      <w: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sz w:val="24"/>
          <w:szCs w:val="24"/>
        </w:rPr>
        <w:fldChar w:fldCharType="end"/>
      </w:r>
    </w:p>
    <w:p>
      <w:pPr>
        <w:pStyle w:val="46"/>
        <w:tabs>
          <w:tab w:val="right" w:leader="dot" w:pos="9412"/>
        </w:tabs>
        <w:ind w:left="560"/>
      </w:pPr>
      <w:r>
        <w:fldChar w:fldCharType="begin"/>
      </w:r>
      <w:r>
        <w:instrText xml:space="preserve"> HYPERLINK \l "_Toc13605" </w:instrText>
      </w:r>
      <w: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ascii="方正仿宋_GBK" w:hAnsi="Times New Roman" w:eastAsia="方正仿宋_GBK"/>
          <w:sz w:val="44"/>
        </w:rPr>
      </w:pPr>
      <w:bookmarkStart w:id="0" w:name="_Toc106030870"/>
      <w:bookmarkStart w:id="1" w:name="_Toc27110"/>
      <w:bookmarkStart w:id="2" w:name="_Toc12789052"/>
      <w:bookmarkStart w:id="3" w:name="_Toc24037"/>
      <w:bookmarkStart w:id="4" w:name="_Toc76462316"/>
      <w:bookmarkStart w:id="5" w:name="_Toc11641050"/>
      <w:r>
        <w:rPr>
          <w:rFonts w:hint="eastAsia" w:ascii="方正仿宋_GBK" w:hAnsi="Times New Roman" w:eastAsia="方正仿宋_GBK"/>
          <w:sz w:val="44"/>
        </w:rPr>
        <w:t>第一篇  采购邀请书</w:t>
      </w:r>
      <w:bookmarkEnd w:id="0"/>
      <w:bookmarkEnd w:id="1"/>
      <w:bookmarkEnd w:id="2"/>
      <w:bookmarkEnd w:id="3"/>
      <w:bookmarkEnd w:id="4"/>
      <w:bookmarkEnd w:id="5"/>
    </w:p>
    <w:p>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Y染色体微缺失检测试剂盒</w:t>
      </w:r>
      <w:r>
        <w:rPr>
          <w:rFonts w:hint="eastAsia" w:ascii="方正仿宋_GBK" w:hAnsi="宋体" w:eastAsia="方正仿宋_GBK"/>
          <w:sz w:val="24"/>
          <w:szCs w:val="24"/>
        </w:rPr>
        <w:t>项目进行公开比选采购。欢迎有资格的投标人前来参与。</w:t>
      </w:r>
    </w:p>
    <w:p>
      <w:pPr>
        <w:pStyle w:val="4"/>
        <w:numPr>
          <w:ilvl w:val="0"/>
          <w:numId w:val="0"/>
        </w:numPr>
        <w:adjustRightInd w:val="0"/>
        <w:snapToGrid w:val="0"/>
        <w:spacing w:before="0" w:after="0" w:line="400" w:lineRule="exact"/>
        <w:ind w:left="480" w:leftChars="0"/>
        <w:rPr>
          <w:rFonts w:ascii="方正仿宋_GBK" w:hAnsi="宋体" w:eastAsia="方正仿宋_GBK"/>
          <w:sz w:val="24"/>
        </w:rPr>
      </w:pPr>
      <w:bookmarkStart w:id="6" w:name="_Toc313893526"/>
      <w:bookmarkStart w:id="7" w:name="_Toc13094"/>
      <w:bookmarkStart w:id="8" w:name="_Toc106030871"/>
      <w:bookmarkStart w:id="9" w:name="_Toc76462317"/>
      <w:bookmarkStart w:id="10" w:name="_Toc3856"/>
      <w:bookmarkStart w:id="11" w:name="_Toc317775175"/>
      <w:r>
        <w:rPr>
          <w:rFonts w:hint="eastAsia" w:ascii="方正仿宋_GBK" w:hAnsi="宋体" w:eastAsia="方正仿宋_GBK"/>
          <w:sz w:val="24"/>
          <w:lang w:val="en-US" w:eastAsia="zh-CN"/>
        </w:rPr>
        <w:t>一、</w:t>
      </w:r>
      <w:r>
        <w:rPr>
          <w:rFonts w:hint="eastAsia" w:ascii="方正仿宋_GBK" w:hAnsi="宋体" w:eastAsia="方正仿宋_GBK"/>
          <w:sz w:val="24"/>
        </w:rPr>
        <w:t>公开比选采购内容</w:t>
      </w:r>
      <w:bookmarkEnd w:id="6"/>
      <w:bookmarkEnd w:id="7"/>
      <w:bookmarkEnd w:id="8"/>
      <w:bookmarkEnd w:id="9"/>
      <w:bookmarkEnd w:id="10"/>
      <w:bookmarkEnd w:id="11"/>
    </w:p>
    <w:tbl>
      <w:tblPr>
        <w:tblStyle w:val="58"/>
        <w:tblW w:w="53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2511"/>
        <w:gridCol w:w="1156"/>
        <w:gridCol w:w="1150"/>
        <w:gridCol w:w="1428"/>
        <w:gridCol w:w="1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70"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228"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565" w:type="pct"/>
            <w:tcBorders>
              <w:top w:val="single" w:color="auto" w:sz="4" w:space="0"/>
              <w:left w:val="single" w:color="auto" w:sz="4" w:space="0"/>
              <w:right w:val="single" w:color="auto" w:sz="4" w:space="0"/>
            </w:tcBorders>
            <w:vAlign w:val="center"/>
          </w:tcPr>
          <w:p>
            <w:pPr>
              <w:jc w:val="center"/>
              <w:rPr>
                <w:rFonts w:hint="eastAsia"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合同期限（年）</w:t>
            </w:r>
          </w:p>
        </w:tc>
        <w:tc>
          <w:tcPr>
            <w:tcW w:w="562"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698" w:type="pct"/>
            <w:tcBorders>
              <w:top w:val="single" w:color="auto" w:sz="4" w:space="0"/>
              <w:left w:val="single" w:color="auto" w:sz="4" w:space="0"/>
              <w:right w:val="single" w:color="auto" w:sz="4" w:space="0"/>
            </w:tcBorders>
            <w:vAlign w:val="center"/>
          </w:tcPr>
          <w:p>
            <w:pPr>
              <w:jc w:val="center"/>
              <w:rPr>
                <w:rFonts w:hint="eastAsia"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最高限价</w:t>
            </w:r>
          </w:p>
        </w:tc>
        <w:tc>
          <w:tcPr>
            <w:tcW w:w="974" w:type="pct"/>
            <w:tcBorders>
              <w:top w:val="single" w:color="auto" w:sz="4" w:space="0"/>
              <w:left w:val="single" w:color="auto" w:sz="4" w:space="0"/>
              <w:right w:val="single" w:color="auto" w:sz="4" w:space="0"/>
            </w:tcBorders>
            <w:vAlign w:val="center"/>
          </w:tcPr>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70"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rPr>
              <w:t>YSB230</w:t>
            </w:r>
            <w:r>
              <w:rPr>
                <w:rFonts w:ascii="方正仿宋_GBK" w:hAnsi="宋体" w:eastAsia="方正仿宋_GBK" w:cs="宋体"/>
                <w:kern w:val="0"/>
                <w:sz w:val="21"/>
                <w:szCs w:val="24"/>
              </w:rPr>
              <w:t>3</w:t>
            </w:r>
            <w:r>
              <w:rPr>
                <w:rFonts w:hint="eastAsia" w:ascii="方正仿宋_GBK" w:hAnsi="宋体" w:eastAsia="方正仿宋_GBK" w:cs="宋体"/>
                <w:kern w:val="0"/>
                <w:sz w:val="21"/>
                <w:szCs w:val="24"/>
                <w:lang w:val="en-US" w:eastAsia="zh-CN"/>
              </w:rPr>
              <w:t>45</w:t>
            </w:r>
          </w:p>
        </w:tc>
        <w:tc>
          <w:tcPr>
            <w:tcW w:w="1228"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 xml:space="preserve"> Y染色体微缺失检测试剂盒</w:t>
            </w:r>
          </w:p>
        </w:tc>
        <w:tc>
          <w:tcPr>
            <w:tcW w:w="56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w:t>
            </w:r>
          </w:p>
        </w:tc>
        <w:tc>
          <w:tcPr>
            <w:tcW w:w="562"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ascii="方正仿宋_GBK" w:hAnsi="宋体" w:eastAsia="方正仿宋_GBK"/>
                <w:sz w:val="21"/>
                <w:szCs w:val="21"/>
              </w:rPr>
              <w:t>2000</w:t>
            </w:r>
          </w:p>
        </w:tc>
        <w:tc>
          <w:tcPr>
            <w:tcW w:w="698" w:type="pct"/>
            <w:tcBorders>
              <w:top w:val="single" w:color="auto" w:sz="4" w:space="0"/>
              <w:left w:val="single" w:color="auto" w:sz="4" w:space="0"/>
              <w:bottom w:val="single" w:color="auto" w:sz="4" w:space="0"/>
              <w:right w:val="single" w:color="auto" w:sz="4" w:space="0"/>
            </w:tcBorders>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125元/人份</w:t>
            </w:r>
          </w:p>
        </w:tc>
        <w:tc>
          <w:tcPr>
            <w:tcW w:w="974"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1</w:t>
            </w:r>
          </w:p>
        </w:tc>
      </w:tr>
    </w:tbl>
    <w:p>
      <w:pPr>
        <w:pStyle w:val="4"/>
        <w:adjustRightInd w:val="0"/>
        <w:snapToGrid w:val="0"/>
        <w:spacing w:before="0" w:after="0" w:line="400" w:lineRule="exact"/>
        <w:ind w:firstLine="480" w:firstLineChars="200"/>
        <w:rPr>
          <w:rFonts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4480"/>
      <w:bookmarkStart w:id="19" w:name="_Toc106030873"/>
      <w:bookmarkStart w:id="20" w:name="_Toc76462319"/>
      <w:r>
        <w:rPr>
          <w:rFonts w:hint="eastAsia" w:ascii="方正仿宋_GBK" w:hAnsi="宋体" w:eastAsia="方正仿宋_GBK"/>
          <w:sz w:val="24"/>
        </w:rPr>
        <w:t>投标人资格条件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（二）本项目的特定资格要求：</w:t>
      </w:r>
      <w:bookmarkStart w:id="21" w:name="_Toc27954"/>
      <w:bookmarkStart w:id="22" w:name="_Toc106030874"/>
      <w:bookmarkStart w:id="23" w:name="_Toc9183"/>
      <w:bookmarkStart w:id="24" w:name="_Toc764623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1.投标人为所投标产品制造商或经销商；若为经销商投标，须具备投标产品制造商或制造商中国境内代表机构认可的经销资格。</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2.投标人须具备医疗器械经营许可证。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3.投标产品制造商的医疗器械生产企业许可证和生产目录表。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4.所投产品属三类医疗器械的，须具备有效期内《医疗器械经营企业许可证》或《医疗器械经营许可证》。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5.所提供产品属二类医疗器械的，须具备有效期内《医疗器械经营企业许可证》或《第二类医疗器械经营备案凭证》。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6.所提供产品属一类医疗器械的，须具有所提供产品《第一类医疗器械备案凭证》及《第一类医疗器械备案信息表》。</w:t>
      </w:r>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三、比选有关说明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（一）投标人应通过重庆医科大学附属儿童医院电子招投标平台（zbb.chcmu.com）进行注册和报名。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（四）公开比选采购公告期限及报名截止期限：详见电子招投标平台该项目公告内容。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（五）比选地点：详见电子招投标平台该项目公告内容。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（六）比选开始时间：详见电子招投标平台该项目公告内容。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11956"/>
      <w:bookmarkStart w:id="26" w:name="_Toc12841"/>
      <w:bookmarkStart w:id="27" w:name="_Toc26664"/>
      <w:bookmarkStart w:id="28" w:name="_Toc106034625"/>
      <w:bookmarkStart w:id="29" w:name="_Toc525047161"/>
      <w:bookmarkStart w:id="30" w:name="_Toc65660334"/>
      <w:bookmarkStart w:id="31" w:name="_Toc6178"/>
      <w:bookmarkStart w:id="32" w:name="_Toc521053053"/>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rPr>
          <w:rFonts w:ascii="方正仿宋_GBK" w:hAnsi="宋体" w:eastAsia="方正仿宋_GBK"/>
          <w:sz w:val="24"/>
          <w:szCs w:val="24"/>
        </w:rPr>
      </w:pPr>
      <w:r>
        <w:rPr>
          <w:rFonts w:hint="eastAsia" w:ascii="方正仿宋_GBK" w:hAnsi="宋体" w:eastAsia="方正仿宋_GBK"/>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ascii="方正仿宋_GBK" w:hAnsi="宋体" w:eastAsia="方正仿宋_GBK"/>
          <w:sz w:val="24"/>
          <w:szCs w:val="24"/>
        </w:rPr>
      </w:pPr>
      <w:r>
        <w:rPr>
          <w:rFonts w:hint="eastAsia" w:ascii="方正仿宋_GBK" w:hAnsi="宋体" w:eastAsia="方正仿宋_GBK"/>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1.未成交供应商的保证金，在中标通知书发放后45个日历日内退还至项目报名时所填写指定的投标单位对公账户。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2.成交供应商的保证金，将在与我院完成签订本项目合同并提交招标办公室（将合同扫描文件发送至zbb63632469@qq.com）之后45个日历日内，无息退还至项目报名时所填写的投标单位对公账户。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521053054"/>
      <w:bookmarkStart w:id="34" w:name="_Toc525047162"/>
      <w:bookmarkStart w:id="35" w:name="_Toc106034626"/>
      <w:bookmarkStart w:id="36" w:name="_Toc65660335"/>
      <w:bookmarkStart w:id="37" w:name="_Toc4355"/>
      <w:bookmarkStart w:id="38" w:name="_Toc2945"/>
      <w:bookmarkStart w:id="39" w:name="_Toc1546"/>
      <w:bookmarkStart w:id="40" w:name="_Toc24100"/>
      <w:r>
        <w:rPr>
          <w:rFonts w:hint="eastAsia" w:ascii="方正仿宋_GBK" w:hAnsi="宋体" w:eastAsia="方正仿宋_GBK"/>
          <w:sz w:val="24"/>
        </w:rPr>
        <w:t>五、</w:t>
      </w:r>
      <w:bookmarkEnd w:id="33"/>
      <w:bookmarkEnd w:id="34"/>
      <w:bookmarkEnd w:id="35"/>
      <w:bookmarkEnd w:id="36"/>
      <w:bookmarkEnd w:id="37"/>
      <w:bookmarkEnd w:id="38"/>
      <w:bookmarkStart w:id="41" w:name="_Toc6563"/>
      <w:bookmarkStart w:id="42" w:name="_Toc521053055"/>
      <w:bookmarkStart w:id="43" w:name="_Toc65660336"/>
      <w:bookmarkStart w:id="44" w:name="_Toc525047163"/>
      <w:bookmarkStart w:id="45" w:name="_Toc106034627"/>
      <w:bookmarkStart w:id="46" w:name="_Toc16269"/>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（一）重庆医科大学附属儿童医院招标办公室所作出的一切书面通知、修改、补充说明、答疑等内容，都是公开比选采购文件不可分割的组成部分。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招标办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525047164"/>
      <w:bookmarkStart w:id="48" w:name="_Toc10415"/>
      <w:bookmarkStart w:id="49" w:name="_Toc1733"/>
      <w:bookmarkStart w:id="50" w:name="_Toc65660337"/>
      <w:bookmarkStart w:id="51" w:name="_Toc21079"/>
      <w:bookmarkStart w:id="52" w:name="_Toc521053056"/>
      <w:bookmarkStart w:id="53" w:name="_Toc24901"/>
      <w:bookmarkStart w:id="54" w:name="_Toc106034628"/>
      <w:r>
        <w:rPr>
          <w:rFonts w:hint="eastAsia" w:ascii="方正仿宋_GBK" w:hAnsi="宋体" w:eastAsia="方正仿宋_GBK"/>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地  址：重庆市两江新区金渝大道20号重庆医科大学附属儿童医院两江院区科教楼630招标办公室</w:t>
      </w:r>
    </w:p>
    <w:bookmarkEnd w:id="15"/>
    <w:p>
      <w:pPr>
        <w:snapToGrid w:val="0"/>
        <w:spacing w:line="400" w:lineRule="exact"/>
        <w:ind w:firstLine="482" w:firstLineChars="200"/>
        <w:rPr>
          <w:rFonts w:ascii="宋体" w:hAnsi="宋体"/>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ascii="方正仿宋_GBK" w:hAnsi="宋体" w:eastAsia="方正仿宋_GBK"/>
          <w:sz w:val="24"/>
          <w:szCs w:val="24"/>
        </w:rPr>
      </w:pPr>
      <w:bookmarkStart w:id="55" w:name="_Toc12789058"/>
    </w:p>
    <w:p>
      <w:pPr>
        <w:pStyle w:val="3"/>
        <w:tabs>
          <w:tab w:val="left" w:pos="3360"/>
        </w:tabs>
        <w:spacing w:line="360" w:lineRule="auto"/>
        <w:jc w:val="center"/>
        <w:rPr>
          <w:rFonts w:ascii="方正仿宋_GBK" w:eastAsia="方正仿宋_GBK"/>
          <w:b/>
          <w:sz w:val="44"/>
        </w:rPr>
      </w:pPr>
      <w:bookmarkStart w:id="56" w:name="_Toc2070"/>
      <w:bookmarkStart w:id="57" w:name="_Toc23143"/>
      <w:bookmarkStart w:id="58" w:name="_Toc12959"/>
      <w:bookmarkStart w:id="59" w:name="_Toc26176"/>
      <w:bookmarkStart w:id="60" w:name="_Toc19886"/>
      <w:bookmarkStart w:id="61" w:name="_Toc1625"/>
      <w:bookmarkStart w:id="62" w:name="_Toc75793504"/>
      <w:bookmarkStart w:id="63" w:name="_Toc725"/>
      <w:bookmarkStart w:id="64" w:name="_Toc5461"/>
      <w:bookmarkStart w:id="65" w:name="_Toc2422"/>
      <w:bookmarkStart w:id="66" w:name="_Toc25639"/>
      <w:bookmarkStart w:id="67" w:name="_Toc8649"/>
      <w:bookmarkStart w:id="68" w:name="_Toc11017"/>
      <w:bookmarkStart w:id="69" w:name="_Toc32686"/>
      <w:bookmarkStart w:id="70" w:name="_Toc1492"/>
      <w:bookmarkStart w:id="71" w:name="_Toc106030380"/>
      <w:bookmarkStart w:id="72" w:name="_Toc22327"/>
      <w:r>
        <w:rPr>
          <w:rFonts w:hint="eastAsia" w:ascii="方正仿宋_GBK" w:eastAsia="方正仿宋_GBK"/>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eastAsia="方正仿宋_GBK"/>
          <w:b/>
          <w:sz w:val="44"/>
        </w:rPr>
        <w:t>项目技术（质量）需求</w:t>
      </w:r>
      <w:bookmarkEnd w:id="71"/>
      <w:bookmarkEnd w:id="72"/>
    </w:p>
    <w:p>
      <w:pPr>
        <w:ind w:firstLine="480" w:firstLineChars="200"/>
        <w:rPr>
          <w:rFonts w:ascii="方正仿宋_GBK" w:hAnsi="宋体" w:eastAsia="方正仿宋_GBK"/>
          <w:b/>
          <w:bCs/>
          <w:sz w:val="24"/>
          <w:szCs w:val="24"/>
        </w:rPr>
      </w:pPr>
      <w:bookmarkStart w:id="73" w:name="_Toc4913"/>
      <w:bookmarkStart w:id="74" w:name="_Toc9261"/>
      <w:bookmarkStart w:id="75" w:name="_Toc19238"/>
      <w:bookmarkStart w:id="76" w:name="_Toc4531"/>
      <w:bookmarkStart w:id="77" w:name="_Toc20979"/>
      <w:bookmarkStart w:id="78" w:name="_Toc75793505"/>
      <w:bookmarkStart w:id="79" w:name="_Toc7027"/>
      <w:bookmarkStart w:id="80" w:name="_Toc4519"/>
      <w:bookmarkStart w:id="81" w:name="_Toc22910"/>
      <w:bookmarkStart w:id="82" w:name="_Toc11703"/>
      <w:bookmarkStart w:id="83" w:name="_Toc23656"/>
      <w:bookmarkStart w:id="84" w:name="_Toc29985"/>
      <w:bookmarkStart w:id="85" w:name="_Toc23504"/>
      <w:bookmarkStart w:id="86" w:name="_Toc14433"/>
      <w:bookmarkStart w:id="87" w:name="_Toc8370"/>
      <w:bookmarkStart w:id="88" w:name="_Toc106030381"/>
      <w:r>
        <w:rPr>
          <w:rFonts w:hint="eastAsia" w:ascii="方正仿宋_GBK" w:hAnsi="宋体" w:eastAsia="方正仿宋_GBK"/>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序号</w:t>
            </w:r>
          </w:p>
        </w:tc>
        <w:tc>
          <w:tcPr>
            <w:tcW w:w="4314"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产品名称</w:t>
            </w:r>
          </w:p>
        </w:tc>
        <w:tc>
          <w:tcPr>
            <w:tcW w:w="2164"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pStyle w:val="24"/>
              <w:spacing w:line="240" w:lineRule="auto"/>
              <w:ind w:left="0"/>
              <w:jc w:val="center"/>
              <w:outlineLvl w:val="0"/>
              <w:rPr>
                <w:rFonts w:ascii="方正仿宋_GBK" w:hAnsi="宋体" w:eastAsia="方正仿宋_GBK"/>
                <w:sz w:val="24"/>
                <w:szCs w:val="24"/>
              </w:rPr>
            </w:pPr>
            <w:r>
              <w:rPr>
                <w:rFonts w:hint="eastAsia" w:ascii="方正仿宋_GBK" w:hAnsi="宋体" w:eastAsia="方正仿宋_GBK"/>
                <w:sz w:val="24"/>
                <w:szCs w:val="24"/>
              </w:rPr>
              <w:t>1</w:t>
            </w:r>
          </w:p>
        </w:tc>
        <w:tc>
          <w:tcPr>
            <w:tcW w:w="4314" w:type="dxa"/>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Y染色体微缺失检测试剂盒</w:t>
            </w:r>
          </w:p>
        </w:tc>
        <w:tc>
          <w:tcPr>
            <w:tcW w:w="2164" w:type="dxa"/>
            <w:vAlign w:val="center"/>
          </w:tcPr>
          <w:p>
            <w:pPr>
              <w:jc w:val="center"/>
              <w:rPr>
                <w:rFonts w:ascii="方正仿宋_GBK" w:hAnsi="宋体" w:eastAsia="方正仿宋_GBK"/>
                <w:sz w:val="24"/>
                <w:szCs w:val="24"/>
              </w:rPr>
            </w:pPr>
          </w:p>
        </w:tc>
      </w:tr>
    </w:tbl>
    <w:p>
      <w:pPr>
        <w:ind w:firstLine="480" w:firstLineChars="200"/>
        <w:rPr>
          <w:rFonts w:ascii="方正仿宋_GBK" w:hAnsi="宋体" w:eastAsia="方正仿宋_GBK"/>
          <w:sz w:val="24"/>
          <w:szCs w:val="24"/>
        </w:rPr>
      </w:pPr>
      <w:bookmarkStart w:id="89" w:name="_Toc10143"/>
      <w:bookmarkStart w:id="90" w:name="_Toc695"/>
      <w:bookmarkStart w:id="91" w:name="_Toc28205"/>
      <w:bookmarkStart w:id="92" w:name="_Toc26453"/>
      <w:bookmarkStart w:id="93" w:name="_Toc18675"/>
      <w:bookmarkStart w:id="94" w:name="_Toc7792"/>
      <w:bookmarkStart w:id="95" w:name="_Toc5751"/>
      <w:bookmarkStart w:id="96" w:name="_Toc18903"/>
      <w:bookmarkStart w:id="97" w:name="_Toc15696"/>
      <w:bookmarkStart w:id="98" w:name="_Toc21817"/>
      <w:bookmarkStart w:id="99" w:name="_Toc27067"/>
      <w:bookmarkStart w:id="100" w:name="_Toc32262"/>
      <w:bookmarkStart w:id="101" w:name="_Toc18800"/>
      <w:bookmarkStart w:id="102" w:name="_Toc106030382"/>
      <w:bookmarkStart w:id="103" w:name="_Toc12568"/>
      <w:bookmarkStart w:id="104" w:name="_Toc23975"/>
      <w:bookmarkStart w:id="105" w:name="_Toc75793506"/>
      <w:r>
        <w:rPr>
          <w:rFonts w:hint="eastAsia" w:ascii="方正仿宋_GBK" w:hAnsi="宋体" w:eastAsia="方正仿宋_GBK"/>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w:t>
      </w: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rPr>
        <w:t>）标本要求：外周血</w:t>
      </w:r>
      <w:r>
        <w:rPr>
          <w:rFonts w:hint="eastAsia" w:ascii="方正仿宋_GBK" w:hAnsi="宋体" w:eastAsia="方正仿宋_GBK" w:cs="Times New Roman"/>
          <w:sz w:val="24"/>
          <w:szCs w:val="24"/>
          <w:lang w:eastAsia="zh-CN"/>
        </w:rPr>
        <w:t>。</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rPr>
        <w:t>（</w:t>
      </w: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）检测方法：PCR-荧光探针法。检测外周血DNA样本中的Y染色体微缺失。</w:t>
      </w:r>
    </w:p>
    <w:p>
      <w:pPr>
        <w:snapToGrid w:val="0"/>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w:t>
      </w:r>
      <w:r>
        <w:rPr>
          <w:rFonts w:hint="eastAsia" w:ascii="方正仿宋_GBK" w:hAnsi="宋体" w:eastAsia="方正仿宋_GBK" w:cs="Times New Roman"/>
          <w:sz w:val="24"/>
          <w:szCs w:val="24"/>
          <w:lang w:val="en-US" w:eastAsia="zh-CN"/>
        </w:rPr>
        <w:t>三</w:t>
      </w:r>
      <w:r>
        <w:rPr>
          <w:rFonts w:hint="eastAsia" w:ascii="方正仿宋_GBK" w:hAnsi="宋体" w:eastAsia="方正仿宋_GBK" w:cs="Times New Roman"/>
          <w:sz w:val="24"/>
          <w:szCs w:val="24"/>
        </w:rPr>
        <w:t>）仪器要求：试剂必须为开放性试剂，适配于所有品牌设备。（现用机型：ABI 7500及上海宏石SLAN 96P实时荧光PCR扩增仪）</w:t>
      </w:r>
      <w:r>
        <w:rPr>
          <w:rFonts w:hint="eastAsia" w:ascii="方正仿宋_GBK" w:hAnsi="宋体" w:eastAsia="方正仿宋_GBK" w:cs="Times New Roman"/>
          <w:sz w:val="24"/>
          <w:szCs w:val="24"/>
          <w:lang w:eastAsia="zh-CN"/>
        </w:rPr>
        <w:t>。</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rPr>
        <w:t>（</w:t>
      </w:r>
      <w:r>
        <w:rPr>
          <w:rFonts w:hint="eastAsia" w:ascii="方正仿宋_GBK" w:hAnsi="宋体" w:eastAsia="方正仿宋_GBK" w:cs="Times New Roman"/>
          <w:sz w:val="24"/>
          <w:szCs w:val="24"/>
          <w:lang w:val="en-US" w:eastAsia="zh-CN"/>
        </w:rPr>
        <w:t>四</w:t>
      </w:r>
      <w:r>
        <w:rPr>
          <w:rFonts w:hint="eastAsia" w:ascii="方正仿宋_GBK" w:hAnsi="宋体" w:eastAsia="方正仿宋_GBK" w:cs="Times New Roman"/>
          <w:sz w:val="24"/>
          <w:szCs w:val="24"/>
        </w:rPr>
        <w:t>）试剂检测指标：</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rPr>
        <w:t>试剂盒组成包括核酸提取试剂和核酸检测试剂</w:t>
      </w:r>
      <w:r>
        <w:rPr>
          <w:rFonts w:hint="eastAsia" w:ascii="方正仿宋_GBK" w:hAnsi="宋体" w:eastAsia="方正仿宋_GBK" w:cs="Times New Roman"/>
          <w:sz w:val="24"/>
          <w:szCs w:val="24"/>
          <w:lang w:eastAsia="zh-CN"/>
        </w:rPr>
        <w:t>。</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最低检出限：15ng/μ</w:t>
      </w:r>
      <w:r>
        <w:rPr>
          <w:rFonts w:hint="eastAsia" w:ascii="方正仿宋_GBK" w:hAnsi="宋体" w:eastAsia="方正仿宋_GBK" w:cs="Times New Roman"/>
          <w:sz w:val="24"/>
          <w:szCs w:val="24"/>
          <w:lang w:val="en-US" w:eastAsia="zh-CN"/>
        </w:rPr>
        <w:t>l。</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3.</w:t>
      </w:r>
      <w:r>
        <w:rPr>
          <w:rFonts w:hint="eastAsia" w:ascii="方正仿宋_GBK" w:hAnsi="宋体" w:eastAsia="方正仿宋_GBK" w:cs="Times New Roman"/>
          <w:sz w:val="24"/>
          <w:szCs w:val="24"/>
        </w:rPr>
        <w:t>至少检测Y 染色体 AZFa、AZFb、AZFc 三个区域的6个STS位点、内对照为性别决定基因 sY14（Sex-determining region of the Y chromosome）及β-globin基因</w:t>
      </w:r>
      <w:r>
        <w:rPr>
          <w:rFonts w:hint="eastAsia" w:ascii="方正仿宋_GBK" w:hAnsi="宋体" w:eastAsia="方正仿宋_GBK" w:cs="Times New Roman"/>
          <w:sz w:val="24"/>
          <w:szCs w:val="24"/>
          <w:lang w:eastAsia="zh-CN"/>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cs="Times New Roman"/>
          <w:sz w:val="24"/>
          <w:szCs w:val="24"/>
          <w:lang w:val="en-US" w:eastAsia="zh-CN"/>
        </w:rPr>
        <w:t>4.</w:t>
      </w:r>
      <w:r>
        <w:rPr>
          <w:rFonts w:hint="eastAsia" w:ascii="方正仿宋_GBK" w:hAnsi="宋体" w:eastAsia="方正仿宋_GBK" w:cs="Times New Roman"/>
          <w:sz w:val="24"/>
          <w:szCs w:val="24"/>
        </w:rPr>
        <w:t xml:space="preserve">特异性：正常男性基因组DNA样本，检测结果均为正常男性，女性基因组DNA样本，检测结果为女性，2份非人类基因组DNA样本，检测结果应为阴性，没有扩增曲线。      </w:t>
      </w:r>
      <w:r>
        <w:rPr>
          <w:rFonts w:hint="eastAsia" w:ascii="方正仿宋_GBK" w:hAnsi="宋体" w:eastAsia="方正仿宋_GBK"/>
          <w:sz w:val="24"/>
          <w:szCs w:val="24"/>
        </w:rPr>
        <w:t xml:space="preserve">                          </w:t>
      </w:r>
    </w:p>
    <w:p>
      <w:pPr>
        <w:rPr>
          <w:rFonts w:hint="eastAsia"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（五）</w:t>
      </w:r>
      <w:r>
        <w:rPr>
          <w:rFonts w:hint="eastAsia" w:ascii="方正仿宋_GBK" w:hAnsi="宋体" w:eastAsia="方正仿宋_GBK" w:cs="Times New Roman"/>
          <w:kern w:val="2"/>
          <w:sz w:val="24"/>
          <w:szCs w:val="24"/>
          <w:lang w:val="en-US" w:eastAsia="zh-CN" w:bidi="ar-SA"/>
        </w:rPr>
        <w:t>每年须在采购人指定时间内至少完成一次性能验证并提供报告。</w:t>
      </w:r>
    </w:p>
    <w:p>
      <w:pPr>
        <w:ind w:firstLine="480" w:firstLineChars="200"/>
        <w:rPr>
          <w:rFonts w:ascii="方正仿宋_GBK" w:hAnsi="宋体" w:eastAsia="方正仿宋_GBK"/>
          <w:sz w:val="24"/>
          <w:szCs w:val="24"/>
        </w:rPr>
      </w:pPr>
      <w:bookmarkStart w:id="226" w:name="_GoBack"/>
      <w:bookmarkEnd w:id="226"/>
      <w:r>
        <w:rPr>
          <w:rFonts w:hint="eastAsia" w:ascii="方正仿宋_GBK" w:hAnsi="宋体" w:eastAsia="方正仿宋_GBK"/>
          <w:b/>
          <w:bCs/>
          <w:sz w:val="24"/>
          <w:szCs w:val="24"/>
        </w:rPr>
        <w:t>三．响应证明</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技术需求所有条款的响应须有投标人提供</w:t>
      </w:r>
      <w:r>
        <w:rPr>
          <w:rFonts w:hint="eastAsia" w:ascii="方正仿宋_GBK" w:hAnsi="宋体" w:eastAsia="方正仿宋_GBK"/>
          <w:sz w:val="24"/>
          <w:szCs w:val="24"/>
          <w:lang w:val="en-US" w:eastAsia="zh-CN"/>
        </w:rPr>
        <w:t>技术白皮书（生产厂家盖章）、</w:t>
      </w:r>
      <w:r>
        <w:rPr>
          <w:rFonts w:hint="eastAsia" w:ascii="方正仿宋_GBK" w:hAnsi="宋体" w:eastAsia="方正仿宋_GBK"/>
          <w:sz w:val="24"/>
          <w:szCs w:val="24"/>
        </w:rPr>
        <w:t>产品说明书、彩页、官网截图之一并盖公章确认作为证明材料。</w:t>
      </w:r>
    </w:p>
    <w:p>
      <w:pPr>
        <w:pStyle w:val="23"/>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p>
    <w:p>
      <w:pPr>
        <w:pStyle w:val="4"/>
        <w:spacing w:before="200" w:after="200" w:line="240" w:lineRule="auto"/>
        <w:jc w:val="center"/>
        <w:rPr>
          <w:rFonts w:ascii="方正仿宋_GBK" w:hAnsi="Times New Roman" w:eastAsia="方正仿宋_GBK"/>
          <w:sz w:val="44"/>
        </w:rPr>
      </w:pPr>
      <w:bookmarkStart w:id="106" w:name="_Toc106030882"/>
      <w:bookmarkStart w:id="107" w:name="_Toc12473"/>
      <w:bookmarkStart w:id="108" w:name="_Toc76462327"/>
      <w:bookmarkStart w:id="109" w:name="_Toc7791"/>
      <w:r>
        <w:rPr>
          <w:rFonts w:hint="eastAsia" w:ascii="方正仿宋_GBK" w:hAnsi="Times New Roman" w:eastAsia="方正仿宋_GBK"/>
          <w:sz w:val="44"/>
        </w:rPr>
        <w:t xml:space="preserve">第三篇  </w:t>
      </w:r>
      <w:bookmarkEnd w:id="55"/>
      <w:r>
        <w:rPr>
          <w:rFonts w:hint="eastAsia" w:ascii="方正仿宋_GBK" w:hAnsi="Times New Roman" w:eastAsia="方正仿宋_GBK"/>
          <w:sz w:val="44"/>
        </w:rPr>
        <w:t>项目商务需求</w:t>
      </w:r>
      <w:bookmarkEnd w:id="106"/>
      <w:bookmarkEnd w:id="107"/>
      <w:bookmarkEnd w:id="108"/>
      <w:bookmarkEnd w:id="109"/>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widowControl/>
              <w:spacing w:line="400" w:lineRule="exact"/>
              <w:ind w:firstLine="560" w:firstLineChars="200"/>
              <w:jc w:val="center"/>
              <w:rPr>
                <w:rFonts w:ascii="方正仿宋_GBK" w:hAnsi="宋体" w:eastAsia="方正仿宋_GBK"/>
                <w:sz w:val="24"/>
                <w:szCs w:val="24"/>
              </w:rPr>
            </w:pPr>
            <w:r>
              <w:rPr>
                <w:rFonts w:hint="eastAsia" w:ascii="方正仿宋_GBK" w:hAnsi="宋体" w:eastAsia="方正仿宋_GBK"/>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交货时间、交货地点及验收方式</w:t>
            </w:r>
          </w:p>
        </w:tc>
        <w:tc>
          <w:tcPr>
            <w:tcW w:w="4277" w:type="pct"/>
            <w:vAlign w:val="center"/>
          </w:tcPr>
          <w:p>
            <w:pPr>
              <w:pStyle w:val="143"/>
              <w:widowControl/>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交货时间：接到采购人通知后7个日历日内完成送货。</w:t>
            </w:r>
          </w:p>
          <w:p>
            <w:pPr>
              <w:pStyle w:val="143"/>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交货地点：重庆医科大学附属儿童医院两江院区、渝中院区</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验收方式：</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（一）货物到达现场后，投标人应经采购人或其指定验收单位清点品名、规格、数量；检查外观，作出表面验收记录，双方签字确认。</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（二）投标人应保证货物到达用户所在地完好无损，如有缺漏、损坏，由投标人负责调换、补齐或赔偿。</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（三）投标人应提供完备的技术资料、装箱单和合格证等，并派遣专业技术人员进行现场安装调试。验收合格条件如下：</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1.设备品种、规格、数量、技术参数以及商品品牌、制造商等与采购合同一致，性能指标达到规定的标准。</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2.货物技术资料、装箱单、合格证等资料齐全。</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3.在规定时间内完成交货并验收，并经采购人确认。</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（四）投标人提供的货物未达到竞争性谈判规定要求，且对采购人造成损失的，由投标人承担一切责任，并赔偿所造成的损失。</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（五）采购人需要制造商对成交供应商交付的产品（包括质量、技术参数等）进行确认的，制造商应予以配合，并出具书面意见。</w:t>
            </w:r>
          </w:p>
          <w:p>
            <w:pPr>
              <w:pStyle w:val="143"/>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（六）产品包装材料归采购人所有。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质量保证及售后服务</w:t>
            </w:r>
          </w:p>
        </w:tc>
        <w:tc>
          <w:tcPr>
            <w:tcW w:w="4277" w:type="pct"/>
            <w:vAlign w:val="center"/>
          </w:tcPr>
          <w:p>
            <w:pPr>
              <w:spacing w:line="400" w:lineRule="exact"/>
              <w:rPr>
                <w:rFonts w:ascii="方正仿宋_GBK" w:hAnsi="宋体" w:eastAsia="方正仿宋_GBK"/>
                <w:sz w:val="24"/>
                <w:szCs w:val="24"/>
              </w:rPr>
            </w:pPr>
            <w:r>
              <w:rPr>
                <w:rFonts w:hint="eastAsia" w:ascii="方正仿宋_GBK" w:hAnsi="宋体" w:eastAsia="方正仿宋_GBK"/>
                <w:sz w:val="24"/>
                <w:szCs w:val="24"/>
              </w:rPr>
              <w:t>（一）产品有效期：成交供应商所提供的产品距产品有效期应至少</w:t>
            </w: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个月或以上（从产品验收之日起算）。</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（二）售后服务内容</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w:t>
            </w:r>
            <w:r>
              <w:rPr>
                <w:rFonts w:hint="eastAsia" w:ascii="方正仿宋_GBK" w:hAnsi="宋体" w:eastAsia="方正仿宋_GBK"/>
                <w:sz w:val="24"/>
                <w:szCs w:val="24"/>
              </w:rPr>
              <w:t>成交供应商出现一年内一次及以上不能按需供货的情况时，取消该产品的供货资格。</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2</w:t>
            </w:r>
            <w:r>
              <w:rPr>
                <w:rFonts w:ascii="方正仿宋_GBK" w:hAnsi="宋体" w:eastAsia="方正仿宋_GBK"/>
                <w:sz w:val="24"/>
                <w:szCs w:val="24"/>
              </w:rPr>
              <w:t>.</w:t>
            </w:r>
            <w:r>
              <w:rPr>
                <w:rFonts w:hint="eastAsia" w:ascii="方正仿宋_GBK" w:hAnsi="宋体" w:eastAsia="方正仿宋_GBK"/>
                <w:sz w:val="24"/>
                <w:szCs w:val="24"/>
              </w:rPr>
              <w:t>售后及时，接到采购人售后通知后24小时到现场提供解决方案。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报价要求</w:t>
            </w:r>
          </w:p>
        </w:tc>
        <w:tc>
          <w:tcPr>
            <w:tcW w:w="4277" w:type="pct"/>
            <w:vAlign w:val="center"/>
          </w:tcPr>
          <w:p>
            <w:pPr>
              <w:pStyle w:val="143"/>
              <w:widowControl/>
              <w:adjustRightInd w:val="0"/>
              <w:snapToGrid w:val="0"/>
              <w:spacing w:line="400" w:lineRule="exact"/>
              <w:jc w:val="left"/>
              <w:rPr>
                <w:rFonts w:ascii="方正仿宋_GBK" w:hAnsi="宋体" w:eastAsia="方正仿宋_GBK"/>
                <w:sz w:val="24"/>
                <w:szCs w:val="24"/>
              </w:rPr>
            </w:pPr>
            <w:r>
              <w:rPr>
                <w:rFonts w:hint="eastAsia" w:ascii="方正仿宋_GBK" w:hAnsi="宋体" w:eastAsia="方正仿宋_GBK"/>
                <w:sz w:val="24"/>
                <w:szCs w:val="24"/>
              </w:rPr>
              <w:t>该项目报价</w:t>
            </w:r>
            <w:r>
              <w:rPr>
                <w:rFonts w:hint="eastAsia" w:ascii="方正仿宋_GBK" w:hAnsi="宋体" w:eastAsia="方正仿宋_GBK" w:cs="宋体"/>
                <w:kern w:val="0"/>
                <w:sz w:val="24"/>
                <w:szCs w:val="24"/>
              </w:rPr>
              <w:t>须为包干单价</w:t>
            </w:r>
            <w:r>
              <w:rPr>
                <w:rFonts w:hint="eastAsia" w:ascii="方正仿宋_GBK" w:hAnsi="宋体" w:eastAsia="方正仿宋_GBK"/>
                <w:sz w:val="24"/>
                <w:szCs w:val="24"/>
              </w:rPr>
              <w:t>，包括完成货物、运输、安装验收及其他本项目所需的所有费用及各种应纳的税费。因成交供应商自身原因造成漏报、少报皆由其自行承担责任，采购人不再补偿。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kern w:val="2"/>
                <w:sz w:val="24"/>
                <w:szCs w:val="24"/>
                <w:lang w:val="en-US" w:eastAsia="zh-CN"/>
              </w:rPr>
            </w:pPr>
            <w:r>
              <w:rPr>
                <w:rFonts w:hint="eastAsia" w:ascii="方正仿宋_GBK" w:hAnsi="宋体" w:eastAsia="方正仿宋_GBK" w:cs="Times New Roman"/>
                <w:kern w:val="2"/>
                <w:sz w:val="24"/>
                <w:szCs w:val="24"/>
                <w:lang w:val="en-US" w:eastAsia="zh-CN"/>
              </w:rPr>
              <w:t>（一）每月结算一次。</w:t>
            </w:r>
          </w:p>
          <w:p>
            <w:pPr>
              <w:pStyle w:val="143"/>
              <w:widowControl/>
              <w:adjustRightInd w:val="0"/>
              <w:snapToGrid w:val="0"/>
              <w:spacing w:line="400" w:lineRule="exact"/>
              <w:jc w:val="left"/>
            </w:pPr>
            <w:r>
              <w:rPr>
                <w:rFonts w:hint="eastAsia" w:ascii="方正仿宋_GBK" w:hAnsi="宋体" w:eastAsia="方正仿宋_GBK" w:cs="Times New Roman"/>
                <w:kern w:val="2"/>
                <w:sz w:val="24"/>
                <w:szCs w:val="24"/>
                <w:lang w:val="en-US" w:eastAsia="zh-CN"/>
              </w:rPr>
              <w:t>（二）每月初</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lang w:val="en-US" w:eastAsia="zh-CN"/>
              </w:rPr>
              <w:t>根据上月结算金额</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知识产权</w:t>
            </w:r>
          </w:p>
        </w:tc>
        <w:tc>
          <w:tcPr>
            <w:tcW w:w="4277" w:type="pct"/>
            <w:vAlign w:val="center"/>
          </w:tcPr>
          <w:p>
            <w:pPr>
              <w:pStyle w:val="143"/>
              <w:spacing w:line="400" w:lineRule="exact"/>
              <w:rPr>
                <w:rFonts w:ascii="方正仿宋_GBK" w:hAnsi="宋体" w:eastAsia="方正仿宋_GBK"/>
                <w:sz w:val="24"/>
                <w:szCs w:val="24"/>
              </w:rPr>
            </w:pPr>
            <w:r>
              <w:rPr>
                <w:rFonts w:hint="eastAsia" w:ascii="方正仿宋_GBK" w:hAnsi="宋体" w:eastAsia="方正仿宋_GBK"/>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培训</w:t>
            </w:r>
          </w:p>
        </w:tc>
        <w:tc>
          <w:tcPr>
            <w:tcW w:w="4277" w:type="pct"/>
            <w:vAlign w:val="center"/>
          </w:tcPr>
          <w:p>
            <w:pPr>
              <w:pStyle w:val="143"/>
              <w:spacing w:line="400" w:lineRule="exact"/>
              <w:rPr>
                <w:rFonts w:ascii="方正仿宋_GBK" w:hAnsi="宋体" w:eastAsia="方正仿宋_GBK"/>
                <w:sz w:val="24"/>
                <w:szCs w:val="24"/>
              </w:rPr>
            </w:pPr>
            <w:r>
              <w:rPr>
                <w:rFonts w:hint="eastAsia" w:ascii="方正仿宋_GBK" w:hAnsi="宋体" w:eastAsia="方正仿宋_GBK"/>
                <w:sz w:val="24"/>
                <w:szCs w:val="24"/>
              </w:rPr>
              <w:t>成交供应商须提供对设备的操作培训，使相关使用人员能够正常熟练操作相关设备。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其他</w:t>
            </w:r>
          </w:p>
        </w:tc>
        <w:tc>
          <w:tcPr>
            <w:tcW w:w="4277" w:type="pct"/>
            <w:vAlign w:val="center"/>
          </w:tcPr>
          <w:p>
            <w:pPr>
              <w:pStyle w:val="143"/>
              <w:snapToGrid w:val="0"/>
              <w:spacing w:line="400" w:lineRule="exact"/>
              <w:rPr>
                <w:rFonts w:ascii="方正仿宋_GBK" w:hAnsi="宋体" w:eastAsia="方正仿宋_GBK"/>
                <w:sz w:val="24"/>
                <w:szCs w:val="24"/>
              </w:rPr>
            </w:pPr>
            <w:r>
              <w:rPr>
                <w:rFonts w:hint="eastAsia" w:ascii="方正仿宋_GBK" w:hAnsi="宋体" w:eastAsia="方正仿宋_GBK"/>
                <w:sz w:val="24"/>
                <w:szCs w:val="24"/>
              </w:rPr>
              <w:t>（一）投标人必须在响应文件中对以上条款和服务承诺明确列出，承诺内容必须达到本篇及协商文件其他条款的要求。</w:t>
            </w:r>
          </w:p>
          <w:p>
            <w:pPr>
              <w:rPr>
                <w:rFonts w:ascii="方正仿宋_GBK" w:hAnsi="宋体" w:eastAsia="方正仿宋_GBK"/>
                <w:sz w:val="24"/>
                <w:szCs w:val="24"/>
              </w:rPr>
            </w:pPr>
            <w:r>
              <w:rPr>
                <w:rFonts w:hint="eastAsia" w:ascii="方正仿宋_GBK" w:hAnsi="宋体" w:eastAsia="方正仿宋_GBK"/>
                <w:sz w:val="24"/>
                <w:szCs w:val="24"/>
              </w:rPr>
              <w:t>（二）其他未尽事宜由供需双方在采购合同中详细约定。</w:t>
            </w:r>
          </w:p>
        </w:tc>
      </w:tr>
    </w:tbl>
    <w:p>
      <w:pPr>
        <w:pStyle w:val="68"/>
      </w:pPr>
    </w:p>
    <w:p>
      <w:pPr>
        <w:rPr>
          <w:rFonts w:ascii="方正仿宋_GBK" w:eastAsia="方正仿宋_GBK"/>
          <w:b/>
          <w:sz w:val="44"/>
        </w:rPr>
      </w:pPr>
      <w:bookmarkStart w:id="110" w:name="_Toc106030887"/>
      <w:bookmarkStart w:id="111" w:name="_Toc6692"/>
      <w:bookmarkStart w:id="112" w:name="_Toc76462332"/>
      <w:r>
        <w:rPr>
          <w:rFonts w:hint="eastAsia" w:ascii="方正仿宋_GBK" w:eastAsia="方正仿宋_GBK"/>
          <w:b/>
          <w:sz w:val="44"/>
        </w:rPr>
        <w:br w:type="page"/>
      </w:r>
    </w:p>
    <w:p>
      <w:pPr>
        <w:pStyle w:val="4"/>
        <w:spacing w:before="200" w:after="200" w:line="240" w:lineRule="auto"/>
        <w:jc w:val="center"/>
        <w:rPr>
          <w:rFonts w:ascii="方正仿宋_GBK" w:hAnsi="Times New Roman" w:eastAsia="方正仿宋_GBK"/>
          <w:sz w:val="44"/>
        </w:rPr>
      </w:pPr>
      <w:bookmarkStart w:id="113" w:name="_Toc19431"/>
      <w:r>
        <w:rPr>
          <w:rFonts w:hint="eastAsia" w:ascii="方正仿宋_GBK" w:hAnsi="Times New Roman" w:eastAsia="方正仿宋_GBK"/>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ascii="方正仿宋_GBK" w:hAnsi="宋体" w:eastAsia="方正仿宋_GBK"/>
          <w:sz w:val="24"/>
        </w:rPr>
      </w:pPr>
      <w:bookmarkStart w:id="114" w:name="_Toc14958"/>
      <w:bookmarkStart w:id="115" w:name="_Toc76462333"/>
      <w:bookmarkStart w:id="116" w:name="_Toc106030888"/>
      <w:bookmarkStart w:id="117" w:name="_Toc26127"/>
      <w:r>
        <w:rPr>
          <w:rFonts w:hint="eastAsia" w:ascii="方正仿宋_GBK" w:hAnsi="宋体" w:eastAsia="方正仿宋_GBK"/>
          <w:sz w:val="24"/>
        </w:rPr>
        <w:t>一、公开比选采购程序</w:t>
      </w:r>
      <w:bookmarkEnd w:id="114"/>
      <w:bookmarkEnd w:id="115"/>
      <w:bookmarkEnd w:id="116"/>
      <w:bookmarkEnd w:id="117"/>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（一）按公开比选采购文件规定的时间和地点进行，投标人须有法定代表人（或其授权代表）或自然人参加。</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 xml:space="preserve">1.投标人法人营业执照（副本）或事业单位法人证书（副本）或个体工商户营业执照或有效的自然人身份证明或社会团体法人登记证书（提供复印件）。 </w:t>
            </w:r>
          </w:p>
          <w:p>
            <w:pPr>
              <w:rPr>
                <w:rFonts w:ascii="方正仿宋_GBK" w:hAnsi="仿宋" w:eastAsia="方正仿宋_GBK"/>
                <w:sz w:val="21"/>
                <w:szCs w:val="21"/>
              </w:rPr>
            </w:pPr>
            <w:r>
              <w:rPr>
                <w:rFonts w:hint="eastAsia" w:ascii="方正仿宋_GBK" w:hAnsi="仿宋" w:eastAsia="方正仿宋_GBK"/>
                <w:sz w:val="21"/>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vAlign w:val="center"/>
          </w:tcPr>
          <w:p>
            <w:pPr>
              <w:rPr>
                <w:rFonts w:ascii="方正仿宋_GBK" w:hAnsi="仿宋" w:eastAsia="方正仿宋_GBK"/>
                <w:b/>
                <w:sz w:val="21"/>
                <w:szCs w:val="21"/>
              </w:rPr>
            </w:pPr>
            <w:r>
              <w:rPr>
                <w:rFonts w:hint="eastAsia" w:ascii="方正仿宋_GBK" w:hAnsi="仿宋" w:eastAsia="方正仿宋_GBK"/>
                <w:sz w:val="21"/>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vAlign w:val="center"/>
          </w:tcPr>
          <w:p>
            <w:pPr>
              <w:rPr>
                <w:rFonts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按“第一篇三、投标人资格要求（三）本项目的特定资格要求”的要求提交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jc w:val="center"/>
              <w:rPr>
                <w:rFonts w:ascii="方正仿宋_GBK" w:hAnsi="仿宋" w:eastAsia="方正仿宋_GBK"/>
                <w:sz w:val="21"/>
                <w:szCs w:val="21"/>
              </w:rPr>
            </w:pPr>
            <w:r>
              <w:rPr>
                <w:rFonts w:hint="eastAsia" w:ascii="方正仿宋_GBK" w:hAnsi="仿宋" w:eastAsia="方正仿宋_GBK"/>
                <w:sz w:val="21"/>
                <w:szCs w:val="21"/>
              </w:rPr>
              <w:t>（二）</w:t>
            </w:r>
          </w:p>
        </w:tc>
        <w:tc>
          <w:tcPr>
            <w:tcW w:w="709" w:type="dxa"/>
          </w:tcPr>
          <w:p>
            <w:pPr>
              <w:jc w:val="left"/>
              <w:rPr>
                <w:rFonts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tcPr>
          <w:p>
            <w:pPr>
              <w:rPr>
                <w:rFonts w:ascii="方正仿宋_GBK" w:hAnsi="仿宋" w:eastAsia="方正仿宋_GBK"/>
                <w:sz w:val="21"/>
                <w:szCs w:val="21"/>
              </w:rPr>
            </w:pPr>
          </w:p>
        </w:tc>
        <w:tc>
          <w:tcPr>
            <w:tcW w:w="4984" w:type="dxa"/>
          </w:tcPr>
          <w:p>
            <w:pPr>
              <w:jc w:val="left"/>
              <w:rPr>
                <w:rFonts w:ascii="方正仿宋_GBK" w:hAnsi="仿宋" w:eastAsia="方正仿宋_GBK"/>
                <w:sz w:val="21"/>
                <w:szCs w:val="21"/>
              </w:rPr>
            </w:pPr>
            <w:r>
              <w:rPr>
                <w:rFonts w:hint="eastAsia" w:ascii="方正仿宋_GBK" w:hAnsi="仿宋" w:eastAsia="方正仿宋_GBK"/>
                <w:sz w:val="21"/>
                <w:szCs w:val="21"/>
              </w:rPr>
              <w:t>按照比选文件要求足额交纳保证金。</w:t>
            </w:r>
          </w:p>
        </w:tc>
      </w:tr>
    </w:tbl>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ascii="方正仿宋_GBK" w:hAnsi="宋体" w:eastAsia="方正仿宋_GBK"/>
          <w:sz w:val="24"/>
        </w:rPr>
      </w:pPr>
      <w:bookmarkStart w:id="118" w:name="_Toc27374"/>
      <w:r>
        <w:rPr>
          <w:rFonts w:hint="eastAsia" w:ascii="方正仿宋_GBK" w:hAnsi="宋体" w:eastAsia="方正仿宋_GBK"/>
          <w:sz w:val="24"/>
        </w:rPr>
        <w:t>二、评标方法</w:t>
      </w:r>
      <w:bookmarkEnd w:id="118"/>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pPr>
      <w:r>
        <w:rPr>
          <w:rFonts w:hint="eastAsia" w:ascii="方正仿宋_GBK" w:hAnsi="仿宋" w:eastAsia="方正仿宋_GBK"/>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ascii="方正仿宋_GBK" w:hAnsi="宋体" w:eastAsia="方正仿宋_GBK"/>
          <w:sz w:val="24"/>
        </w:rPr>
      </w:pPr>
      <w:bookmarkStart w:id="119" w:name="_Toc106030889"/>
      <w:bookmarkStart w:id="120" w:name="_Toc24315"/>
      <w:bookmarkStart w:id="121" w:name="_Toc76462334"/>
      <w:bookmarkStart w:id="122" w:name="_Toc30944"/>
      <w:bookmarkStart w:id="123" w:name="_Toc102227320"/>
      <w:bookmarkStart w:id="124" w:name="_Toc342913394"/>
      <w:r>
        <w:rPr>
          <w:rFonts w:hint="eastAsia" w:ascii="方正仿宋_GBK" w:hAnsi="宋体" w:eastAsia="方正仿宋_GBK"/>
          <w:sz w:val="24"/>
        </w:rPr>
        <w:t>三、报价方式</w:t>
      </w:r>
    </w:p>
    <w:p>
      <w:pPr>
        <w:pStyle w:val="4"/>
        <w:adjustRightInd w:val="0"/>
        <w:snapToGrid w:val="0"/>
        <w:spacing w:before="0" w:after="0" w:line="400" w:lineRule="exact"/>
        <w:ind w:firstLine="480" w:firstLineChars="200"/>
        <w:rPr>
          <w:rFonts w:ascii="方正仿宋_GBK" w:hAnsi="宋体" w:eastAsia="方正仿宋_GBK"/>
          <w:sz w:val="24"/>
        </w:rPr>
      </w:pPr>
      <w:bookmarkStart w:id="125" w:name="_Toc5837"/>
      <w:r>
        <w:rPr>
          <w:rFonts w:hint="eastAsia" w:ascii="方正仿宋_GBK" w:hAnsi="宋体" w:eastAsia="方正仿宋_GBK"/>
          <w:b w:val="0"/>
          <w:bCs/>
          <w:sz w:val="24"/>
          <w:szCs w:val="24"/>
        </w:rPr>
        <w:t>本项目投标人可在投标现场进行第二次报价。</w:t>
      </w:r>
      <w:bookmarkEnd w:id="125"/>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四、评审标准</w:t>
      </w:r>
      <w:bookmarkEnd w:id="119"/>
      <w:bookmarkEnd w:id="120"/>
      <w:bookmarkEnd w:id="121"/>
      <w:bookmarkEnd w:id="122"/>
    </w:p>
    <w:p>
      <w:pPr>
        <w:snapToGrid w:val="0"/>
        <w:spacing w:line="400" w:lineRule="exact"/>
        <w:ind w:firstLine="480" w:firstLineChars="200"/>
        <w:rPr>
          <w:rFonts w:ascii="方正仿宋_GBK" w:hAnsi="宋体" w:eastAsia="方正仿宋_GBK"/>
          <w:sz w:val="24"/>
          <w:szCs w:val="24"/>
        </w:rPr>
      </w:pPr>
      <w:bookmarkStart w:id="126" w:name="_Toc76462335"/>
      <w:bookmarkStart w:id="127" w:name="_Toc31497"/>
      <w:bookmarkStart w:id="128" w:name="_Toc106030890"/>
      <w:r>
        <w:rPr>
          <w:rFonts w:hint="eastAsia" w:ascii="方正仿宋_GBK" w:hAnsi="宋体" w:eastAsia="方正仿宋_GBK"/>
          <w:sz w:val="24"/>
          <w:szCs w:val="24"/>
        </w:rPr>
        <w:t>（一）关于技术（质量）、商务偏离</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ascii="方正仿宋_GBK" w:hAnsi="宋体" w:eastAsia="方正仿宋_GBK"/>
          <w:sz w:val="24"/>
        </w:rPr>
      </w:pPr>
      <w:bookmarkStart w:id="129" w:name="_Toc17606"/>
      <w:r>
        <w:rPr>
          <w:rFonts w:hint="eastAsia" w:ascii="方正仿宋_GBK" w:hAnsi="宋体" w:eastAsia="方正仿宋_GBK"/>
          <w:sz w:val="24"/>
        </w:rPr>
        <w:t>四、无效响应</w:t>
      </w:r>
      <w:bookmarkEnd w:id="126"/>
      <w:bookmarkEnd w:id="127"/>
      <w:bookmarkEnd w:id="128"/>
      <w:bookmarkEnd w:id="129"/>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投标人发生以下条款情况之一者，视为无效响应，其响应文件将被拒绝：</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（一）投标人不符合规定的资格条件的；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（二）投标人的法定代表人（或其授权代表）或自然人未参加比选；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（三）投标人所提交的响应文件不按“第六篇响应文件编制要求”要求签署或盖章；</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（四）投标人的最后报价超过采购预算或最高限价的；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（六）单位负责人为同一人或者存在直接控股、管理关系的不同投标人，参加同一合同项下的采购活动的；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（八）投标人磋商有效期不满足公开比选采购文件要求的；</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（九）投标人响应文件内容有与国家现行法律法规相违背的内容，或附有采购人无法接受的条件；</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（十）法律、法规和公开比选采购文件规定的其他无效情形。</w:t>
      </w:r>
    </w:p>
    <w:p>
      <w:pPr>
        <w:pStyle w:val="4"/>
        <w:adjustRightInd w:val="0"/>
        <w:snapToGrid w:val="0"/>
        <w:spacing w:before="0" w:after="0" w:line="400" w:lineRule="exact"/>
        <w:ind w:firstLine="480" w:firstLineChars="200"/>
        <w:rPr>
          <w:rFonts w:ascii="方正仿宋_GBK" w:hAnsi="宋体" w:eastAsia="方正仿宋_GBK"/>
          <w:sz w:val="24"/>
        </w:rPr>
      </w:pPr>
      <w:bookmarkStart w:id="130" w:name="_Toc106030891"/>
      <w:bookmarkStart w:id="131" w:name="_Toc10687"/>
      <w:bookmarkStart w:id="132" w:name="_Toc76462336"/>
      <w:bookmarkStart w:id="133" w:name="_Toc12222"/>
      <w:r>
        <w:rPr>
          <w:rFonts w:hint="eastAsia" w:ascii="方正仿宋_GBK" w:hAnsi="宋体" w:eastAsia="方正仿宋_GBK"/>
          <w:sz w:val="24"/>
        </w:rPr>
        <w:t>五、</w:t>
      </w:r>
      <w:bookmarkEnd w:id="123"/>
      <w:bookmarkEnd w:id="124"/>
      <w:bookmarkEnd w:id="130"/>
      <w:bookmarkEnd w:id="131"/>
      <w:bookmarkEnd w:id="132"/>
      <w:bookmarkEnd w:id="133"/>
      <w:r>
        <w:rPr>
          <w:rFonts w:hint="eastAsia" w:ascii="方正仿宋_GBK" w:hAnsi="宋体" w:eastAsia="方正仿宋_GBK"/>
          <w:sz w:val="24"/>
        </w:rPr>
        <w:t>废标条款</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（一）因情况变化，不再符合规定的公开比选采购方式适用情形的；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（三）在采购过程中符合要求的投标人或者报价未超过采购预算的投标人不足3家的；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ascii="方正仿宋_GBK" w:hAnsi="Times New Roman" w:eastAsia="方正仿宋_GBK"/>
          <w:sz w:val="44"/>
        </w:rPr>
      </w:pPr>
      <w:bookmarkStart w:id="134" w:name="_Toc106030892"/>
      <w:bookmarkStart w:id="135" w:name="_Toc13119"/>
      <w:bookmarkStart w:id="136" w:name="_Toc29948"/>
      <w:bookmarkStart w:id="137" w:name="_Toc102227313"/>
      <w:bookmarkStart w:id="138" w:name="_Toc76462337"/>
      <w:r>
        <w:rPr>
          <w:rFonts w:hint="eastAsia" w:ascii="方正仿宋_GBK" w:hAnsi="Times New Roman" w:eastAsia="方正仿宋_GBK"/>
          <w:sz w:val="44"/>
        </w:rPr>
        <w:t>第五篇  投标人须知</w:t>
      </w:r>
      <w:bookmarkEnd w:id="134"/>
      <w:bookmarkEnd w:id="135"/>
      <w:bookmarkEnd w:id="136"/>
      <w:bookmarkEnd w:id="137"/>
      <w:bookmarkEnd w:id="138"/>
    </w:p>
    <w:p>
      <w:pPr>
        <w:pStyle w:val="4"/>
        <w:adjustRightInd w:val="0"/>
        <w:snapToGrid w:val="0"/>
        <w:spacing w:before="0" w:after="0" w:line="400" w:lineRule="exact"/>
        <w:ind w:firstLine="480" w:firstLineChars="200"/>
        <w:rPr>
          <w:rFonts w:ascii="方正仿宋_GBK" w:hAnsi="宋体" w:eastAsia="方正仿宋_GBK"/>
          <w:sz w:val="24"/>
        </w:rPr>
      </w:pPr>
      <w:bookmarkStart w:id="139" w:name="_Toc20271"/>
      <w:bookmarkStart w:id="140" w:name="_Toc106030893"/>
      <w:bookmarkStart w:id="141" w:name="_Toc76462338"/>
      <w:bookmarkStart w:id="142" w:name="_Toc342913389"/>
      <w:bookmarkStart w:id="143" w:name="_Toc26717"/>
      <w:r>
        <w:rPr>
          <w:rFonts w:hint="eastAsia" w:ascii="方正仿宋_GBK" w:hAnsi="宋体" w:eastAsia="方正仿宋_GBK"/>
          <w:sz w:val="24"/>
        </w:rPr>
        <w:t>一、公开比选费用</w:t>
      </w:r>
      <w:bookmarkEnd w:id="139"/>
      <w:bookmarkEnd w:id="140"/>
      <w:bookmarkEnd w:id="141"/>
      <w:bookmarkEnd w:id="142"/>
      <w:bookmarkEnd w:id="143"/>
    </w:p>
    <w:p>
      <w:pPr>
        <w:pStyle w:val="143"/>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ascii="方正仿宋_GBK" w:hAnsi="宋体" w:eastAsia="方正仿宋_GBK"/>
          <w:sz w:val="24"/>
        </w:rPr>
      </w:pPr>
      <w:bookmarkStart w:id="144" w:name="_Toc27891"/>
      <w:bookmarkStart w:id="145" w:name="_Toc15712"/>
      <w:bookmarkStart w:id="146" w:name="_Toc106030894"/>
      <w:bookmarkStart w:id="147" w:name="_Toc342913391"/>
      <w:bookmarkStart w:id="148" w:name="_Toc76462339"/>
      <w:r>
        <w:rPr>
          <w:rFonts w:hint="eastAsia" w:ascii="方正仿宋_GBK" w:hAnsi="宋体" w:eastAsia="方正仿宋_GBK"/>
          <w:sz w:val="24"/>
        </w:rPr>
        <w:t>二、公开比选采购文件</w:t>
      </w:r>
      <w:bookmarkEnd w:id="144"/>
      <w:bookmarkEnd w:id="145"/>
      <w:bookmarkEnd w:id="146"/>
      <w:bookmarkEnd w:id="147"/>
      <w:bookmarkEnd w:id="148"/>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（一）公开比选采购文件由采购邀请书、项目服务需求、投标人须知、项目商务需求、比选程序及方法、评审标准、无效响应和采购终止、投标人须知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响应文件编制要求六部分组成。</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（二）采购人所作的一切有效的书面通知、修改及补充，都是公开比选采购文件不可分割的部分。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（三）公开比选采购文件的解释</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9" w:name="_Toc318166429"/>
      <w:bookmarkStart w:id="150" w:name="_Toc318159349"/>
      <w:bookmarkStart w:id="151" w:name="_Toc318159780"/>
      <w:bookmarkStart w:id="152" w:name="_Toc318159160"/>
    </w:p>
    <w:bookmarkEnd w:id="149"/>
    <w:bookmarkEnd w:id="150"/>
    <w:bookmarkEnd w:id="151"/>
    <w:bookmarkEnd w:id="152"/>
    <w:p>
      <w:pPr>
        <w:pStyle w:val="4"/>
        <w:adjustRightInd w:val="0"/>
        <w:snapToGrid w:val="0"/>
        <w:spacing w:before="0" w:after="0" w:line="400" w:lineRule="exact"/>
        <w:ind w:firstLine="480" w:firstLineChars="200"/>
        <w:rPr>
          <w:rFonts w:ascii="方正仿宋_GBK" w:hAnsi="宋体" w:eastAsia="方正仿宋_GBK"/>
          <w:sz w:val="24"/>
        </w:rPr>
      </w:pPr>
      <w:bookmarkStart w:id="153" w:name="_Toc102227318"/>
      <w:bookmarkStart w:id="154" w:name="_Toc26007"/>
      <w:bookmarkStart w:id="155" w:name="_Toc76462340"/>
      <w:bookmarkStart w:id="156" w:name="_Toc20510"/>
      <w:bookmarkStart w:id="157" w:name="_Toc179714297"/>
      <w:bookmarkStart w:id="158" w:name="_Toc106030895"/>
      <w:bookmarkStart w:id="159" w:name="_Toc342913392"/>
      <w:r>
        <w:rPr>
          <w:rFonts w:hint="eastAsia" w:ascii="方正仿宋_GBK" w:hAnsi="宋体" w:eastAsia="方正仿宋_GBK"/>
          <w:sz w:val="24"/>
        </w:rPr>
        <w:t>三、比选要求</w:t>
      </w:r>
      <w:bookmarkEnd w:id="153"/>
      <w:bookmarkEnd w:id="154"/>
      <w:bookmarkEnd w:id="155"/>
      <w:bookmarkEnd w:id="156"/>
      <w:bookmarkEnd w:id="157"/>
      <w:bookmarkEnd w:id="158"/>
      <w:bookmarkEnd w:id="15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（二）比选有效期：响应文件及有关承诺文件有效期为提交响应文件截止时间起90天。</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4.总价金额与按单价汇总金额不一致的，以单价金额计算结果为准。</w:t>
      </w:r>
    </w:p>
    <w:p>
      <w:pPr>
        <w:widowControl/>
        <w:ind w:firstLine="480" w:firstLineChars="200"/>
        <w:jc w:val="left"/>
      </w:pPr>
      <w:r>
        <w:rPr>
          <w:rFonts w:hint="eastAsia" w:ascii="方正仿宋_GBK" w:hAnsi="宋体" w:eastAsia="方正仿宋_GBK"/>
          <w:sz w:val="24"/>
          <w:szCs w:val="24"/>
        </w:rPr>
        <w:t>比选小组</w:t>
      </w:r>
      <w:r>
        <w:rPr>
          <w:rFonts w:hint="eastAsia" w:ascii="方正仿宋_GBK" w:hAnsi="宋体" w:eastAsia="方正仿宋_GBK"/>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1.响应文件一式六份，其中正本一份，副本五份，电子文档（正本PDF版）一份；副本可为正本的复印件，应与正本一致，如出现不一致情况以正本为准。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响应文件按公开比选采购文件“第七篇响应文件编制要求”要求签署或盖章。</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（五）响应文件的递交</w:t>
      </w:r>
    </w:p>
    <w:p>
      <w:pPr>
        <w:pStyle w:val="31"/>
        <w:spacing w:line="400" w:lineRule="exact"/>
        <w:ind w:firstLine="480" w:firstLineChars="200"/>
        <w:rPr>
          <w:rFonts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rPr>
        <w:t>比选</w:t>
      </w:r>
      <w:r>
        <w:rPr>
          <w:rFonts w:hint="eastAsia" w:ascii="方正仿宋_GBK" w:hAnsi="宋体" w:eastAsia="方正仿宋_GBK"/>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（六）投标人参与人员</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ascii="方正仿宋_GBK" w:hAnsi="宋体" w:eastAsia="方正仿宋_GBK"/>
          <w:sz w:val="24"/>
        </w:rPr>
      </w:pPr>
      <w:bookmarkStart w:id="160" w:name="_Toc6435"/>
      <w:bookmarkStart w:id="161" w:name="_Toc76462341"/>
      <w:bookmarkStart w:id="162" w:name="_Toc106030896"/>
      <w:bookmarkStart w:id="163" w:name="_Toc32166"/>
      <w:r>
        <w:rPr>
          <w:rFonts w:hint="eastAsia" w:ascii="方正仿宋_GBK" w:hAnsi="宋体" w:eastAsia="方正仿宋_GBK"/>
          <w:sz w:val="24"/>
        </w:rPr>
        <w:t>四、成交供应商的确认和变更</w:t>
      </w:r>
      <w:bookmarkEnd w:id="160"/>
      <w:bookmarkEnd w:id="161"/>
      <w:bookmarkEnd w:id="162"/>
      <w:bookmarkEnd w:id="163"/>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（一）成交供应商的确认</w:t>
      </w:r>
    </w:p>
    <w:p>
      <w:pPr>
        <w:snapToGrid w:val="0"/>
        <w:spacing w:line="400" w:lineRule="exact"/>
        <w:ind w:firstLine="480" w:firstLineChars="200"/>
        <w:rPr>
          <w:rFonts w:ascii="方正仿宋_GBK" w:hAnsi="宋体" w:eastAsia="方正仿宋_GBK"/>
          <w:sz w:val="24"/>
          <w:szCs w:val="24"/>
        </w:rPr>
      </w:pPr>
      <w:r>
        <w:rPr>
          <w:rFonts w:ascii="方正仿宋_GBK" w:hAnsi="宋体" w:eastAsia="方正仿宋_GBK"/>
          <w:sz w:val="24"/>
          <w:szCs w:val="24"/>
        </w:rPr>
        <w:t>采购人</w:t>
      </w:r>
      <w:r>
        <w:rPr>
          <w:rFonts w:hint="eastAsia" w:ascii="方正仿宋_GBK" w:hAnsi="宋体" w:eastAsia="方正仿宋_GBK"/>
          <w:sz w:val="24"/>
          <w:szCs w:val="24"/>
        </w:rPr>
        <w:t>从评审报告提出的成交候选投标人中，按照排序由高到低的原则确定成交供应商。</w:t>
      </w:r>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（二）成交供应商的变更</w:t>
      </w:r>
    </w:p>
    <w:p>
      <w:pPr>
        <w:snapToGrid w:val="0"/>
        <w:spacing w:line="400" w:lineRule="exact"/>
        <w:ind w:firstLine="480" w:firstLineChars="200"/>
        <w:rPr>
          <w:rFonts w:ascii="方正仿宋_GBK" w:hAnsi="宋体" w:eastAsia="方正仿宋_GBK"/>
          <w:color w:val="FF0000"/>
          <w:sz w:val="24"/>
          <w:szCs w:val="24"/>
        </w:rPr>
      </w:pPr>
      <w:r>
        <w:rPr>
          <w:rFonts w:hint="eastAsia" w:ascii="方正仿宋_GBK" w:eastAsia="方正仿宋_GBK"/>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ascii="方正仿宋_GBK" w:hAnsi="宋体" w:eastAsia="方正仿宋_GBK"/>
          <w:sz w:val="24"/>
        </w:rPr>
      </w:pPr>
      <w:bookmarkStart w:id="164" w:name="_Toc102227321"/>
      <w:bookmarkStart w:id="165" w:name="_Toc21532"/>
      <w:bookmarkStart w:id="166" w:name="_Toc106030897"/>
      <w:bookmarkStart w:id="167" w:name="_Toc342913395"/>
      <w:bookmarkStart w:id="168" w:name="_Toc2729"/>
      <w:bookmarkStart w:id="169" w:name="_Toc76462342"/>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（一）成交供应商确定后，招标办将在重庆医科大学附属儿童医院电子招投标平台（zbb.chcmu.com）上发布成交结果公告，结果公告发出同时，招标办公室将平台内发出《中标通知书》。</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（二）《中标通知书》将作为签订合同的依据。</w:t>
      </w:r>
    </w:p>
    <w:p>
      <w:pPr>
        <w:pStyle w:val="4"/>
        <w:adjustRightInd w:val="0"/>
        <w:snapToGrid w:val="0"/>
        <w:spacing w:before="0" w:after="0" w:line="400" w:lineRule="exact"/>
        <w:ind w:firstLine="480" w:firstLineChars="200"/>
        <w:rPr>
          <w:rFonts w:ascii="方正仿宋_GBK" w:hAnsi="宋体" w:eastAsia="方正仿宋_GBK"/>
          <w:sz w:val="24"/>
        </w:rPr>
      </w:pPr>
      <w:bookmarkStart w:id="170" w:name="_Toc106030898"/>
      <w:bookmarkStart w:id="171" w:name="_Toc21448"/>
      <w:bookmarkStart w:id="172" w:name="_Toc76462343"/>
      <w:bookmarkStart w:id="173" w:name="_Toc4796"/>
      <w:r>
        <w:rPr>
          <w:rFonts w:hint="eastAsia" w:ascii="方正仿宋_GBK" w:hAnsi="宋体" w:eastAsia="方正仿宋_GBK"/>
          <w:sz w:val="24"/>
        </w:rPr>
        <w:t>六、质疑处理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提出质疑的应当是参与所质疑项目采购活动的投标人。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（一）质疑时限、内容</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1.质疑时限</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1.1对采购文件的质疑。</w:t>
      </w:r>
      <w:r>
        <w:rPr>
          <w:rFonts w:hint="eastAsia" w:ascii="方正仿宋_GBK" w:hAnsi="宋体" w:eastAsia="方正仿宋_GBK"/>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2.投标人提出质疑应当提交质疑函和必要的证明材料，质疑函应当包括下列内容：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2.1投标人的姓名或者名称、地址、邮编、联系人及联系电话；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2.8法定代表人授权委托书原件、法定代表人身份证复印件和其授权代表的身份证复印件（投标人为自然人的提供自然人身份证复印件）；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（二）质疑答复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采购人应当在收到投标人的书面质疑后7个工作日内作出答复，并以书面形式通知质疑投标人和其他有关投标人。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（三）投标人应在质疑期内一次性提出针对同一采购程序环节的质疑。</w:t>
      </w:r>
      <w:bookmarkStart w:id="174" w:name="_Toc106030899"/>
      <w:bookmarkStart w:id="175" w:name="_Toc28334"/>
      <w:bookmarkStart w:id="176" w:name="_Toc76462344"/>
    </w:p>
    <w:p>
      <w:pPr>
        <w:pStyle w:val="4"/>
        <w:numPr>
          <w:ilvl w:val="255"/>
          <w:numId w:val="0"/>
        </w:numPr>
        <w:adjustRightInd w:val="0"/>
        <w:snapToGrid w:val="0"/>
        <w:spacing w:before="0" w:after="0" w:line="400" w:lineRule="exact"/>
        <w:ind w:firstLine="480" w:firstLineChars="200"/>
        <w:rPr>
          <w:rFonts w:ascii="方正仿宋_GBK" w:hAnsi="宋体" w:eastAsia="方正仿宋_GBK"/>
          <w:sz w:val="24"/>
        </w:rPr>
      </w:pPr>
      <w:bookmarkStart w:id="177" w:name="_Toc23896"/>
      <w:r>
        <w:rPr>
          <w:rFonts w:hint="eastAsia" w:ascii="方正仿宋_GBK" w:hAnsi="宋体" w:eastAsia="方正仿宋_GBK"/>
          <w:sz w:val="24"/>
        </w:rPr>
        <w:t>七、</w:t>
      </w:r>
      <w:bookmarkEnd w:id="174"/>
      <w:bookmarkEnd w:id="175"/>
      <w:bookmarkEnd w:id="176"/>
      <w:bookmarkStart w:id="178" w:name="_Toc102227322"/>
      <w:bookmarkStart w:id="179" w:name="_Toc3372"/>
      <w:bookmarkStart w:id="180" w:name="_Toc106030901"/>
      <w:bookmarkStart w:id="181" w:name="_Toc342913396"/>
      <w:bookmarkStart w:id="182" w:name="_Toc76462346"/>
      <w:bookmarkStart w:id="183" w:name="_Toc11641055"/>
      <w:bookmarkStart w:id="184" w:name="_Toc12789059"/>
      <w:r>
        <w:rPr>
          <w:rFonts w:hint="eastAsia" w:ascii="方正仿宋_GBK" w:hAnsi="宋体" w:eastAsia="方正仿宋_GBK"/>
          <w:sz w:val="24"/>
        </w:rPr>
        <w:t>签订</w:t>
      </w:r>
      <w:bookmarkEnd w:id="178"/>
      <w:r>
        <w:rPr>
          <w:rFonts w:hint="eastAsia" w:ascii="方正仿宋_GBK" w:hAnsi="宋体" w:eastAsia="方正仿宋_GBK"/>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（一）中标人应于收到中标通知书之日起5个工作日内，按照中标项目的公开比选采购文件与响应文件递交采购合同。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（四）中标人应当按照合同约定履行义务，完成中标项目，不得将中标项目转让(转包)或分包给他人。</w:t>
      </w:r>
      <w:bookmarkEnd w:id="183"/>
      <w:bookmarkEnd w:id="184"/>
    </w:p>
    <w:p>
      <w:pPr>
        <w:pStyle w:val="4"/>
        <w:spacing w:before="200" w:after="200" w:line="240" w:lineRule="auto"/>
        <w:jc w:val="center"/>
        <w:rPr>
          <w:rFonts w:ascii="方正仿宋_GBK" w:hAnsi="Times New Roman" w:eastAsia="方正仿宋_GBK"/>
          <w:sz w:val="44"/>
        </w:rPr>
      </w:pPr>
      <w:bookmarkStart w:id="185" w:name="_Hlt41879464"/>
      <w:bookmarkEnd w:id="185"/>
      <w:bookmarkStart w:id="186" w:name="_Toc106030905"/>
      <w:bookmarkStart w:id="187" w:name="_Toc76462349"/>
      <w:bookmarkStart w:id="188" w:name="_Toc17526"/>
      <w:bookmarkStart w:id="189" w:name="_Toc27984"/>
      <w:r>
        <w:rPr>
          <w:rFonts w:hint="eastAsia" w:ascii="方正仿宋_GBK" w:hAnsi="Times New Roman" w:eastAsia="方正仿宋_GBK"/>
          <w:sz w:val="44"/>
        </w:rPr>
        <w:t>第六篇  响应文件编制要求</w:t>
      </w:r>
      <w:bookmarkEnd w:id="186"/>
      <w:bookmarkEnd w:id="187"/>
      <w:bookmarkEnd w:id="188"/>
      <w:bookmarkEnd w:id="18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（一）开标一览表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（四）投标函（格式）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（六）特定资格条件证书或证明文件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ascii="方正黑体_GBK" w:hAnsi="宋体" w:eastAsia="方正黑体_GBK"/>
          <w:sz w:val="24"/>
          <w:szCs w:val="24"/>
        </w:rPr>
      </w:pPr>
      <w:bookmarkStart w:id="190" w:name="_Toc106030906"/>
      <w:bookmarkStart w:id="191" w:name="_Toc313888360"/>
      <w:bookmarkStart w:id="192" w:name="_Toc313008356"/>
      <w:bookmarkStart w:id="193" w:name="_Toc342913419"/>
      <w:bookmarkStart w:id="194" w:name="_Toc15994"/>
      <w:bookmarkStart w:id="195" w:name="_Toc76462350"/>
      <w:bookmarkStart w:id="196" w:name="_Toc12789073"/>
      <w:bookmarkStart w:id="197" w:name="_Toc283382454"/>
      <w:r>
        <w:rPr>
          <w:rFonts w:hint="eastAsia" w:ascii="方正黑体_GBK" w:hAnsi="宋体" w:eastAsia="方正黑体_GBK"/>
          <w:sz w:val="24"/>
          <w:szCs w:val="24"/>
        </w:rPr>
        <w:t>封面</w:t>
      </w:r>
    </w:p>
    <w:p>
      <w:pPr>
        <w:spacing w:line="1600" w:lineRule="exact"/>
        <w:jc w:val="center"/>
        <w:outlineLvl w:val="0"/>
        <w:rPr>
          <w:rFonts w:ascii="方正黑体_GBK" w:hAnsi="宋体" w:eastAsia="方正黑体_GBK"/>
          <w:sz w:val="130"/>
          <w:szCs w:val="130"/>
        </w:rPr>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公开比选采购</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响应文件</w:t>
      </w:r>
    </w:p>
    <w:p>
      <w:pPr>
        <w:spacing w:line="600" w:lineRule="exact"/>
        <w:jc w:val="center"/>
        <w:outlineLvl w:val="0"/>
        <w:rPr>
          <w:rFonts w:ascii="方正黑体_GBK" w:hAnsi="宋体" w:eastAsia="方正黑体_GBK"/>
          <w:sz w:val="44"/>
          <w:szCs w:val="44"/>
        </w:rPr>
      </w:pPr>
      <w:r>
        <w:rPr>
          <w:rFonts w:hint="eastAsia" w:ascii="方正黑体_GBK" w:hAnsi="宋体" w:eastAsia="方正黑体_GBK"/>
          <w:sz w:val="44"/>
          <w:szCs w:val="44"/>
        </w:rPr>
        <w:t>（正本/副本）</w:t>
      </w:r>
    </w:p>
    <w:p>
      <w:pPr>
        <w:spacing w:line="700" w:lineRule="exact"/>
        <w:rPr>
          <w:rFonts w:ascii="方正黑体_GBK" w:eastAsia="方正黑体_GBK"/>
          <w:spacing w:val="80"/>
          <w:sz w:val="130"/>
          <w:szCs w:val="130"/>
        </w:rPr>
      </w:pPr>
    </w:p>
    <w:p>
      <w:pPr>
        <w:spacing w:line="700" w:lineRule="exact"/>
        <w:jc w:val="center"/>
        <w:rPr>
          <w:rFonts w:ascii="方正黑体_GBK" w:eastAsia="方正黑体_GBK"/>
          <w:spacing w:val="80"/>
          <w:sz w:val="130"/>
          <w:szCs w:val="130"/>
        </w:rPr>
      </w:pP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u w:val="single"/>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投标人名称：</w:t>
      </w:r>
      <w:r>
        <w:rPr>
          <w:rFonts w:hint="eastAsia" w:ascii="方正小标宋_GBK" w:hAnsi="宋体" w:eastAsia="方正小标宋_GBK"/>
          <w:sz w:val="36"/>
          <w:szCs w:val="36"/>
          <w:u w:val="single"/>
        </w:rPr>
        <w:t xml:space="preserve">                         </w:t>
      </w:r>
    </w:p>
    <w:p>
      <w:pPr>
        <w:spacing w:line="360" w:lineRule="auto"/>
        <w:ind w:firstLine="1120" w:firstLineChars="400"/>
        <w:outlineLvl w:val="0"/>
        <w:rPr>
          <w:rFonts w:ascii="方正小标宋_GBK" w:hAnsi="宋体" w:eastAsia="方正小标宋_GBK"/>
          <w:sz w:val="36"/>
          <w:szCs w:val="36"/>
          <w:u w:val="single"/>
        </w:rPr>
      </w:pPr>
      <w:r>
        <w:rPr>
          <w:rFonts w:hint="eastAsia" w:ascii="方正小标宋_GBK" w:hAnsi="宋体" w:eastAsia="方正小标宋_GBK"/>
          <w:szCs w:val="28"/>
        </w:rPr>
        <w:t xml:space="preserve">投标人法定代表人（或授权代理人）： </w:t>
      </w:r>
      <w:r>
        <w:rPr>
          <w:rFonts w:hint="eastAsia" w:ascii="方正小标宋_GBK" w:hAnsi="宋体" w:eastAsia="方正小标宋_GBK"/>
          <w:szCs w:val="28"/>
          <w:u w:val="single"/>
        </w:rPr>
        <w:t xml:space="preserve">         </w:t>
      </w:r>
      <w:r>
        <w:rPr>
          <w:rFonts w:hint="eastAsia" w:ascii="方正小标宋_GBK" w:hAnsi="宋体" w:eastAsia="方正小标宋_GBK"/>
          <w:sz w:val="36"/>
          <w:szCs w:val="36"/>
          <w:u w:val="single"/>
        </w:rPr>
        <w:t xml:space="preserve">   </w:t>
      </w:r>
    </w:p>
    <w:p>
      <w:pPr>
        <w:spacing w:line="360" w:lineRule="auto"/>
        <w:ind w:firstLine="1080" w:firstLineChars="300"/>
        <w:jc w:val="left"/>
        <w:outlineLvl w:val="0"/>
        <w:rPr>
          <w:rFonts w:ascii="方正小标宋_GBK" w:hAnsi="宋体" w:eastAsia="方正小标宋_GBK"/>
          <w:b/>
          <w:sz w:val="36"/>
          <w:szCs w:val="36"/>
        </w:rPr>
      </w:pPr>
      <w:r>
        <w:rPr>
          <w:rFonts w:hint="eastAsia" w:ascii="方正小标宋_GBK" w:hAnsi="宋体" w:eastAsia="方正小标宋_GBK"/>
          <w:sz w:val="36"/>
          <w:szCs w:val="36"/>
        </w:rPr>
        <w:t>联系电话：</w:t>
      </w:r>
      <w:r>
        <w:rPr>
          <w:rFonts w:hint="eastAsia" w:ascii="方正小标宋_GBK" w:hAnsi="宋体" w:eastAsia="方正小标宋_GBK"/>
          <w:sz w:val="36"/>
          <w:szCs w:val="36"/>
          <w:u w:val="single"/>
        </w:rPr>
        <w:t xml:space="preserve">                           </w:t>
      </w:r>
    </w:p>
    <w:p>
      <w:pPr>
        <w:spacing w:line="700" w:lineRule="exact"/>
        <w:ind w:firstLine="1749" w:firstLineChars="486"/>
        <w:rPr>
          <w:rFonts w:ascii="方正小标宋_GBK" w:hAnsi="宋体" w:eastAsia="方正小标宋_GBK"/>
          <w:sz w:val="36"/>
          <w:szCs w:val="36"/>
        </w:rPr>
      </w:pPr>
    </w:p>
    <w:p>
      <w:pPr>
        <w:spacing w:line="700" w:lineRule="exact"/>
        <w:ind w:firstLine="2469" w:firstLineChars="686"/>
        <w:rPr>
          <w:rFonts w:ascii="方正小标宋_GBK" w:hAnsi="宋体" w:eastAsia="方正小标宋_GBK"/>
          <w:sz w:val="36"/>
          <w:szCs w:val="36"/>
        </w:rPr>
      </w:pPr>
      <w:r>
        <w:rPr>
          <w:rFonts w:hint="eastAsia" w:ascii="方正小标宋_GBK" w:hAnsi="宋体" w:eastAsia="方正小标宋_GBK"/>
          <w:sz w:val="36"/>
          <w:szCs w:val="36"/>
        </w:rPr>
        <w:t>重庆医科大学附属儿童医院</w:t>
      </w:r>
    </w:p>
    <w:p>
      <w:pPr>
        <w:jc w:val="center"/>
        <w:outlineLvl w:val="0"/>
        <w:rPr>
          <w:rFonts w:eastAsia="方正小标宋_GBK"/>
          <w:sz w:val="36"/>
          <w:szCs w:val="36"/>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ascii="方正仿宋_GBK" w:hAnsi="宋体" w:eastAsia="方正仿宋_GBK"/>
          <w:sz w:val="24"/>
        </w:rPr>
      </w:pPr>
      <w:bookmarkStart w:id="198" w:name="_Toc11260"/>
      <w:r>
        <w:rPr>
          <w:rFonts w:hint="eastAsia" w:ascii="方正仿宋_GBK" w:hAnsi="宋体" w:eastAsia="方正仿宋_GBK"/>
          <w:sz w:val="24"/>
        </w:rPr>
        <w:t>一、经济部分</w:t>
      </w:r>
      <w:bookmarkEnd w:id="190"/>
      <w:bookmarkEnd w:id="191"/>
      <w:bookmarkEnd w:id="192"/>
      <w:bookmarkEnd w:id="193"/>
      <w:bookmarkEnd w:id="194"/>
      <w:bookmarkEnd w:id="195"/>
      <w:bookmarkEnd w:id="198"/>
    </w:p>
    <w:bookmarkEnd w:id="196"/>
    <w:bookmarkEnd w:id="197"/>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耗材专用报价表</w:t>
      </w:r>
    </w:p>
    <w:p>
      <w:pPr>
        <w:jc w:val="center"/>
        <w:rPr>
          <w:rFonts w:hint="eastAsia" w:ascii="方正仿宋_GBK" w:eastAsia="方正仿宋_GBK"/>
          <w:b/>
          <w:szCs w:val="28"/>
          <w:lang w:eastAsia="zh-CN"/>
        </w:rPr>
      </w:pPr>
      <w:r>
        <w:rPr>
          <w:rFonts w:hint="eastAsia" w:ascii="方正仿宋_GBK" w:eastAsia="方正仿宋_GBK"/>
          <w:b/>
          <w:szCs w:val="28"/>
          <w:lang w:val="en-US" w:eastAsia="zh-CN"/>
        </w:rPr>
        <w:t>耗材专用报价表</w:t>
      </w: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tabs>
          <w:tab w:val="left" w:pos="2895"/>
        </w:tabs>
        <w:spacing w:line="400" w:lineRule="exact"/>
        <w:ind w:firstLine="480" w:firstLineChars="200"/>
        <w:rPr>
          <w:rFonts w:ascii="方正仿宋_GBK" w:hAnsi="宋体" w:eastAsia="方正仿宋_GBK"/>
          <w:sz w:val="24"/>
          <w:szCs w:val="24"/>
        </w:rPr>
      </w:pPr>
    </w:p>
    <w:p>
      <w:pPr>
        <w:rPr>
          <w:rFonts w:ascii="方正仿宋_GBK" w:hAnsi="宋体" w:eastAsia="方正仿宋_GBK"/>
          <w:sz w:val="24"/>
          <w:szCs w:val="24"/>
        </w:rPr>
      </w:pPr>
      <w:r>
        <w:rPr>
          <w:rFonts w:hint="eastAsia" w:ascii="方正仿宋_GBK" w:hAnsi="宋体" w:eastAsia="方正仿宋_GBK"/>
          <w:sz w:val="24"/>
          <w:szCs w:val="24"/>
        </w:rPr>
        <w:br w:type="page"/>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（二）</w:t>
      </w:r>
      <w:bookmarkStart w:id="199" w:name="_Toc76462351"/>
      <w:bookmarkStart w:id="200" w:name="_Toc106030907"/>
      <w:bookmarkStart w:id="201" w:name="_Toc342913420"/>
      <w:bookmarkStart w:id="202" w:name="_Toc18669"/>
      <w:bookmarkStart w:id="203" w:name="_Toc313008357"/>
      <w:bookmarkStart w:id="204" w:name="_Toc313888361"/>
      <w:r>
        <w:rPr>
          <w:rFonts w:hint="eastAsia" w:ascii="方正仿宋_GBK" w:hAnsi="宋体" w:eastAsia="方正仿宋_GBK"/>
          <w:sz w:val="24"/>
          <w:szCs w:val="24"/>
        </w:rPr>
        <w:t>开标现场最终报价表</w:t>
      </w:r>
    </w:p>
    <w:p>
      <w:pPr>
        <w:jc w:val="center"/>
        <w:rPr>
          <w:rFonts w:ascii="方正仿宋_GBK" w:eastAsia="方正仿宋_GBK"/>
          <w:b/>
          <w:szCs w:val="28"/>
        </w:rPr>
      </w:pPr>
      <w:r>
        <w:rPr>
          <w:rFonts w:hint="eastAsia" w:ascii="方正仿宋_GBK" w:eastAsia="方正仿宋_GBK"/>
          <w:b/>
          <w:szCs w:val="28"/>
        </w:rPr>
        <w:t>开标现场最终报价表</w:t>
      </w:r>
    </w:p>
    <w:p>
      <w:pPr>
        <w:tabs>
          <w:tab w:val="left" w:pos="6300"/>
        </w:tabs>
        <w:snapToGrid w:val="0"/>
        <w:spacing w:line="312" w:lineRule="auto"/>
        <w:ind w:firstLine="480" w:firstLineChars="200"/>
        <w:jc w:val="left"/>
        <w:rPr>
          <w:rFonts w:ascii="方正仿宋_GBK" w:hAnsi="宋体" w:eastAsia="方正仿宋_GBK"/>
          <w:sz w:val="24"/>
          <w:szCs w:val="24"/>
        </w:rPr>
      </w:pP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rPr>
          <w:rFonts w:ascii="方正仿宋_GBK" w:hAnsi="宋体" w:eastAsia="方正仿宋_GBK"/>
          <w:sz w:val="24"/>
        </w:rPr>
      </w:pPr>
    </w:p>
    <w:p>
      <w:pPr>
        <w:rPr>
          <w:rFonts w:hint="eastAsia" w:ascii="方正仿宋_GBK" w:hAnsi="宋体" w:eastAsia="方正仿宋_GBK"/>
          <w:b/>
          <w:bCs/>
          <w:color w:val="FF0000"/>
          <w:sz w:val="24"/>
          <w:szCs w:val="24"/>
        </w:rPr>
        <w:sectPr>
          <w:headerReference r:id="rId18" w:type="default"/>
          <w:pgSz w:w="16840" w:h="11907" w:orient="landscape"/>
          <w:pgMar w:top="1304" w:right="1134" w:bottom="1191" w:left="1134" w:header="851" w:footer="992" w:gutter="0"/>
          <w:pgNumType w:fmt="numberInDash"/>
          <w:cols w:space="720" w:num="1"/>
          <w:docGrid w:linePitch="380" w:charSpace="-5735"/>
        </w:sectPr>
      </w:pPr>
      <w:r>
        <w:rPr>
          <w:rFonts w:hint="eastAsia" w:ascii="方正仿宋_GBK" w:hAnsi="宋体" w:eastAsia="方正仿宋_GBK"/>
          <w:b/>
          <w:bCs/>
          <w:color w:val="FF0000"/>
          <w:sz w:val="24"/>
          <w:szCs w:val="24"/>
        </w:rPr>
        <w:t>注：该表投标报价部分于现场填写并提交，其余部分应提前填写并盖章确认。</w:t>
      </w:r>
    </w:p>
    <w:p>
      <w:pPr>
        <w:rPr>
          <w:rFonts w:ascii="方正仿宋_GBK" w:hAnsi="宋体" w:eastAsia="方正仿宋_GBK"/>
          <w:sz w:val="24"/>
        </w:rPr>
      </w:pPr>
    </w:p>
    <w:p>
      <w:pPr>
        <w:pStyle w:val="4"/>
        <w:adjustRightInd w:val="0"/>
        <w:snapToGrid w:val="0"/>
        <w:spacing w:before="0" w:after="0" w:line="400" w:lineRule="exact"/>
        <w:ind w:firstLine="480" w:firstLineChars="200"/>
        <w:rPr>
          <w:rFonts w:ascii="方正仿宋_GBK" w:hAnsi="宋体" w:eastAsia="方正仿宋_GBK"/>
          <w:sz w:val="24"/>
        </w:rPr>
      </w:pPr>
      <w:bookmarkStart w:id="205" w:name="_Toc2495"/>
      <w:r>
        <w:rPr>
          <w:rFonts w:hint="eastAsia" w:ascii="方正仿宋_GBK" w:hAnsi="宋体" w:eastAsia="方正仿宋_GBK"/>
          <w:sz w:val="24"/>
        </w:rPr>
        <w:t>二、技术部分</w:t>
      </w:r>
      <w:bookmarkEnd w:id="199"/>
      <w:bookmarkEnd w:id="200"/>
      <w:bookmarkEnd w:id="201"/>
      <w:bookmarkEnd w:id="202"/>
      <w:bookmarkEnd w:id="203"/>
      <w:bookmarkEnd w:id="204"/>
      <w:bookmarkEnd w:id="205"/>
    </w:p>
    <w:p>
      <w:pPr>
        <w:tabs>
          <w:tab w:val="left" w:pos="6300"/>
        </w:tabs>
        <w:snapToGrid w:val="0"/>
        <w:spacing w:line="400" w:lineRule="exact"/>
        <w:ind w:firstLine="480" w:firstLineChars="200"/>
        <w:rPr>
          <w:rFonts w:ascii="方正仿宋_GBK" w:hAnsi="宋体" w:eastAsia="方正仿宋_GBK"/>
          <w:szCs w:val="24"/>
        </w:rPr>
      </w:pPr>
      <w:r>
        <w:rPr>
          <w:rFonts w:hint="eastAsia" w:ascii="方正仿宋_GBK" w:hAnsi="宋体" w:eastAsia="方正仿宋_GBK"/>
          <w:sz w:val="24"/>
          <w:szCs w:val="24"/>
        </w:rPr>
        <w:t>（一）技术响应偏离表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序号</w:t>
            </w: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采购需求</w:t>
            </w: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响应情况</w:t>
            </w: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outlineLvl w:val="0"/>
              <w:rPr>
                <w:rFonts w:ascii="方正仿宋_GBK" w:hAnsi="宋体" w:eastAsia="方正仿宋_GBK"/>
                <w:sz w:val="21"/>
                <w:szCs w:val="21"/>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w:t>
            </w:r>
            <w:r>
              <w:rPr>
                <w:rFonts w:hint="eastAsia" w:ascii="方正仿宋_GBK" w:hAnsi="仿宋" w:eastAsia="方正仿宋_GBK"/>
                <w:sz w:val="21"/>
                <w:szCs w:val="21"/>
              </w:rPr>
              <w:t>技术参数</w:t>
            </w:r>
            <w:r>
              <w:rPr>
                <w:rFonts w:ascii="方正仿宋_GBK" w:hAnsi="仿宋" w:eastAsia="方正仿宋_GBK"/>
                <w:sz w:val="21"/>
                <w:szCs w:val="21"/>
              </w:rPr>
              <w:t>或具体内容以及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技术参数</w:t>
            </w:r>
            <w:r>
              <w:rPr>
                <w:rFonts w:ascii="方正仿宋_GBK" w:hAnsi="仿宋" w:eastAsia="方正仿宋_GBK"/>
                <w:sz w:val="21"/>
                <w:szCs w:val="21"/>
              </w:rPr>
              <w:t>或</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bl>
    <w:p>
      <w:pPr>
        <w:spacing w:line="500" w:lineRule="exact"/>
        <w:ind w:firstLine="600" w:firstLineChars="250"/>
        <w:rPr>
          <w:rFonts w:ascii="方正仿宋_GBK" w:hAnsi="宋体" w:eastAsia="方正仿宋_GBK"/>
          <w:sz w:val="24"/>
          <w:szCs w:val="28"/>
        </w:rPr>
      </w:pPr>
      <w:r>
        <w:rPr>
          <w:rFonts w:hint="eastAsia" w:ascii="方正仿宋_GBK" w:hAnsi="宋体" w:eastAsia="方正仿宋_GBK"/>
          <w:sz w:val="24"/>
          <w:szCs w:val="28"/>
        </w:rPr>
        <w:t xml:space="preserve">投标人：                            </w:t>
      </w:r>
      <w:r>
        <w:rPr>
          <w:rFonts w:hint="eastAsia" w:ascii="方正仿宋_GBK" w:hAnsi="宋体" w:eastAsia="方正仿宋_GBK"/>
          <w:sz w:val="24"/>
          <w:szCs w:val="24"/>
        </w:rPr>
        <w:t>法定代表人（或其授权代表）或自然人：</w:t>
      </w:r>
    </w:p>
    <w:p>
      <w:pPr>
        <w:spacing w:line="500" w:lineRule="exact"/>
        <w:rPr>
          <w:rFonts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ascii="方正仿宋_GBK" w:hAnsi="宋体" w:eastAsia="方正仿宋_GBK"/>
          <w:sz w:val="24"/>
          <w:szCs w:val="28"/>
        </w:rPr>
      </w:pPr>
      <w:r>
        <w:rPr>
          <w:rFonts w:hint="eastAsia" w:ascii="方正仿宋_GBK" w:hAnsi="宋体" w:eastAsia="方正仿宋_GBK"/>
          <w:sz w:val="24"/>
          <w:szCs w:val="28"/>
        </w:rPr>
        <w:t>（投标人公章）                               （签署或盖章）</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项目技术（质量）需求”中所列条款进行比较和响应；</w:t>
      </w:r>
    </w:p>
    <w:p>
      <w:pPr>
        <w:snapToGrid w:val="0"/>
        <w:spacing w:line="400" w:lineRule="exact"/>
        <w:ind w:firstLine="480" w:firstLineChars="200"/>
        <w:jc w:val="left"/>
        <w:rPr>
          <w:rFonts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ascii="方正仿宋_GBK" w:hAnsi="宋体" w:eastAsia="方正仿宋_GBK"/>
          <w:sz w:val="24"/>
        </w:rPr>
      </w:pPr>
      <w:r>
        <w:rPr>
          <w:rFonts w:ascii="方正仿宋_GBK" w:eastAsia="方正仿宋_GBK"/>
          <w:b w:val="0"/>
        </w:rPr>
        <w:br w:type="page"/>
      </w:r>
      <w:bookmarkStart w:id="206" w:name="_Toc106030908"/>
      <w:bookmarkStart w:id="207" w:name="_Toc30639"/>
      <w:bookmarkStart w:id="208" w:name="_Toc313008358"/>
      <w:bookmarkStart w:id="209" w:name="_Toc342913421"/>
      <w:bookmarkStart w:id="210" w:name="_Toc12962"/>
      <w:bookmarkStart w:id="211" w:name="_Toc313888362"/>
      <w:bookmarkStart w:id="212" w:name="_Toc76462352"/>
      <w:r>
        <w:rPr>
          <w:rFonts w:hint="eastAsia" w:ascii="方正仿宋_GBK" w:hAnsi="宋体" w:eastAsia="方正仿宋_GBK"/>
          <w:sz w:val="24"/>
        </w:rPr>
        <w:t>三、商务部分</w:t>
      </w:r>
      <w:bookmarkEnd w:id="206"/>
      <w:bookmarkEnd w:id="207"/>
      <w:bookmarkEnd w:id="208"/>
      <w:bookmarkEnd w:id="209"/>
      <w:bookmarkEnd w:id="210"/>
      <w:bookmarkEnd w:id="211"/>
      <w:bookmarkEnd w:id="212"/>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ascii="方正仿宋_GBK" w:hAnsi="宋体" w:eastAsia="方正仿宋_GBK"/>
                <w:sz w:val="21"/>
                <w:szCs w:val="24"/>
              </w:rPr>
            </w:pPr>
            <w:r>
              <w:rPr>
                <w:rFonts w:hint="eastAsia" w:ascii="方正仿宋_GBK" w:hAnsi="宋体" w:eastAsia="方正仿宋_GBK"/>
                <w:sz w:val="21"/>
                <w:szCs w:val="24"/>
              </w:rPr>
              <w:t>序号</w:t>
            </w: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响应情况</w:t>
            </w: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outlineLvl w:val="0"/>
              <w:rPr>
                <w:rFonts w:ascii="方正仿宋_GBK" w:hAnsi="宋体" w:eastAsia="方正仿宋_GBK"/>
                <w:sz w:val="21"/>
                <w:szCs w:val="24"/>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bl>
    <w:p>
      <w:pPr>
        <w:snapToGrid w:val="0"/>
        <w:spacing w:line="360" w:lineRule="auto"/>
        <w:ind w:firstLine="465"/>
        <w:rPr>
          <w:rFonts w:ascii="方正仿宋_GBK" w:hAnsi="宋体" w:eastAsia="方正仿宋_GBK"/>
          <w:sz w:val="24"/>
          <w:szCs w:val="24"/>
        </w:rPr>
      </w:pPr>
    </w:p>
    <w:p>
      <w:pPr>
        <w:spacing w:line="500" w:lineRule="exact"/>
        <w:ind w:firstLine="600" w:firstLineChars="250"/>
        <w:rPr>
          <w:rFonts w:ascii="方正仿宋_GBK" w:hAnsi="宋体" w:eastAsia="方正仿宋_GBK"/>
          <w:sz w:val="24"/>
          <w:szCs w:val="28"/>
        </w:rPr>
      </w:pPr>
      <w:r>
        <w:rPr>
          <w:rFonts w:hint="eastAsia" w:ascii="方正仿宋_GBK" w:hAnsi="宋体" w:eastAsia="方正仿宋_GBK"/>
          <w:sz w:val="24"/>
          <w:szCs w:val="28"/>
        </w:rPr>
        <w:t xml:space="preserve">投标人：                          </w:t>
      </w:r>
      <w:r>
        <w:rPr>
          <w:rFonts w:hint="eastAsia" w:ascii="方正仿宋_GBK" w:hAnsi="宋体" w:eastAsia="方正仿宋_GBK"/>
          <w:sz w:val="24"/>
          <w:szCs w:val="24"/>
        </w:rPr>
        <w:t>法定代表人（或其授权代表）或自然人：</w:t>
      </w:r>
    </w:p>
    <w:p>
      <w:pPr>
        <w:spacing w:line="500" w:lineRule="exact"/>
        <w:rPr>
          <w:rFonts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ascii="方正仿宋_GBK" w:hAnsi="宋体" w:eastAsia="方正仿宋_GBK"/>
          <w:sz w:val="24"/>
          <w:szCs w:val="28"/>
        </w:rPr>
      </w:pPr>
      <w:r>
        <w:rPr>
          <w:rFonts w:hint="eastAsia" w:ascii="方正仿宋_GBK" w:hAnsi="宋体" w:eastAsia="方正仿宋_GBK"/>
          <w:sz w:val="24"/>
          <w:szCs w:val="28"/>
        </w:rPr>
        <w:t>（投标人公章）                                 （签署或盖章）</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ascii="方正仿宋_GBK" w:hAnsi="宋体" w:eastAsia="方正仿宋_GBK"/>
          <w:sz w:val="24"/>
          <w:szCs w:val="24"/>
        </w:rPr>
      </w:pPr>
      <w:bookmarkStart w:id="213"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ascii="方正仿宋_GBK" w:hAnsi="宋体" w:eastAsia="方正仿宋_GBK"/>
          <w:sz w:val="24"/>
          <w:szCs w:val="24"/>
        </w:rPr>
      </w:pPr>
    </w:p>
    <w:p>
      <w:pPr>
        <w:pStyle w:val="4"/>
        <w:adjustRightInd w:val="0"/>
        <w:snapToGrid w:val="0"/>
        <w:spacing w:before="0" w:after="0" w:line="400" w:lineRule="exact"/>
        <w:ind w:firstLine="480" w:firstLineChars="200"/>
        <w:rPr>
          <w:rFonts w:ascii="方正仿宋_GBK" w:hAnsi="宋体" w:eastAsia="方正仿宋_GBK"/>
          <w:sz w:val="24"/>
        </w:rPr>
      </w:pPr>
      <w:r>
        <w:rPr>
          <w:rFonts w:ascii="方正仿宋_GBK" w:hAnsi="宋体" w:eastAsia="方正仿宋_GBK"/>
          <w:sz w:val="24"/>
          <w:szCs w:val="24"/>
        </w:rPr>
        <w:br w:type="page"/>
      </w:r>
      <w:bookmarkEnd w:id="213"/>
      <w:bookmarkStart w:id="214" w:name="_Toc13280"/>
      <w:bookmarkStart w:id="215" w:name="_Toc26948"/>
      <w:bookmarkStart w:id="216" w:name="_Toc106030909"/>
      <w:bookmarkStart w:id="217" w:name="_Toc313008359"/>
      <w:bookmarkStart w:id="218" w:name="_Toc313888363"/>
      <w:bookmarkStart w:id="219" w:name="_Toc76462353"/>
      <w:bookmarkStart w:id="220" w:name="_Toc342913422"/>
      <w:r>
        <w:rPr>
          <w:rFonts w:hint="eastAsia" w:ascii="方正仿宋_GBK" w:hAnsi="宋体" w:eastAsia="方正仿宋_GBK"/>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snapToGrid w:val="0"/>
        <w:spacing w:line="400" w:lineRule="exact"/>
        <w:ind w:firstLine="560" w:firstLineChars="200"/>
        <w:rPr>
          <w:rFonts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rPr>
          <w:rFonts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（投标人名称）任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（职务名称）职务，是（投标人名称）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（投标人公章）</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snapToGrid w:val="0"/>
        <w:spacing w:line="400" w:lineRule="exact"/>
        <w:ind w:firstLine="560" w:firstLineChars="200"/>
        <w:rPr>
          <w:rFonts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rPr>
          <w:rFonts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（投标人法定代表人名称）是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（投标人名称）的法定代表人，特授权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被授权人：                                 投标人法定代表人：</w:t>
      </w:r>
    </w:p>
    <w:p>
      <w:pPr>
        <w:tabs>
          <w:tab w:val="left" w:pos="6300"/>
        </w:tabs>
        <w:snapToGrid w:val="0"/>
        <w:spacing w:line="500" w:lineRule="exact"/>
        <w:ind w:firstLine="570"/>
        <w:rPr>
          <w:rFonts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ascii="方正仿宋_GBK" w:hAnsi="宋体" w:eastAsia="方正仿宋_GBK"/>
          <w:sz w:val="24"/>
          <w:szCs w:val="28"/>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right="480" w:firstLine="570"/>
        <w:jc w:val="right"/>
        <w:rPr>
          <w:rFonts w:ascii="方正仿宋_GBK" w:hAnsi="宋体" w:eastAsia="方正仿宋_GBK"/>
          <w:sz w:val="24"/>
        </w:rPr>
      </w:pPr>
      <w:r>
        <w:rPr>
          <w:rFonts w:hint="eastAsia" w:ascii="方正仿宋_GBK" w:hAnsi="宋体" w:eastAsia="方正仿宋_GBK"/>
          <w:sz w:val="24"/>
        </w:rPr>
        <w:t>（投标人公章）</w:t>
      </w:r>
    </w:p>
    <w:p>
      <w:pPr>
        <w:tabs>
          <w:tab w:val="left" w:pos="6300"/>
        </w:tabs>
        <w:snapToGrid w:val="0"/>
        <w:spacing w:line="500" w:lineRule="exact"/>
        <w:ind w:right="480" w:firstLine="570"/>
        <w:jc w:val="right"/>
        <w:rPr>
          <w:rFonts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ascii="方正仿宋_GBK" w:hAnsi="宋体" w:eastAsia="方正仿宋_GBK"/>
          <w:sz w:val="24"/>
          <w:szCs w:val="24"/>
        </w:rPr>
      </w:pPr>
      <w:r>
        <w:rPr>
          <w:rFonts w:ascii="宋体" w:hAnsi="宋体"/>
        </w:rPr>
        <w:br w:type="column"/>
      </w:r>
      <w:r>
        <w:rPr>
          <w:rFonts w:hint="eastAsia" w:ascii="方正仿宋_GBK" w:hAnsi="宋体" w:eastAsia="方正仿宋_GBK"/>
          <w:sz w:val="24"/>
          <w:szCs w:val="24"/>
        </w:rPr>
        <w:t>（四）投标函（格式）</w:t>
      </w:r>
    </w:p>
    <w:p>
      <w:pPr>
        <w:tabs>
          <w:tab w:val="left" w:pos="6300"/>
        </w:tabs>
        <w:snapToGrid w:val="0"/>
        <w:spacing w:line="600" w:lineRule="atLeast"/>
        <w:ind w:firstLine="555"/>
        <w:jc w:val="center"/>
        <w:rPr>
          <w:rFonts w:ascii="方正仿宋_GBK" w:eastAsia="方正仿宋_GBK"/>
          <w:b/>
          <w:bCs/>
          <w:sz w:val="30"/>
          <w:szCs w:val="30"/>
        </w:rPr>
      </w:pPr>
      <w:r>
        <w:rPr>
          <w:rFonts w:hint="eastAsia" w:ascii="方正仿宋_GBK" w:eastAsia="方正仿宋_GBK"/>
          <w:b/>
          <w:bCs/>
          <w:sz w:val="30"/>
          <w:szCs w:val="30"/>
        </w:rPr>
        <w:t>投标函</w:t>
      </w:r>
    </w:p>
    <w:p>
      <w:pPr>
        <w:tabs>
          <w:tab w:val="left" w:pos="6300"/>
        </w:tabs>
        <w:snapToGrid w:val="0"/>
        <w:spacing w:line="600" w:lineRule="atLeast"/>
        <w:ind w:firstLine="555"/>
        <w:rPr>
          <w:rFonts w:ascii="方正仿宋_GBK" w:eastAsia="方正仿宋_GBK"/>
          <w:sz w:val="24"/>
          <w:szCs w:val="24"/>
        </w:rPr>
      </w:pPr>
    </w:p>
    <w:p>
      <w:pPr>
        <w:tabs>
          <w:tab w:val="left" w:pos="6300"/>
        </w:tabs>
        <w:snapToGrid w:val="0"/>
        <w:spacing w:line="276" w:lineRule="auto"/>
        <w:ind w:firstLine="556"/>
        <w:rPr>
          <w:rFonts w:ascii="方正仿宋_GBK" w:eastAsia="方正仿宋_GBK"/>
          <w:sz w:val="24"/>
          <w:szCs w:val="24"/>
        </w:rPr>
      </w:pPr>
      <w:r>
        <w:rPr>
          <w:rFonts w:hint="eastAsia" w:ascii="方正仿宋_GBK" w:eastAsia="方正仿宋_GBK"/>
          <w:sz w:val="24"/>
          <w:szCs w:val="24"/>
        </w:rPr>
        <w:t>致：  重庆医科大学附属儿童医院  ：</w:t>
      </w:r>
    </w:p>
    <w:p>
      <w:pPr>
        <w:tabs>
          <w:tab w:val="left" w:pos="6300"/>
        </w:tabs>
        <w:snapToGrid w:val="0"/>
        <w:spacing w:line="276" w:lineRule="auto"/>
        <w:ind w:firstLine="720" w:firstLineChars="300"/>
        <w:jc w:val="left"/>
        <w:rPr>
          <w:rFonts w:ascii="方正仿宋_GBK" w:eastAsia="方正仿宋_GBK"/>
          <w:sz w:val="24"/>
          <w:szCs w:val="24"/>
        </w:rPr>
      </w:pPr>
      <w:r>
        <w:rPr>
          <w:rFonts w:hint="eastAsia" w:ascii="方正仿宋_GBK" w:eastAsia="方正仿宋_GBK"/>
          <w:sz w:val="24"/>
          <w:szCs w:val="24"/>
          <w:u w:val="single"/>
        </w:rPr>
        <w:t>（投标单位名称）</w:t>
      </w:r>
      <w:r>
        <w:rPr>
          <w:rFonts w:hint="eastAsia" w:ascii="方正仿宋_GBK" w:eastAsia="方正仿宋_GBK"/>
          <w:sz w:val="24"/>
          <w:szCs w:val="24"/>
        </w:rPr>
        <w:t>系中华人民共和国合法企业，注册地址：</w:t>
      </w:r>
      <w:r>
        <w:rPr>
          <w:rFonts w:hint="eastAsia" w:ascii="方正仿宋_GBK" w:eastAsia="方正仿宋_GBK"/>
          <w:sz w:val="24"/>
          <w:szCs w:val="24"/>
          <w:u w:val="single"/>
        </w:rPr>
        <w:t xml:space="preserve">                      </w:t>
      </w:r>
      <w:r>
        <w:rPr>
          <w:rFonts w:hint="eastAsia" w:ascii="方正仿宋_GBK" w:eastAsia="方正仿宋_GBK"/>
          <w:sz w:val="24"/>
          <w:szCs w:val="24"/>
        </w:rPr>
        <w:t>。我方就参加本次投标有关事项郑重声明如下：</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一、我方完全理解并接受该项目公开比选采购文件所有要求。</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四、我方承诺按照公开比选采购文件要求，提供招标项目的技术服务。</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五、我方按公开比选采购文件要求提交的响应文件为：响应文件正本1份，副本</w:t>
      </w:r>
      <w:r>
        <w:rPr>
          <w:rFonts w:hint="eastAsia" w:ascii="方正仿宋_GBK" w:eastAsia="方正仿宋_GBK"/>
          <w:sz w:val="24"/>
          <w:szCs w:val="24"/>
          <w:u w:val="single"/>
        </w:rPr>
        <w:t xml:space="preserve">     </w:t>
      </w:r>
      <w:r>
        <w:rPr>
          <w:rFonts w:hint="eastAsia" w:ascii="方正仿宋_GBK" w:eastAsia="方正仿宋_GBK"/>
          <w:sz w:val="24"/>
          <w:szCs w:val="24"/>
        </w:rPr>
        <w:t>份。</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七、我方未为采购项目提供整体设计、规范编制或者项目管理、监理、检测等服务。</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八、我方完全理解并接受贵方不一定要接受最低报价的投标或收到的任何投标。</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九、我方同意按有关规定及公开比选采购文件要求，缴纳足额投标保证金。</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ascii="方正仿宋_GBK" w:eastAsia="方正仿宋_GBK"/>
          <w:sz w:val="24"/>
          <w:szCs w:val="24"/>
        </w:rPr>
      </w:pPr>
    </w:p>
    <w:p>
      <w:pPr>
        <w:tabs>
          <w:tab w:val="left" w:pos="6300"/>
        </w:tabs>
        <w:snapToGrid w:val="0"/>
        <w:spacing w:line="276" w:lineRule="auto"/>
        <w:ind w:firstLine="556"/>
        <w:jc w:val="right"/>
        <w:rPr>
          <w:rFonts w:ascii="方正仿宋_GBK" w:eastAsia="方正仿宋_GBK"/>
          <w:sz w:val="24"/>
          <w:szCs w:val="24"/>
        </w:rPr>
      </w:pPr>
      <w:r>
        <w:rPr>
          <w:rFonts w:hint="eastAsia" w:ascii="方正仿宋_GBK" w:eastAsia="方正仿宋_GBK"/>
          <w:sz w:val="24"/>
          <w:szCs w:val="24"/>
        </w:rPr>
        <w:t>（投标人公章）</w:t>
      </w:r>
    </w:p>
    <w:p>
      <w:pPr>
        <w:tabs>
          <w:tab w:val="left" w:pos="6300"/>
        </w:tabs>
        <w:snapToGrid w:val="0"/>
        <w:spacing w:line="276" w:lineRule="auto"/>
        <w:ind w:firstLine="556"/>
        <w:jc w:val="right"/>
        <w:rPr>
          <w:rFonts w:ascii="方正仿宋_GBK" w:eastAsia="方正仿宋_GBK"/>
          <w:sz w:val="24"/>
          <w:szCs w:val="24"/>
        </w:rPr>
      </w:pPr>
    </w:p>
    <w:p>
      <w:pPr>
        <w:tabs>
          <w:tab w:val="left" w:pos="6300"/>
        </w:tabs>
        <w:snapToGrid w:val="0"/>
        <w:spacing w:line="276" w:lineRule="auto"/>
        <w:ind w:firstLine="556"/>
        <w:jc w:val="right"/>
        <w:rPr>
          <w:rFonts w:ascii="方正仿宋_GBK" w:eastAsia="方正仿宋_GBK"/>
          <w:sz w:val="24"/>
          <w:szCs w:val="24"/>
        </w:rPr>
      </w:pPr>
      <w:r>
        <w:rPr>
          <w:rFonts w:hint="eastAsia" w:ascii="方正仿宋_GBK" w:eastAsia="方正仿宋_GBK"/>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（投标人名称）郑重承诺：</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ascii="方正仿宋_GBK" w:hAnsi="仿宋" w:eastAsia="方正仿宋_GBK"/>
          <w:sz w:val="24"/>
        </w:rPr>
      </w:pPr>
    </w:p>
    <w:p>
      <w:pPr>
        <w:tabs>
          <w:tab w:val="left" w:pos="6300"/>
        </w:tabs>
        <w:snapToGrid w:val="0"/>
        <w:spacing w:line="500" w:lineRule="exact"/>
        <w:ind w:firstLine="480" w:firstLineChars="200"/>
        <w:jc w:val="right"/>
        <w:rPr>
          <w:rFonts w:ascii="方正仿宋_GBK" w:hAnsi="仿宋" w:eastAsia="方正仿宋_GBK"/>
          <w:sz w:val="24"/>
        </w:rPr>
      </w:pPr>
      <w:r>
        <w:rPr>
          <w:rFonts w:hint="eastAsia" w:ascii="方正仿宋_GBK" w:hAnsi="仿宋" w:eastAsia="方正仿宋_GBK"/>
          <w:sz w:val="24"/>
        </w:rPr>
        <w:t>（投标人公章）</w:t>
      </w:r>
    </w:p>
    <w:p>
      <w:pPr>
        <w:tabs>
          <w:tab w:val="left" w:pos="6300"/>
        </w:tabs>
        <w:snapToGrid w:val="0"/>
        <w:spacing w:line="500" w:lineRule="exact"/>
        <w:ind w:firstLine="7920" w:firstLineChars="3300"/>
        <w:rPr>
          <w:rFonts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（六）特定资格条件证明文件</w:t>
      </w:r>
    </w:p>
    <w:p>
      <w:pPr>
        <w:tabs>
          <w:tab w:val="left" w:pos="6300"/>
        </w:tabs>
        <w:snapToGrid w:val="0"/>
        <w:spacing w:line="400" w:lineRule="exact"/>
        <w:ind w:firstLine="480" w:firstLineChars="200"/>
        <w:rPr>
          <w:rFonts w:ascii="方正仿宋_GBK" w:hAnsi="宋体" w:eastAsia="方正仿宋_GBK"/>
          <w:sz w:val="24"/>
          <w:szCs w:val="24"/>
        </w:rPr>
      </w:pPr>
    </w:p>
    <w:p>
      <w:pPr>
        <w:pStyle w:val="4"/>
        <w:adjustRightInd w:val="0"/>
        <w:snapToGrid w:val="0"/>
        <w:spacing w:before="0" w:after="0" w:line="400" w:lineRule="exact"/>
        <w:ind w:firstLine="560" w:firstLineChars="200"/>
        <w:rPr>
          <w:rFonts w:ascii="方正仿宋_GBK" w:hAnsi="宋体" w:eastAsia="方正仿宋_GBK"/>
          <w:sz w:val="24"/>
        </w:rPr>
      </w:pPr>
      <w:bookmarkStart w:id="221" w:name="_Toc14422"/>
      <w:r>
        <w:rPr>
          <w:rFonts w:ascii="方正仿宋_GBK" w:hAnsi="宋体" w:eastAsia="方正仿宋_GBK"/>
          <w:b w:val="0"/>
          <w:sz w:val="28"/>
        </w:rPr>
        <w:br w:type="page"/>
      </w:r>
      <w:bookmarkStart w:id="222" w:name="_Toc13605"/>
      <w:bookmarkStart w:id="223" w:name="_Toc106030910"/>
      <w:bookmarkStart w:id="224" w:name="_Toc76462354"/>
      <w:bookmarkStart w:id="225" w:name="_Toc8805"/>
      <w:r>
        <w:rPr>
          <w:rFonts w:hint="eastAsia" w:ascii="方正仿宋_GBK" w:hAnsi="宋体" w:eastAsia="方正仿宋_GBK"/>
          <w:sz w:val="24"/>
        </w:rPr>
        <w:t>五、其他资料</w:t>
      </w:r>
      <w:bookmarkEnd w:id="221"/>
      <w:bookmarkEnd w:id="222"/>
      <w:bookmarkEnd w:id="223"/>
      <w:bookmarkEnd w:id="224"/>
      <w:bookmarkEnd w:id="225"/>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（一）其他与项目有关的资料</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其他与项目有关的资料（自附）：投标人总体情况介绍、其他与本项目有关的资料等。</w:t>
      </w:r>
    </w:p>
    <w:p>
      <w:pPr>
        <w:spacing w:line="360" w:lineRule="auto"/>
        <w:ind w:firstLine="480" w:firstLineChars="200"/>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outlineLvl w:val="0"/>
        <w:rPr>
          <w:rFonts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0000000000000000000"/>
    <w:charset w:val="86"/>
    <w:family w:val="script"/>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7A5E14"/>
    <w:rsid w:val="15935DB5"/>
    <w:rsid w:val="15BB3449"/>
    <w:rsid w:val="17A1211B"/>
    <w:rsid w:val="18ED7A84"/>
    <w:rsid w:val="19255AF5"/>
    <w:rsid w:val="1A59102C"/>
    <w:rsid w:val="1A7E6296"/>
    <w:rsid w:val="1F0D01CA"/>
    <w:rsid w:val="21864056"/>
    <w:rsid w:val="22F860AB"/>
    <w:rsid w:val="2486441F"/>
    <w:rsid w:val="26D92E79"/>
    <w:rsid w:val="2AA01F44"/>
    <w:rsid w:val="2DB02B6B"/>
    <w:rsid w:val="300C58E0"/>
    <w:rsid w:val="30607DAE"/>
    <w:rsid w:val="332D1E43"/>
    <w:rsid w:val="35D65EC8"/>
    <w:rsid w:val="37556B60"/>
    <w:rsid w:val="38CD7FDC"/>
    <w:rsid w:val="39827AC0"/>
    <w:rsid w:val="3ACE5D4F"/>
    <w:rsid w:val="3C55524B"/>
    <w:rsid w:val="3DF6488D"/>
    <w:rsid w:val="3F1C71CA"/>
    <w:rsid w:val="406334F2"/>
    <w:rsid w:val="409F14A1"/>
    <w:rsid w:val="415F6EA3"/>
    <w:rsid w:val="452C7897"/>
    <w:rsid w:val="494C6B8D"/>
    <w:rsid w:val="497B7CB3"/>
    <w:rsid w:val="4A8845CE"/>
    <w:rsid w:val="4B2D12E0"/>
    <w:rsid w:val="4BEB6B31"/>
    <w:rsid w:val="4BEF3A08"/>
    <w:rsid w:val="4DD36371"/>
    <w:rsid w:val="4F070047"/>
    <w:rsid w:val="4F3C244F"/>
    <w:rsid w:val="5115115D"/>
    <w:rsid w:val="521E4A24"/>
    <w:rsid w:val="52D92ACB"/>
    <w:rsid w:val="53B4776F"/>
    <w:rsid w:val="53DF1E3A"/>
    <w:rsid w:val="558E730F"/>
    <w:rsid w:val="573C43EC"/>
    <w:rsid w:val="57857077"/>
    <w:rsid w:val="58EA1C45"/>
    <w:rsid w:val="5CA67F0E"/>
    <w:rsid w:val="6488487F"/>
    <w:rsid w:val="670A099E"/>
    <w:rsid w:val="68BD663A"/>
    <w:rsid w:val="692F74C0"/>
    <w:rsid w:val="696405DD"/>
    <w:rsid w:val="6FE969BF"/>
    <w:rsid w:val="701245F9"/>
    <w:rsid w:val="71175C34"/>
    <w:rsid w:val="74D70DF7"/>
    <w:rsid w:val="750950F5"/>
    <w:rsid w:val="750D16CF"/>
    <w:rsid w:val="789F3DA6"/>
    <w:rsid w:val="78A52377"/>
    <w:rsid w:val="79082185"/>
    <w:rsid w:val="7A6F77AB"/>
    <w:rsid w:val="7B5B7497"/>
    <w:rsid w:val="7BEF5F10"/>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字符1"/>
    <w:link w:val="4"/>
    <w:qFormat/>
    <w:uiPriority w:val="0"/>
    <w:rPr>
      <w:rFonts w:ascii="Arial" w:hAnsi="Arial" w:eastAsia="黑体"/>
      <w:b/>
      <w:kern w:val="2"/>
      <w:sz w:val="32"/>
    </w:rPr>
  </w:style>
  <w:style w:type="character" w:customStyle="1" w:styleId="71">
    <w:name w:val="标题 3 字符"/>
    <w:link w:val="5"/>
    <w:qFormat/>
    <w:uiPriority w:val="0"/>
    <w:rPr>
      <w:rFonts w:eastAsia="宋体"/>
      <w:b/>
      <w:kern w:val="2"/>
      <w:sz w:val="32"/>
      <w:lang w:val="en-US" w:eastAsia="zh-CN"/>
    </w:rPr>
  </w:style>
  <w:style w:type="character" w:customStyle="1" w:styleId="72">
    <w:name w:val="批注文字 字符"/>
    <w:link w:val="20"/>
    <w:qFormat/>
    <w:uiPriority w:val="0"/>
    <w:rPr>
      <w:sz w:val="24"/>
    </w:rPr>
  </w:style>
  <w:style w:type="character" w:customStyle="1" w:styleId="73">
    <w:name w:val="正文文本缩进 字符"/>
    <w:link w:val="24"/>
    <w:qFormat/>
    <w:uiPriority w:val="0"/>
    <w:rPr>
      <w:kern w:val="2"/>
      <w:sz w:val="44"/>
    </w:rPr>
  </w:style>
  <w:style w:type="character" w:customStyle="1" w:styleId="74">
    <w:name w:val="日期 字符"/>
    <w:link w:val="33"/>
    <w:qFormat/>
    <w:uiPriority w:val="0"/>
    <w:rPr>
      <w:kern w:val="2"/>
      <w:sz w:val="28"/>
    </w:rPr>
  </w:style>
  <w:style w:type="character" w:customStyle="1" w:styleId="75">
    <w:name w:val="正文文本缩进 2 字符1"/>
    <w:link w:val="34"/>
    <w:qFormat/>
    <w:uiPriority w:val="0"/>
    <w:rPr>
      <w:kern w:val="2"/>
      <w:sz w:val="28"/>
    </w:rPr>
  </w:style>
  <w:style w:type="character" w:customStyle="1" w:styleId="76">
    <w:name w:val="脚注文本 字符"/>
    <w:link w:val="41"/>
    <w:qFormat/>
    <w:uiPriority w:val="0"/>
    <w:rPr>
      <w:kern w:val="2"/>
      <w:sz w:val="18"/>
    </w:rPr>
  </w:style>
  <w:style w:type="character" w:customStyle="1" w:styleId="77">
    <w:name w:val="批注主题 字符"/>
    <w:link w:val="55"/>
    <w:qFormat/>
    <w:uiPriority w:val="0"/>
  </w:style>
  <w:style w:type="character" w:customStyle="1" w:styleId="78">
    <w:name w:val="正文文本首行缩进 2 字符"/>
    <w:link w:val="57"/>
    <w:qFormat/>
    <w:uiPriority w:val="0"/>
  </w:style>
  <w:style w:type="character" w:customStyle="1" w:styleId="79">
    <w:name w:val="v151"/>
    <w:qFormat/>
    <w:uiPriority w:val="0"/>
    <w:rPr>
      <w:sz w:val="18"/>
    </w:rPr>
  </w:style>
  <w:style w:type="character" w:customStyle="1" w:styleId="80">
    <w:name w:val="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Char Char3"/>
    <w:qFormat/>
    <w:uiPriority w:val="0"/>
    <w:rPr>
      <w:rFonts w:eastAsia="宋体"/>
      <w:kern w:val="2"/>
      <w:sz w:val="18"/>
      <w:lang w:val="en-US" w:eastAsia="zh-CN"/>
    </w:rPr>
  </w:style>
  <w:style w:type="character" w:customStyle="1" w:styleId="88">
    <w:name w:val="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Char Char5"/>
    <w:qFormat/>
    <w:uiPriority w:val="0"/>
    <w:rPr>
      <w:rFonts w:ascii="Arial" w:hAnsi="Arial" w:eastAsia="宋体"/>
      <w:b/>
      <w:smallCaps/>
      <w:kern w:val="28"/>
      <w:sz w:val="36"/>
      <w:lang w:val="en-US" w:eastAsia="en-US"/>
    </w:rPr>
  </w:style>
  <w:style w:type="character" w:customStyle="1" w:styleId="91">
    <w:name w:val="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numId w:val="0"/>
      </w:numPr>
      <w:spacing w:before="0" w:beforeLines="0" w:after="0" w:afterLines="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7">
    <w:name w:val="Char Char14 Char Char"/>
    <w:basedOn w:val="1"/>
    <w:qFormat/>
    <w:uiPriority w:val="0"/>
    <w:rPr>
      <w:sz w:val="21"/>
      <w:szCs w:val="24"/>
    </w:rPr>
  </w:style>
  <w:style w:type="paragraph" w:customStyle="1" w:styleId="128">
    <w:name w:val="Char Char Char Char Char"/>
    <w:basedOn w:val="1"/>
    <w:qFormat/>
    <w:uiPriority w:val="0"/>
    <w:pPr>
      <w:tabs>
        <w:tab w:val="left" w:pos="425"/>
      </w:tabs>
      <w:ind w:left="1620" w:hanging="360"/>
    </w:pPr>
    <w:rPr>
      <w:rFonts w:ascii="Tahoma" w:hAnsi="Tahoma"/>
      <w:sz w:val="24"/>
    </w:rPr>
  </w:style>
  <w:style w:type="paragraph" w:customStyle="1" w:styleId="129">
    <w:name w:val="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3"/>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tabs>
        <w:tab w:val="left" w:pos="42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6">
    <w:name w:val="Char Char Char Char Char Char Char1"/>
    <w:basedOn w:val="18"/>
    <w:qFormat/>
    <w:uiPriority w:val="0"/>
    <w:rPr>
      <w:rFonts w:ascii="宋体" w:hAnsi="Tahoma"/>
    </w:rPr>
  </w:style>
  <w:style w:type="paragraph" w:customStyle="1" w:styleId="147">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5">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6">
    <w:name w:val="标准正文"/>
    <w:basedOn w:val="24"/>
    <w:qFormat/>
    <w:uiPriority w:val="0"/>
    <w:pPr>
      <w:spacing w:before="60" w:after="60" w:line="360" w:lineRule="auto"/>
      <w:ind w:left="0" w:firstLine="482"/>
    </w:pPr>
    <w:rPr>
      <w:rFonts w:ascii="Arial" w:hAnsi="Arial"/>
      <w:sz w:val="24"/>
    </w:rPr>
  </w:style>
  <w:style w:type="paragraph" w:customStyle="1" w:styleId="157">
    <w:name w:val="正文文本 21"/>
    <w:basedOn w:val="1"/>
    <w:qFormat/>
    <w:uiPriority w:val="0"/>
    <w:pPr>
      <w:adjustRightInd w:val="0"/>
      <w:spacing w:before="120" w:line="360" w:lineRule="auto"/>
      <w:ind w:firstLine="480"/>
      <w:textAlignment w:val="baseline"/>
    </w:pPr>
    <w:rPr>
      <w:sz w:val="24"/>
    </w:rPr>
  </w:style>
  <w:style w:type="paragraph" w:customStyle="1" w:styleId="158">
    <w:name w:val="样式1"/>
    <w:basedOn w:val="6"/>
    <w:qFormat/>
    <w:uiPriority w:val="0"/>
    <w:pPr>
      <w:tabs>
        <w:tab w:val="left" w:pos="720"/>
      </w:tabs>
      <w:spacing w:before="500" w:after="260" w:line="560" w:lineRule="atLeast"/>
      <w:ind w:left="420" w:hanging="420"/>
    </w:pPr>
  </w:style>
  <w:style w:type="paragraph" w:customStyle="1" w:styleId="159">
    <w:name w:val="正文4"/>
    <w:basedOn w:val="1"/>
    <w:qFormat/>
    <w:uiPriority w:val="0"/>
    <w:pPr>
      <w:tabs>
        <w:tab w:val="left" w:pos="1275"/>
      </w:tabs>
      <w:spacing w:before="60" w:after="60" w:line="360" w:lineRule="auto"/>
      <w:ind w:left="820" w:leftChars="400" w:hanging="705"/>
    </w:pPr>
    <w:rPr>
      <w:sz w:val="24"/>
    </w:rPr>
  </w:style>
  <w:style w:type="paragraph" w:customStyle="1" w:styleId="160">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after="720"/>
    </w:pPr>
    <w:rPr>
      <w:sz w:val="28"/>
    </w:rPr>
  </w:style>
  <w:style w:type="paragraph" w:customStyle="1" w:styleId="169">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3"/>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after="12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5">
    <w:name w:val="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0">
    <w:name w:val="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1"/>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8">
    <w:name w:val="Char Char Char"/>
    <w:basedOn w:val="1"/>
    <w:qFormat/>
    <w:uiPriority w:val="0"/>
    <w:rPr>
      <w:rFonts w:ascii="Tahoma" w:hAnsi="Tahoma"/>
      <w:sz w:val="24"/>
    </w:rPr>
  </w:style>
  <w:style w:type="paragraph" w:customStyle="1" w:styleId="199">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after="60" w:line="360" w:lineRule="auto"/>
      <w:ind w:left="200" w:leftChars="200" w:firstLine="200" w:firstLineChars="200"/>
    </w:pPr>
    <w:rPr>
      <w:sz w:val="24"/>
    </w:rPr>
  </w:style>
  <w:style w:type="paragraph" w:customStyle="1" w:styleId="207">
    <w:name w:val="正文表格"/>
    <w:basedOn w:val="1"/>
    <w:qFormat/>
    <w:uiPriority w:val="0"/>
    <w:pPr>
      <w:adjustRightInd w:val="0"/>
      <w:spacing w:before="40" w:after="4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正文文本缩进 21"/>
    <w:basedOn w:val="1"/>
    <w:qFormat/>
    <w:uiPriority w:val="0"/>
    <w:pPr>
      <w:adjustRightInd w:val="0"/>
      <w:spacing w:before="12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2">
    <w:name w:val="附录3"/>
    <w:basedOn w:val="1"/>
    <w:next w:val="1"/>
    <w:qFormat/>
    <w:uiPriority w:val="0"/>
    <w:p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line="360" w:lineRule="auto"/>
      <w:ind w:firstLine="200" w:firstLineChars="200"/>
    </w:pPr>
    <w:rPr>
      <w:sz w:val="24"/>
    </w:rPr>
  </w:style>
  <w:style w:type="paragraph" w:customStyle="1" w:styleId="225">
    <w:name w:val="Char11"/>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after="12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0"/>
    <w:link w:val="31"/>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2164</Words>
  <Characters>12335</Characters>
  <Lines>102</Lines>
  <Paragraphs>28</Paragraphs>
  <TotalTime>0</TotalTime>
  <ScaleCrop>false</ScaleCrop>
  <LinksUpToDate>false</LinksUpToDate>
  <CharactersWithSpaces>14471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周洋</cp:lastModifiedBy>
  <cp:lastPrinted>2015-03-25T02:14:00Z</cp:lastPrinted>
  <dcterms:modified xsi:type="dcterms:W3CDTF">2023-09-07T03:58:00Z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