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宋体" w:hAnsi="宋体"/>
        </w:rPr>
      </w:pPr>
    </w:p>
    <w:p>
      <w:pPr>
        <w:spacing w:line="1600" w:lineRule="exact"/>
        <w:jc w:val="center"/>
        <w:outlineLvl w:val="0"/>
        <w:rPr>
          <w:rFonts w:ascii="方正黑体_GBK" w:eastAsia="方正黑体_GBK"/>
          <w:sz w:val="100"/>
        </w:rPr>
      </w:pPr>
    </w:p>
    <w:p>
      <w:pPr>
        <w:pStyle w:val="68"/>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采购文件</w:t>
      </w:r>
    </w:p>
    <w:p>
      <w:pPr>
        <w:pStyle w:val="68"/>
        <w:spacing w:before="100" w:after="100" w:line="300" w:lineRule="auto"/>
        <w:jc w:val="center"/>
        <w:rPr>
          <w:rFonts w:ascii="黑体"/>
          <w:sz w:val="32"/>
        </w:rPr>
      </w:pPr>
      <w:r>
        <w:rPr>
          <w:rFonts w:hint="eastAsia" w:ascii="方正黑体_GBK" w:hAnsi="宋体" w:eastAsia="方正黑体_GBK"/>
          <w:b w:val="0"/>
          <w:sz w:val="130"/>
          <w:szCs w:val="130"/>
        </w:rPr>
        <w:t xml:space="preserve">   </w:t>
      </w:r>
    </w:p>
    <w:p>
      <w:pPr>
        <w:pStyle w:val="69"/>
        <w:rPr>
          <w:rFonts w:ascii="方正黑体_GBK" w:hAnsi="宋体" w:eastAsia="方正黑体_GBK"/>
          <w:kern w:val="2"/>
          <w:sz w:val="44"/>
          <w:szCs w:val="44"/>
        </w:rPr>
      </w:pPr>
    </w:p>
    <w:p>
      <w:pPr>
        <w:pStyle w:val="69"/>
        <w:rPr>
          <w:rFonts w:ascii="方正黑体_GBK" w:hAnsi="宋体" w:eastAsia="方正黑体_GBK"/>
          <w:kern w:val="2"/>
          <w:sz w:val="44"/>
          <w:szCs w:val="44"/>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YSB230</w:t>
      </w:r>
      <w:r>
        <w:rPr>
          <w:rFonts w:hint="eastAsia" w:ascii="方正小标宋_GBK" w:hAnsi="宋体" w:eastAsia="方正小标宋_GBK"/>
          <w:sz w:val="36"/>
          <w:szCs w:val="36"/>
          <w:u w:val="single"/>
          <w:lang w:val="en-US" w:eastAsia="zh-CN"/>
        </w:rPr>
        <w:t>600</w:t>
      </w:r>
    </w:p>
    <w:p>
      <w:pPr>
        <w:spacing w:line="360" w:lineRule="auto"/>
        <w:ind w:firstLine="2160" w:firstLineChars="600"/>
        <w:outlineLvl w:val="0"/>
        <w:rPr>
          <w:rFonts w:ascii="方正小标宋_GBK" w:hAnsi="宋体" w:eastAsia="方正小标宋_GBK"/>
          <w:sz w:val="36"/>
          <w:szCs w:val="36"/>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诺如病毒抗原检查试剂盒</w:t>
      </w:r>
    </w:p>
    <w:p>
      <w:pPr>
        <w:spacing w:line="700" w:lineRule="exact"/>
        <w:rPr>
          <w:rFonts w:ascii="方正小标宋_GBK" w:hAnsi="宋体" w:eastAsia="方正小标宋_GBK"/>
          <w:b/>
          <w:sz w:val="36"/>
          <w:szCs w:val="36"/>
        </w:rPr>
      </w:pPr>
    </w:p>
    <w:p>
      <w:pPr>
        <w:spacing w:line="500" w:lineRule="exact"/>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r>
        <w:rPr>
          <w:rFonts w:hint="eastAsia" w:ascii="方正小标宋_GBK" w:eastAsia="方正小标宋_GBK"/>
          <w:sz w:val="36"/>
          <w:szCs w:val="36"/>
        </w:rPr>
        <w:t>重庆医科大学附属儿童医院</w:t>
      </w:r>
    </w:p>
    <w:p>
      <w:pPr>
        <w:spacing w:line="720" w:lineRule="exact"/>
        <w:jc w:val="center"/>
        <w:outlineLvl w:val="0"/>
        <w:rPr>
          <w:rFonts w:ascii="方正黑体_GBK" w:hAnsi="宋体" w:eastAsia="方正黑体_GBK"/>
          <w:sz w:val="48"/>
          <w:szCs w:val="32"/>
        </w:rPr>
      </w:pPr>
      <w:r>
        <w:rPr>
          <w:rFonts w:hint="eastAsia" w:ascii="方正小标宋_GBK" w:hAnsi="宋体" w:eastAsia="方正小标宋_GBK"/>
          <w:sz w:val="36"/>
          <w:szCs w:val="36"/>
        </w:rPr>
        <w:t>2023年12月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ind w:left="560"/>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fldChar w:fldCharType="begin"/>
      </w:r>
      <w:r>
        <w:instrText xml:space="preserve"> HYPERLINK \l "_Toc27110" </w:instrText>
      </w:r>
      <w:r>
        <w:fldChar w:fldCharType="separate"/>
      </w:r>
      <w:r>
        <w:rPr>
          <w:rFonts w:hint="eastAsia" w:ascii="方正仿宋_GBK" w:eastAsia="方正仿宋_GBK"/>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"_Toc13094" </w:instrText>
      </w:r>
      <w:r>
        <w:fldChar w:fldCharType="separate"/>
      </w:r>
      <w:r>
        <w:rPr>
          <w:rFonts w:hint="eastAsia" w:ascii="方正仿宋_GBK" w:hAnsi="宋体" w:eastAsia="方正仿宋_GBK"/>
          <w:sz w:val="24"/>
          <w:szCs w:val="24"/>
        </w:rPr>
        <w:t>一、公开比选采购内容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"_Toc14168" </w:instrText>
      </w:r>
      <w:r>
        <w:fldChar w:fldCharType="separate"/>
      </w:r>
      <w:r>
        <w:rPr>
          <w:rFonts w:hint="eastAsia" w:ascii="方正仿宋_GBK" w:hAnsi="宋体" w:eastAsia="方正仿宋_GBK"/>
          <w:sz w:val="24"/>
          <w:szCs w:val="24"/>
        </w:rPr>
        <w:t>二、投标人资格条件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"_Toc9183" </w:instrText>
      </w:r>
      <w:r>
        <w:fldChar w:fldCharType="separate"/>
      </w:r>
      <w:r>
        <w:rPr>
          <w:rFonts w:hint="eastAsia" w:ascii="方正仿宋_GBK" w:hAnsi="宋体" w:eastAsia="方正仿宋_GBK"/>
          <w:sz w:val="24"/>
          <w:szCs w:val="24"/>
        </w:rPr>
        <w:t>三、比选有关说明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"_Toc26664" </w:instrText>
      </w:r>
      <w: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"_Toc24100" </w:instrText>
      </w:r>
      <w:r>
        <w:fldChar w:fldCharType="separate"/>
      </w:r>
      <w:r>
        <w:rPr>
          <w:rFonts w:hint="eastAsia" w:ascii="方正仿宋_GBK" w:hAnsi="宋体" w:eastAsia="方正仿宋_GBK"/>
          <w:sz w:val="24"/>
          <w:szCs w:val="24"/>
        </w:rPr>
        <w:t>五、其它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"_Toc21079" </w:instrText>
      </w:r>
      <w:r>
        <w:fldChar w:fldCharType="separate"/>
      </w:r>
      <w:r>
        <w:rPr>
          <w:rFonts w:hint="eastAsia" w:ascii="方正仿宋_GBK" w:hAnsi="宋体" w:eastAsia="方正仿宋_GBK"/>
          <w:sz w:val="24"/>
          <w:szCs w:val="24"/>
        </w:rPr>
        <w:t>六、联系方式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sz w:val="24"/>
          <w:szCs w:val="24"/>
        </w:rPr>
        <w:fldChar w:fldCharType="end"/>
      </w:r>
    </w:p>
    <w:p>
      <w:pPr>
        <w:pStyle w:val="37"/>
        <w:tabs>
          <w:tab w:val="right" w:leader="dot" w:pos="9412"/>
        </w:tabs>
        <w:rPr>
          <w:sz w:val="24"/>
          <w:szCs w:val="24"/>
        </w:rPr>
      </w:pPr>
      <w:r>
        <w:rPr>
          <w:rFonts w:hint="eastAsia"/>
        </w:rPr>
        <w:t xml:space="preserve">    </w:t>
      </w:r>
      <w:r>
        <w:fldChar w:fldCharType="begin"/>
      </w:r>
      <w:r>
        <w:instrText xml:space="preserve"> HYPERLINK \l "_Toc22327" </w:instrText>
      </w:r>
      <w:r>
        <w:fldChar w:fldCharType="separate"/>
      </w:r>
      <w:r>
        <w:rPr>
          <w:rFonts w:hint="eastAsia" w:ascii="方正仿宋_GBK" w:eastAsia="方正仿宋_GBK"/>
          <w:sz w:val="24"/>
          <w:szCs w:val="24"/>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"_Toc14433" </w:instrText>
      </w:r>
      <w: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"_Toc18675" </w:instrText>
      </w:r>
      <w: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"_Toc12473" </w:instrText>
      </w:r>
      <w:r>
        <w:fldChar w:fldCharType="separate"/>
      </w:r>
      <w:r>
        <w:rPr>
          <w:rFonts w:hint="eastAsia" w:ascii="方正仿宋_GBK" w:eastAsia="方正仿宋_GBK"/>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"_Toc19431" </w:instrText>
      </w:r>
      <w:r>
        <w:fldChar w:fldCharType="separate"/>
      </w:r>
      <w:r>
        <w:rPr>
          <w:rFonts w:hint="eastAsia" w:ascii="方正仿宋_GBK" w:eastAsia="方正仿宋_GBK"/>
          <w:sz w:val="24"/>
          <w:szCs w:val="24"/>
        </w:rPr>
        <w:t>第四篇  公开比选程序及方法、评审标准、无效响应和采购终止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"_Toc26127" </w:instrText>
      </w:r>
      <w:r>
        <w:fldChar w:fldCharType="separate"/>
      </w:r>
      <w:r>
        <w:rPr>
          <w:rFonts w:hint="eastAsia" w:ascii="方正仿宋_GBK" w:hAnsi="宋体" w:eastAsia="方正仿宋_GBK"/>
          <w:sz w:val="24"/>
          <w:szCs w:val="24"/>
        </w:rPr>
        <w:t>一、公开比选采购程序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"_Toc27374" </w:instrText>
      </w:r>
      <w:r>
        <w:fldChar w:fldCharType="separate"/>
      </w:r>
      <w:r>
        <w:rPr>
          <w:rFonts w:hint="eastAsia" w:ascii="方正仿宋_GBK" w:hAnsi="宋体" w:eastAsia="方正仿宋_GBK"/>
          <w:sz w:val="24"/>
          <w:szCs w:val="24"/>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"_Toc24315" </w:instrText>
      </w:r>
      <w:r>
        <w:fldChar w:fldCharType="separate"/>
      </w:r>
      <w:r>
        <w:rPr>
          <w:rFonts w:hint="eastAsia" w:ascii="方正仿宋_GBK" w:hAnsi="宋体" w:eastAsia="方正仿宋_GBK"/>
          <w:sz w:val="24"/>
          <w:szCs w:val="24"/>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"_Toc17606" </w:instrText>
      </w:r>
      <w:r>
        <w:fldChar w:fldCharType="separate"/>
      </w:r>
      <w:r>
        <w:rPr>
          <w:rFonts w:hint="eastAsia" w:ascii="方正仿宋_GBK" w:hAnsi="宋体" w:eastAsia="方正仿宋_GBK"/>
          <w:sz w:val="24"/>
          <w:szCs w:val="24"/>
        </w:rPr>
        <w:t>四、无效响应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"_Toc12222" </w:instrText>
      </w:r>
      <w:r>
        <w:fldChar w:fldCharType="separate"/>
      </w:r>
      <w:r>
        <w:rPr>
          <w:rFonts w:hint="eastAsia" w:ascii="方正仿宋_GBK" w:hAnsi="宋体" w:eastAsia="方正仿宋_GBK"/>
          <w:sz w:val="24"/>
          <w:szCs w:val="24"/>
        </w:rPr>
        <w:t>五、采购终止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"_Toc13119" </w:instrText>
      </w:r>
      <w:r>
        <w:fldChar w:fldCharType="separate"/>
      </w:r>
      <w:r>
        <w:rPr>
          <w:rFonts w:hint="eastAsia" w:ascii="方正仿宋_GBK" w:eastAsia="方正仿宋_GBK"/>
          <w:sz w:val="24"/>
          <w:szCs w:val="24"/>
        </w:rPr>
        <w:t>第五篇  投标人须知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"_Toc20271" </w:instrText>
      </w:r>
      <w:r>
        <w:fldChar w:fldCharType="separate"/>
      </w:r>
      <w:r>
        <w:rPr>
          <w:rFonts w:hint="eastAsia" w:ascii="方正仿宋_GBK" w:hAnsi="宋体" w:eastAsia="方正仿宋_GBK"/>
          <w:sz w:val="24"/>
          <w:szCs w:val="24"/>
        </w:rPr>
        <w:t>一、公开比选采购费用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"_Toc27891" </w:instrText>
      </w:r>
      <w:r>
        <w:fldChar w:fldCharType="separate"/>
      </w:r>
      <w:r>
        <w:rPr>
          <w:rFonts w:hint="eastAsia" w:ascii="方正仿宋_GBK" w:hAnsi="宋体" w:eastAsia="方正仿宋_GBK"/>
          <w:sz w:val="24"/>
          <w:szCs w:val="24"/>
        </w:rPr>
        <w:t>二、公开比选采购文件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"_Toc20510" </w:instrText>
      </w:r>
      <w:r>
        <w:fldChar w:fldCharType="separate"/>
      </w:r>
      <w:r>
        <w:rPr>
          <w:rFonts w:hint="eastAsia" w:ascii="方正仿宋_GBK" w:hAnsi="宋体" w:eastAsia="方正仿宋_GBK"/>
          <w:sz w:val="24"/>
          <w:szCs w:val="24"/>
        </w:rPr>
        <w:t>三、比选要求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"_Toc32166" </w:instrText>
      </w:r>
      <w:r>
        <w:fldChar w:fldCharType="separate"/>
      </w:r>
      <w:r>
        <w:rPr>
          <w:rFonts w:hint="eastAsia" w:ascii="方正仿宋_GBK" w:hAnsi="宋体" w:eastAsia="方正仿宋_GBK"/>
          <w:sz w:val="24"/>
          <w:szCs w:val="24"/>
        </w:rPr>
        <w:t>四、成交供应商的确认和变更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"_Toc2729" </w:instrText>
      </w:r>
      <w: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"_Toc4796" </w:instrText>
      </w:r>
      <w:r>
        <w:fldChar w:fldCharType="separate"/>
      </w:r>
      <w:r>
        <w:rPr>
          <w:rFonts w:hint="eastAsia" w:ascii="方正仿宋_GBK" w:hAnsi="宋体" w:eastAsia="方正仿宋_GBK"/>
          <w:sz w:val="24"/>
          <w:szCs w:val="24"/>
        </w:rPr>
        <w:t>六、质疑处理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"_Toc23896" </w:instrText>
      </w:r>
      <w: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"_Toc17526" </w:instrText>
      </w:r>
      <w:r>
        <w:fldChar w:fldCharType="separate"/>
      </w:r>
      <w:r>
        <w:rPr>
          <w:rFonts w:hint="eastAsia" w:ascii="方正仿宋_GBK" w:eastAsia="方正仿宋_GBK"/>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"_Toc11260" </w:instrText>
      </w:r>
      <w: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"_Toc2495" </w:instrText>
      </w:r>
      <w: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"_Toc12962" </w:instrText>
      </w:r>
      <w: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sz w:val="24"/>
          <w:szCs w:val="24"/>
        </w:rPr>
        <w:fldChar w:fldCharType="end"/>
      </w:r>
    </w:p>
    <w:p>
      <w:pPr>
        <w:pStyle w:val="45"/>
        <w:tabs>
          <w:tab w:val="right" w:leader="dot" w:pos="9412"/>
        </w:tabs>
        <w:ind w:left="560"/>
        <w:rPr>
          <w:sz w:val="24"/>
          <w:szCs w:val="24"/>
        </w:rPr>
      </w:pPr>
      <w:r>
        <w:fldChar w:fldCharType="begin"/>
      </w:r>
      <w:r>
        <w:instrText xml:space="preserve"> HYPERLINK \l "_Toc13280" </w:instrText>
      </w:r>
      <w: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sz w:val="24"/>
          <w:szCs w:val="24"/>
        </w:rPr>
        <w:fldChar w:fldCharType="end"/>
      </w:r>
    </w:p>
    <w:p>
      <w:pPr>
        <w:pStyle w:val="45"/>
        <w:tabs>
          <w:tab w:val="right" w:leader="dot" w:pos="9412"/>
        </w:tabs>
        <w:ind w:left="560"/>
      </w:pPr>
      <w:r>
        <w:fldChar w:fldCharType="begin"/>
      </w:r>
      <w:r>
        <w:instrText xml:space="preserve"> HYPERLINK \l "_Toc13605" </w:instrText>
      </w:r>
      <w: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ascii="方正仿宋_GBK" w:hAnsi="Times New Roman" w:eastAsia="方正仿宋_GBK"/>
          <w:sz w:val="44"/>
        </w:rPr>
      </w:pPr>
      <w:bookmarkStart w:id="0" w:name="_Toc76462316"/>
      <w:bookmarkStart w:id="1" w:name="_Toc11641050"/>
      <w:bookmarkStart w:id="2" w:name="_Toc106030870"/>
      <w:bookmarkStart w:id="3" w:name="_Toc24037"/>
      <w:bookmarkStart w:id="4" w:name="_Toc12789052"/>
      <w:bookmarkStart w:id="5" w:name="_Toc27110"/>
      <w:r>
        <w:rPr>
          <w:rFonts w:hint="eastAsia" w:ascii="方正仿宋_GBK" w:hAnsi="Times New Roman" w:eastAsia="方正仿宋_GBK"/>
          <w:sz w:val="44"/>
        </w:rPr>
        <w:t>第一篇  采购邀请书</w:t>
      </w:r>
      <w:bookmarkEnd w:id="0"/>
      <w:bookmarkEnd w:id="1"/>
      <w:bookmarkEnd w:id="2"/>
      <w:bookmarkEnd w:id="3"/>
      <w:bookmarkEnd w:id="4"/>
      <w:bookmarkEnd w:id="5"/>
    </w:p>
    <w:p>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rPr>
        <w:t>诺如病毒抗原检查试剂盒</w:t>
      </w:r>
      <w:r>
        <w:rPr>
          <w:rFonts w:hint="eastAsia" w:ascii="方正仿宋_GBK" w:hAnsi="宋体" w:eastAsia="方正仿宋_GBK"/>
          <w:sz w:val="24"/>
          <w:szCs w:val="24"/>
        </w:rPr>
        <w:t>项目进行公开比选采购。欢迎有资格的投标人前来参与。</w:t>
      </w:r>
    </w:p>
    <w:p>
      <w:pPr>
        <w:pStyle w:val="4"/>
        <w:numPr>
          <w:ilvl w:val="0"/>
          <w:numId w:val="14"/>
        </w:numPr>
        <w:adjustRightInd w:val="0"/>
        <w:snapToGrid w:val="0"/>
        <w:spacing w:before="0" w:after="0" w:line="400" w:lineRule="exact"/>
        <w:rPr>
          <w:rFonts w:ascii="方正仿宋_GBK" w:hAnsi="宋体" w:eastAsia="方正仿宋_GBK"/>
          <w:sz w:val="24"/>
        </w:rPr>
      </w:pPr>
      <w:bookmarkStart w:id="6" w:name="_Toc106030871"/>
      <w:bookmarkStart w:id="7" w:name="_Toc313893526"/>
      <w:bookmarkStart w:id="8" w:name="_Toc317775175"/>
      <w:bookmarkStart w:id="9" w:name="_Toc13094"/>
      <w:bookmarkStart w:id="10" w:name="_Toc76462317"/>
      <w:bookmarkStart w:id="11" w:name="_Toc3856"/>
      <w:r>
        <w:rPr>
          <w:rFonts w:hint="eastAsia" w:ascii="方正仿宋_GBK" w:hAnsi="宋体" w:eastAsia="方正仿宋_GBK"/>
          <w:sz w:val="24"/>
        </w:rPr>
        <w:t>公开比选采购内容</w:t>
      </w:r>
      <w:bookmarkEnd w:id="6"/>
      <w:bookmarkEnd w:id="7"/>
      <w:bookmarkEnd w:id="8"/>
      <w:bookmarkEnd w:id="9"/>
      <w:bookmarkEnd w:id="10"/>
      <w:bookmarkEnd w:id="11"/>
    </w:p>
    <w:tbl>
      <w:tblPr>
        <w:tblStyle w:val="57"/>
        <w:tblW w:w="45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9"/>
        <w:gridCol w:w="2642"/>
        <w:gridCol w:w="1688"/>
        <w:gridCol w:w="2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96"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52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972" w:type="pct"/>
            <w:tcBorders>
              <w:top w:val="single" w:color="auto" w:sz="4" w:space="0"/>
              <w:left w:val="single" w:color="auto" w:sz="4" w:space="0"/>
              <w:right w:val="single" w:color="auto" w:sz="4" w:space="0"/>
            </w:tcBorders>
            <w:vAlign w:val="center"/>
          </w:tcPr>
          <w:p>
            <w:pPr>
              <w:widowControl/>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509" w:type="pct"/>
            <w:tcBorders>
              <w:top w:val="single" w:color="auto" w:sz="4" w:space="0"/>
              <w:left w:val="single" w:color="auto" w:sz="4" w:space="0"/>
              <w:right w:val="single" w:color="auto" w:sz="4" w:space="0"/>
            </w:tcBorders>
            <w:vAlign w:val="center"/>
          </w:tcPr>
          <w:p>
            <w:pPr>
              <w:jc w:val="center"/>
              <w:rPr>
                <w:rFonts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成交供应商数量（名）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96"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rPr>
              <w:t>YSB230</w:t>
            </w:r>
            <w:r>
              <w:rPr>
                <w:rFonts w:hint="eastAsia" w:ascii="方正仿宋_GBK" w:hAnsi="宋体" w:eastAsia="方正仿宋_GBK" w:cs="宋体"/>
                <w:kern w:val="0"/>
                <w:sz w:val="21"/>
                <w:szCs w:val="24"/>
                <w:lang w:val="en-US" w:eastAsia="zh-CN"/>
              </w:rPr>
              <w:t>600</w:t>
            </w:r>
          </w:p>
        </w:tc>
        <w:tc>
          <w:tcPr>
            <w:tcW w:w="1522"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诺如病毒抗原检查试剂盒</w:t>
            </w:r>
          </w:p>
        </w:tc>
        <w:tc>
          <w:tcPr>
            <w:tcW w:w="972"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ascii="方正仿宋_GBK" w:hAnsi="宋体" w:eastAsia="方正仿宋_GBK"/>
                <w:sz w:val="21"/>
                <w:szCs w:val="21"/>
              </w:rPr>
              <w:t>2000</w:t>
            </w:r>
          </w:p>
        </w:tc>
        <w:tc>
          <w:tcPr>
            <w:tcW w:w="1509" w:type="pct"/>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sz w:val="21"/>
                <w:szCs w:val="21"/>
              </w:rPr>
            </w:pPr>
            <w:r>
              <w:rPr>
                <w:rFonts w:hint="eastAsia" w:ascii="方正仿宋_GBK" w:hAnsi="宋体" w:eastAsia="方正仿宋_GBK"/>
                <w:sz w:val="21"/>
                <w:szCs w:val="21"/>
              </w:rPr>
              <w:t>1</w:t>
            </w:r>
          </w:p>
        </w:tc>
      </w:tr>
    </w:tbl>
    <w:p>
      <w:pPr>
        <w:pStyle w:val="4"/>
        <w:adjustRightInd w:val="0"/>
        <w:snapToGrid w:val="0"/>
        <w:spacing w:before="0" w:after="0" w:line="400" w:lineRule="exact"/>
        <w:ind w:firstLine="480" w:firstLineChars="200"/>
        <w:rPr>
          <w:rFonts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4480"/>
      <w:bookmarkStart w:id="19" w:name="_Toc106030873"/>
      <w:bookmarkStart w:id="20" w:name="_Toc76462319"/>
      <w:r>
        <w:rPr>
          <w:rFonts w:hint="eastAsia" w:ascii="方正仿宋_GBK" w:hAnsi="宋体" w:eastAsia="方正仿宋_GBK"/>
          <w:sz w:val="24"/>
        </w:rPr>
        <w:t>投标人资格条件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106030874"/>
      <w:bookmarkStart w:id="22" w:name="_Toc76462320"/>
      <w:bookmarkStart w:id="23" w:name="_Toc9183"/>
      <w:bookmarkStart w:id="24" w:name="_Toc27954"/>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1.投标人为所投标产品制造商或经销商；若为经销商投标，须具备投标产品制造商或制造商中国境内代表机构认可的经销资格。</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2.投标人须具备医疗器械经营许可证。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3.投标产品制造商的医疗器械生产企业许可证和生产目录表。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4.所投产品属三类医疗器械的，须具备有效期内《医疗器械经营企业许可证》或《医疗器械经营许可证》。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5.所提供产品属二类医疗器械的，须具备有效期内《医疗器械经营企业许可证》或《第二类医疗器械经营备案凭证》。</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6.所提供产品属一类医疗器械的，须具有所提供产品《第一类医疗器械备案凭证》及《第一类医疗器械备案信息表》。</w:t>
      </w:r>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三、比选有关说明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（一）投标人应通过重庆医科大学附属儿童医院电子招投标平台（zbb.chcmu.com）进行注册和报名。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（四）公开比选采购公告期限及报名截止期限：详见电子招投标平台该项目公告内容。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（五）比选地点：详见电子招投标平台该项目公告内容。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（六）比选开始时间：详见电子招投标平台该项目公告内容。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12841"/>
      <w:bookmarkStart w:id="26" w:name="_Toc26664"/>
      <w:bookmarkStart w:id="27" w:name="_Toc6178"/>
      <w:bookmarkStart w:id="28" w:name="_Toc521053053"/>
      <w:bookmarkStart w:id="29" w:name="_Toc65660334"/>
      <w:bookmarkStart w:id="30" w:name="_Toc11956"/>
      <w:bookmarkStart w:id="31" w:name="_Toc106034625"/>
      <w:bookmarkStart w:id="32" w:name="_Toc525047161"/>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3"/>
        <w:spacing w:line="400" w:lineRule="exact"/>
        <w:rPr>
          <w:rFonts w:ascii="方正仿宋_GBK" w:hAnsi="宋体" w:eastAsia="方正仿宋_GBK"/>
          <w:sz w:val="24"/>
          <w:szCs w:val="24"/>
        </w:rPr>
      </w:pPr>
      <w:r>
        <w:rPr>
          <w:rFonts w:hint="eastAsia" w:ascii="方正仿宋_GBK" w:hAnsi="宋体" w:eastAsia="方正仿宋_GBK"/>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1.未成交供应商的保证金，在中标通知书发放后45个日历日内退还至项目报名时所填写指定的投标单位对公账户。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2.成交供应商的保证金，将在与我院完成签订本项目合同并提交招标办公室（将合同扫描文件发送至zbb63632469@qq.com）之后45个日历日内，无息退还至项目报名时所填写的投标单位对公账户。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65660335"/>
      <w:bookmarkStart w:id="34" w:name="_Toc521053054"/>
      <w:bookmarkStart w:id="35" w:name="_Toc525047162"/>
      <w:bookmarkStart w:id="36" w:name="_Toc2945"/>
      <w:bookmarkStart w:id="37" w:name="_Toc106034626"/>
      <w:bookmarkStart w:id="38" w:name="_Toc4355"/>
      <w:bookmarkStart w:id="39" w:name="_Toc1546"/>
      <w:bookmarkStart w:id="40" w:name="_Toc24100"/>
      <w:r>
        <w:rPr>
          <w:rFonts w:hint="eastAsia" w:ascii="方正仿宋_GBK" w:hAnsi="宋体" w:eastAsia="方正仿宋_GBK"/>
          <w:sz w:val="24"/>
        </w:rPr>
        <w:t>五、</w:t>
      </w:r>
      <w:bookmarkEnd w:id="33"/>
      <w:bookmarkEnd w:id="34"/>
      <w:bookmarkEnd w:id="35"/>
      <w:bookmarkEnd w:id="36"/>
      <w:bookmarkEnd w:id="37"/>
      <w:bookmarkEnd w:id="38"/>
      <w:bookmarkStart w:id="41" w:name="_Toc525047163"/>
      <w:bookmarkStart w:id="42" w:name="_Toc106034627"/>
      <w:bookmarkStart w:id="43" w:name="_Toc6563"/>
      <w:bookmarkStart w:id="44" w:name="_Toc16269"/>
      <w:bookmarkStart w:id="45" w:name="_Toc65660336"/>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（一）重庆医科大学附属儿童医院招标办公室所作出的一切书面通知、修改、补充说明、答疑等内容，都是公开比选采购文件不可分割的组成部分。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招标办公室，否则即视为完全放弃对本公开比选采购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公开比选采购文件的全部内容。如发现缺页或附件不全，应及时提出，以便补齐。如有疑问，请在投标截止日前向招标单位提出，超过此时间规定，招标单位不再受理对于公开比选采购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106034628"/>
      <w:bookmarkStart w:id="48" w:name="_Toc521053056"/>
      <w:bookmarkStart w:id="49" w:name="_Toc1733"/>
      <w:bookmarkStart w:id="50" w:name="_Toc10415"/>
      <w:bookmarkStart w:id="51" w:name="_Toc21079"/>
      <w:bookmarkStart w:id="52" w:name="_Toc525047164"/>
      <w:bookmarkStart w:id="53" w:name="_Toc24901"/>
      <w:bookmarkStart w:id="54" w:name="_Toc65660337"/>
      <w:r>
        <w:rPr>
          <w:rFonts w:hint="eastAsia" w:ascii="方正仿宋_GBK" w:hAnsi="宋体" w:eastAsia="方正仿宋_GBK"/>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bookmarkEnd w:id="15"/>
    <w:p>
      <w:pPr>
        <w:snapToGrid w:val="0"/>
        <w:spacing w:line="400" w:lineRule="exact"/>
        <w:ind w:firstLine="482" w:firstLineChars="200"/>
        <w:rPr>
          <w:rFonts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ascii="方正仿宋_GBK" w:hAnsi="宋体" w:eastAsia="方正仿宋_GBK"/>
          <w:sz w:val="24"/>
          <w:szCs w:val="24"/>
        </w:rPr>
      </w:pPr>
      <w:bookmarkStart w:id="55" w:name="_Toc12789058"/>
    </w:p>
    <w:p>
      <w:pPr>
        <w:pStyle w:val="3"/>
        <w:tabs>
          <w:tab w:val="left" w:pos="3360"/>
        </w:tabs>
        <w:spacing w:line="360" w:lineRule="auto"/>
        <w:jc w:val="center"/>
        <w:rPr>
          <w:rFonts w:ascii="方正仿宋_GBK" w:eastAsia="方正仿宋_GBK"/>
          <w:b/>
          <w:sz w:val="44"/>
        </w:rPr>
      </w:pPr>
      <w:bookmarkStart w:id="56" w:name="_Toc12959"/>
      <w:bookmarkStart w:id="57" w:name="_Toc725"/>
      <w:bookmarkStart w:id="58" w:name="_Toc23143"/>
      <w:bookmarkStart w:id="59" w:name="_Toc1625"/>
      <w:bookmarkStart w:id="60" w:name="_Toc75793504"/>
      <w:bookmarkStart w:id="61" w:name="_Toc8649"/>
      <w:bookmarkStart w:id="62" w:name="_Toc2422"/>
      <w:bookmarkStart w:id="63" w:name="_Toc2070"/>
      <w:bookmarkStart w:id="64" w:name="_Toc19886"/>
      <w:bookmarkStart w:id="65" w:name="_Toc11017"/>
      <w:bookmarkStart w:id="66" w:name="_Toc32686"/>
      <w:bookmarkStart w:id="67" w:name="_Toc25639"/>
      <w:bookmarkStart w:id="68" w:name="_Toc1492"/>
      <w:bookmarkStart w:id="69" w:name="_Toc5461"/>
      <w:bookmarkStart w:id="70" w:name="_Toc26176"/>
      <w:bookmarkStart w:id="71" w:name="_Toc106030380"/>
      <w:bookmarkStart w:id="72" w:name="_Toc22327"/>
      <w:r>
        <w:rPr>
          <w:rFonts w:hint="eastAsia" w:ascii="方正仿宋_GBK" w:eastAsia="方正仿宋_GBK"/>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eastAsia="方正仿宋_GBK"/>
          <w:b/>
          <w:sz w:val="44"/>
        </w:rPr>
        <w:t>项目技术（质量）需求</w:t>
      </w:r>
      <w:bookmarkEnd w:id="71"/>
      <w:bookmarkEnd w:id="72"/>
    </w:p>
    <w:p>
      <w:pPr>
        <w:ind w:firstLine="480" w:firstLineChars="200"/>
        <w:rPr>
          <w:rFonts w:ascii="方正仿宋_GBK" w:hAnsi="宋体" w:eastAsia="方正仿宋_GBK"/>
          <w:b/>
          <w:bCs/>
          <w:sz w:val="24"/>
          <w:szCs w:val="24"/>
        </w:rPr>
      </w:pPr>
      <w:bookmarkStart w:id="73" w:name="_Toc9261"/>
      <w:bookmarkStart w:id="74" w:name="_Toc19238"/>
      <w:bookmarkStart w:id="75" w:name="_Toc8370"/>
      <w:bookmarkStart w:id="76" w:name="_Toc14433"/>
      <w:bookmarkStart w:id="77" w:name="_Toc7027"/>
      <w:bookmarkStart w:id="78" w:name="_Toc4913"/>
      <w:bookmarkStart w:id="79" w:name="_Toc4519"/>
      <w:bookmarkStart w:id="80" w:name="_Toc106030381"/>
      <w:bookmarkStart w:id="81" w:name="_Toc4531"/>
      <w:bookmarkStart w:id="82" w:name="_Toc75793505"/>
      <w:bookmarkStart w:id="83" w:name="_Toc20979"/>
      <w:bookmarkStart w:id="84" w:name="_Toc22910"/>
      <w:bookmarkStart w:id="85" w:name="_Toc23656"/>
      <w:bookmarkStart w:id="86" w:name="_Toc11703"/>
      <w:bookmarkStart w:id="87" w:name="_Toc23504"/>
      <w:bookmarkStart w:id="88" w:name="_Toc29985"/>
      <w:r>
        <w:rPr>
          <w:rFonts w:hint="eastAsia" w:ascii="方正仿宋_GBK" w:hAnsi="宋体" w:eastAsia="方正仿宋_GBK"/>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序号</w:t>
            </w:r>
          </w:p>
        </w:tc>
        <w:tc>
          <w:tcPr>
            <w:tcW w:w="3614"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产品名称</w:t>
            </w:r>
          </w:p>
        </w:tc>
        <w:tc>
          <w:tcPr>
            <w:tcW w:w="1462" w:type="dxa"/>
            <w:vAlign w:val="center"/>
          </w:tcPr>
          <w:p>
            <w:pPr>
              <w:jc w:val="center"/>
              <w:rPr>
                <w:rFonts w:ascii="方正仿宋_GBK" w:hAnsi="宋体" w:eastAsia="方正仿宋_GBK"/>
                <w:b/>
                <w:sz w:val="24"/>
                <w:szCs w:val="24"/>
              </w:rPr>
            </w:pPr>
            <w:r>
              <w:rPr>
                <w:rFonts w:hint="eastAsia" w:ascii="方正仿宋_GBK" w:hAnsi="宋体" w:eastAsia="方正仿宋_GBK"/>
                <w:b/>
                <w:sz w:val="24"/>
                <w:szCs w:val="24"/>
              </w:rPr>
              <w:t>数量</w:t>
            </w:r>
          </w:p>
        </w:tc>
        <w:tc>
          <w:tcPr>
            <w:tcW w:w="1462" w:type="dxa"/>
            <w:vAlign w:val="center"/>
          </w:tcPr>
          <w:p>
            <w:pPr>
              <w:jc w:val="center"/>
              <w:rPr>
                <w:rFonts w:hint="eastAsia" w:ascii="方正仿宋_GBK" w:hAnsi="宋体" w:eastAsia="方正仿宋_GBK"/>
                <w:b/>
                <w:sz w:val="24"/>
                <w:szCs w:val="24"/>
                <w:lang w:val="en-US" w:eastAsia="zh-CN"/>
              </w:rPr>
            </w:pPr>
            <w:r>
              <w:rPr>
                <w:rFonts w:hint="eastAsia" w:ascii="方正仿宋_GBK" w:hAnsi="宋体" w:eastAsia="方正仿宋_GBK"/>
                <w:b/>
                <w:sz w:val="24"/>
                <w:szCs w:val="24"/>
                <w:lang w:val="en-US" w:eastAsia="zh-CN"/>
              </w:rPr>
              <w:t>合同期限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vAlign w:val="center"/>
          </w:tcPr>
          <w:p>
            <w:pPr>
              <w:pStyle w:val="23"/>
              <w:spacing w:line="240" w:lineRule="auto"/>
              <w:ind w:left="0"/>
              <w:jc w:val="center"/>
              <w:outlineLvl w:val="0"/>
              <w:rPr>
                <w:rFonts w:ascii="方正仿宋_GBK" w:hAnsi="宋体" w:eastAsia="方正仿宋_GBK"/>
                <w:sz w:val="24"/>
                <w:szCs w:val="24"/>
              </w:rPr>
            </w:pPr>
            <w:r>
              <w:rPr>
                <w:rFonts w:hint="eastAsia" w:ascii="方正仿宋_GBK" w:hAnsi="宋体" w:eastAsia="方正仿宋_GBK"/>
                <w:sz w:val="24"/>
                <w:szCs w:val="24"/>
              </w:rPr>
              <w:t>1</w:t>
            </w:r>
          </w:p>
        </w:tc>
        <w:tc>
          <w:tcPr>
            <w:tcW w:w="3614" w:type="dxa"/>
            <w:vAlign w:val="center"/>
          </w:tcPr>
          <w:p>
            <w:pPr>
              <w:jc w:val="center"/>
              <w:rPr>
                <w:rFonts w:ascii="方正仿宋_GBK" w:hAnsi="宋体" w:eastAsia="方正仿宋_GBK"/>
                <w:sz w:val="24"/>
                <w:szCs w:val="24"/>
              </w:rPr>
            </w:pPr>
            <w:r>
              <w:rPr>
                <w:rFonts w:hint="eastAsia" w:ascii="方正仿宋_GBK" w:hAnsi="宋体" w:eastAsia="方正仿宋_GBK"/>
                <w:sz w:val="24"/>
                <w:szCs w:val="24"/>
              </w:rPr>
              <w:t>诺如病毒抗原检查试剂盒</w:t>
            </w:r>
          </w:p>
        </w:tc>
        <w:tc>
          <w:tcPr>
            <w:tcW w:w="1462" w:type="dxa"/>
            <w:vAlign w:val="center"/>
          </w:tcPr>
          <w:p>
            <w:pPr>
              <w:jc w:val="center"/>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按实结算</w:t>
            </w:r>
          </w:p>
        </w:tc>
        <w:tc>
          <w:tcPr>
            <w:tcW w:w="1462" w:type="dxa"/>
            <w:vAlign w:val="center"/>
          </w:tcPr>
          <w:p>
            <w:pPr>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3年</w:t>
            </w:r>
          </w:p>
        </w:tc>
      </w:tr>
    </w:tbl>
    <w:p>
      <w:pPr>
        <w:ind w:firstLine="480" w:firstLineChars="200"/>
        <w:rPr>
          <w:rFonts w:ascii="方正仿宋_GBK" w:hAnsi="宋体" w:eastAsia="方正仿宋_GBK"/>
          <w:sz w:val="24"/>
          <w:szCs w:val="24"/>
        </w:rPr>
      </w:pPr>
      <w:bookmarkStart w:id="89" w:name="_Toc23975"/>
      <w:bookmarkStart w:id="90" w:name="_Toc26453"/>
      <w:bookmarkStart w:id="91" w:name="_Toc12568"/>
      <w:bookmarkStart w:id="92" w:name="_Toc18903"/>
      <w:bookmarkStart w:id="93" w:name="_Toc18675"/>
      <w:bookmarkStart w:id="94" w:name="_Toc21817"/>
      <w:bookmarkStart w:id="95" w:name="_Toc106030382"/>
      <w:bookmarkStart w:id="96" w:name="_Toc15696"/>
      <w:bookmarkStart w:id="97" w:name="_Toc32262"/>
      <w:bookmarkStart w:id="98" w:name="_Toc5751"/>
      <w:bookmarkStart w:id="99" w:name="_Toc28205"/>
      <w:bookmarkStart w:id="100" w:name="_Toc75793506"/>
      <w:bookmarkStart w:id="101" w:name="_Toc695"/>
      <w:bookmarkStart w:id="102" w:name="_Toc18800"/>
      <w:bookmarkStart w:id="103" w:name="_Toc7792"/>
      <w:bookmarkStart w:id="104" w:name="_Toc10143"/>
      <w:bookmarkStart w:id="105" w:name="_Toc27067"/>
      <w:r>
        <w:rPr>
          <w:rFonts w:hint="eastAsia" w:ascii="方正仿宋_GBK" w:hAnsi="宋体" w:eastAsia="方正仿宋_GBK"/>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1.符合率：符合中华人民共和国医药行业标准YY/T 1713-2020 胶体金免疫层析法检测试剂盒。国家参考品阴性、阳性样本检测符合率100%；</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2.精密度：参考品或同一阳性标本重复检测10次(n=10),规定时间内结果均为阳性显色一致；</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3.批号试剂更换周期：周期≥6月；</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4.市场情况：提供投标产品五家以上的三甲医院供货发票；</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val="en-US" w:eastAsia="zh-CN"/>
        </w:rPr>
        <w:t>5.质量要求：室间比对20份阴阳性标本，符合率&gt;80%。室间比对不符合或者无效卡出现3例/月的情况：更换新批号或停止合同。</w:t>
      </w:r>
      <w:r>
        <w:rPr>
          <w:rFonts w:hint="eastAsia"/>
        </w:rPr>
        <w:t xml:space="preserve">  </w:t>
      </w:r>
      <w:r>
        <w:rPr>
          <w:rFonts w:hint="eastAsia" w:ascii="方正仿宋_GBK" w:hAnsi="宋体" w:eastAsia="方正仿宋_GBK"/>
          <w:sz w:val="24"/>
          <w:szCs w:val="24"/>
        </w:rPr>
        <w:t xml:space="preserve">                               </w:t>
      </w:r>
    </w:p>
    <w:p>
      <w:pPr>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b/>
          <w:bCs/>
          <w:sz w:val="24"/>
          <w:szCs w:val="24"/>
        </w:rPr>
        <w:t>三．响应证明</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技术需求所有条款的响应须有投标人提供产品说明书、彩页、官网截图之一并盖公章确认作为证明材料。</w:t>
      </w:r>
    </w:p>
    <w:p>
      <w:pPr>
        <w:pStyle w:val="2"/>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p>
    <w:p>
      <w:pPr>
        <w:pStyle w:val="4"/>
        <w:spacing w:before="200" w:after="200" w:line="240" w:lineRule="auto"/>
        <w:jc w:val="center"/>
        <w:rPr>
          <w:rFonts w:ascii="方正仿宋_GBK" w:hAnsi="Times New Roman" w:eastAsia="方正仿宋_GBK"/>
          <w:sz w:val="44"/>
        </w:rPr>
      </w:pPr>
      <w:bookmarkStart w:id="106" w:name="_Toc12473"/>
      <w:bookmarkStart w:id="107" w:name="_Toc7791"/>
      <w:bookmarkStart w:id="108" w:name="_Toc76462327"/>
      <w:bookmarkStart w:id="109" w:name="_Toc106030882"/>
      <w:r>
        <w:rPr>
          <w:rFonts w:hint="eastAsia" w:ascii="方正仿宋_GBK" w:hAnsi="Times New Roman" w:eastAsia="方正仿宋_GBK"/>
          <w:sz w:val="44"/>
        </w:rPr>
        <w:t xml:space="preserve">第三篇  </w:t>
      </w:r>
      <w:bookmarkEnd w:id="55"/>
      <w:r>
        <w:rPr>
          <w:rFonts w:hint="eastAsia" w:ascii="方正仿宋_GBK" w:hAnsi="Times New Roman" w:eastAsia="方正仿宋_GBK"/>
          <w:sz w:val="44"/>
        </w:rPr>
        <w:t>项目商务需求</w:t>
      </w:r>
      <w:bookmarkEnd w:id="106"/>
      <w:bookmarkEnd w:id="107"/>
      <w:bookmarkEnd w:id="108"/>
      <w:bookmarkEnd w:id="10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widowControl/>
              <w:spacing w:line="400" w:lineRule="exact"/>
              <w:ind w:firstLine="560" w:firstLineChars="200"/>
              <w:jc w:val="center"/>
              <w:rPr>
                <w:rFonts w:ascii="方正仿宋_GBK" w:hAnsi="宋体" w:eastAsia="方正仿宋_GBK"/>
                <w:sz w:val="24"/>
                <w:szCs w:val="24"/>
              </w:rPr>
            </w:pPr>
            <w:r>
              <w:rPr>
                <w:rFonts w:hint="eastAsia" w:ascii="方正仿宋_GBK" w:hAnsi="宋体" w:eastAsia="方正仿宋_GBK"/>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交货时间、交货地点及验收方式</w:t>
            </w:r>
          </w:p>
        </w:tc>
        <w:tc>
          <w:tcPr>
            <w:tcW w:w="4277" w:type="pct"/>
            <w:vAlign w:val="center"/>
          </w:tcPr>
          <w:p>
            <w:pPr>
              <w:pStyle w:val="143"/>
              <w:widowControl/>
              <w:spacing w:line="400" w:lineRule="exact"/>
              <w:rPr>
                <w:rFonts w:ascii="方正仿宋_GBK" w:hAnsi="宋体" w:eastAsia="方正仿宋_GBK"/>
                <w:color w:val="auto"/>
                <w:sz w:val="24"/>
                <w:szCs w:val="24"/>
              </w:rPr>
            </w:pPr>
            <w:r>
              <w:rPr>
                <w:rFonts w:hint="eastAsia" w:ascii="方正仿宋_GBK" w:hAnsi="宋体" w:eastAsia="方正仿宋_GBK"/>
                <w:sz w:val="24"/>
                <w:szCs w:val="24"/>
              </w:rPr>
              <w:t>交货时间：</w:t>
            </w:r>
            <w:r>
              <w:rPr>
                <w:rFonts w:hint="eastAsia" w:ascii="方正仿宋_GBK" w:hAnsi="宋体" w:eastAsia="方正仿宋_GBK"/>
                <w:color w:val="auto"/>
                <w:sz w:val="24"/>
                <w:szCs w:val="24"/>
                <w:lang w:val="en-US" w:eastAsia="zh-CN"/>
              </w:rPr>
              <w:t>成交供应商</w:t>
            </w:r>
            <w:r>
              <w:rPr>
                <w:rFonts w:hint="eastAsia" w:ascii="方正仿宋_GBK" w:hAnsi="宋体" w:eastAsia="方正仿宋_GBK"/>
                <w:color w:val="auto"/>
                <w:sz w:val="24"/>
                <w:szCs w:val="24"/>
              </w:rPr>
              <w:t>应在接到采购人通知后7个日历日内完成送货。</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交货地点：重庆医科大学附属儿童医院两江院区、渝中院区</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验收方式：</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（一）货物到达现场后，投标人应经采购人或其指定验收单位清点品名、规格、数量；检查外观，作出表面验收记录，双方签字确认。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（二）投标人应保证货物到达用户所在地完好无损，如有缺漏、损坏，由投标人负责调换、补齐或赔偿。</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（三）投标人应提供完备的技术资料、装箱单和合格证等，并派遣专业技术人员进行现场安装调试。验收合格条件如下：</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1.品种、规格、数量、技术参数以及商品品牌、制造商等与采购合同一致，性能指标达到规定的标准。</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2.货物技术资料、装箱单、合格证等资料齐全。</w:t>
            </w:r>
          </w:p>
          <w:p>
            <w:pPr>
              <w:spacing w:line="400" w:lineRule="exact"/>
              <w:ind w:firstLine="240" w:firstLineChars="100"/>
              <w:rPr>
                <w:rFonts w:ascii="方正仿宋_GBK" w:hAnsi="宋体" w:eastAsia="方正仿宋_GBK"/>
                <w:sz w:val="24"/>
                <w:szCs w:val="24"/>
              </w:rPr>
            </w:pPr>
            <w:r>
              <w:rPr>
                <w:rFonts w:hint="eastAsia" w:ascii="方正仿宋_GBK" w:hAnsi="宋体" w:eastAsia="方正仿宋_GBK"/>
                <w:sz w:val="24"/>
                <w:szCs w:val="24"/>
              </w:rPr>
              <w:t>3.在规定时间内完成交货并验收，并经采购人确认。</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（四）投标人提供的货物未达到</w:t>
            </w:r>
            <w:r>
              <w:rPr>
                <w:rFonts w:hint="eastAsia" w:ascii="方正仿宋_GBK" w:hAnsi="宋体" w:eastAsia="方正仿宋_GBK"/>
                <w:sz w:val="24"/>
                <w:szCs w:val="24"/>
                <w:lang w:val="en-US" w:eastAsia="zh-CN"/>
              </w:rPr>
              <w:t>采购文件</w:t>
            </w:r>
            <w:r>
              <w:rPr>
                <w:rFonts w:hint="eastAsia" w:ascii="方正仿宋_GBK" w:hAnsi="宋体" w:eastAsia="方正仿宋_GBK"/>
                <w:sz w:val="24"/>
                <w:szCs w:val="24"/>
              </w:rPr>
              <w:t>规定要求，且对采购人造成损失的，由投标人承担一切责任，并赔偿所造成的损失。</w:t>
            </w:r>
          </w:p>
          <w:p>
            <w:pPr>
              <w:spacing w:line="400" w:lineRule="exact"/>
              <w:rPr>
                <w:rFonts w:ascii="方正仿宋_GBK" w:hAnsi="宋体" w:eastAsia="方正仿宋_GBK"/>
                <w:sz w:val="24"/>
                <w:szCs w:val="24"/>
              </w:rPr>
            </w:pPr>
            <w:r>
              <w:rPr>
                <w:rFonts w:hint="eastAsia" w:ascii="方正仿宋_GBK" w:hAnsi="宋体" w:eastAsia="方正仿宋_GBK"/>
                <w:sz w:val="24"/>
                <w:szCs w:val="24"/>
              </w:rPr>
              <w:t>（五）采购人需要制造商对成交供应商交付的产品（包括质量、技术参数等）进行确认的，制造商应予以配合，并出具书面意见。</w:t>
            </w:r>
          </w:p>
          <w:p>
            <w:pPr>
              <w:pStyle w:val="143"/>
              <w:widowControl/>
              <w:spacing w:line="400" w:lineRule="exact"/>
              <w:rPr>
                <w:rFonts w:ascii="方正仿宋_GBK" w:hAnsi="宋体" w:eastAsia="方正仿宋_GBK"/>
                <w:sz w:val="24"/>
                <w:szCs w:val="24"/>
              </w:rPr>
            </w:pPr>
            <w:r>
              <w:rPr>
                <w:rFonts w:hint="eastAsia" w:ascii="方正仿宋_GBK" w:hAnsi="宋体" w:eastAsia="方正仿宋_GBK"/>
                <w:sz w:val="24"/>
                <w:szCs w:val="24"/>
              </w:rPr>
              <w:t>（六）产品包装材料归采购人所有。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质量保证及售后服务</w:t>
            </w:r>
          </w:p>
        </w:tc>
        <w:tc>
          <w:tcPr>
            <w:tcW w:w="4277" w:type="pct"/>
            <w:vAlign w:val="center"/>
          </w:tcPr>
          <w:p>
            <w:pPr>
              <w:spacing w:line="400" w:lineRule="exact"/>
              <w:rPr>
                <w:rFonts w:ascii="方正仿宋_GBK" w:hAnsi="宋体" w:eastAsia="方正仿宋_GBK"/>
                <w:sz w:val="24"/>
                <w:szCs w:val="24"/>
              </w:rPr>
            </w:pPr>
            <w:r>
              <w:rPr>
                <w:rFonts w:hint="eastAsia" w:ascii="方正仿宋_GBK" w:hAnsi="宋体" w:eastAsia="方正仿宋_GBK"/>
                <w:sz w:val="24"/>
                <w:szCs w:val="24"/>
                <w:lang w:val="en-US" w:eastAsia="zh-CN"/>
              </w:rPr>
              <w:t>1.</w:t>
            </w:r>
            <w:r>
              <w:rPr>
                <w:rFonts w:hint="eastAsia" w:ascii="方正仿宋_GBK" w:hAnsi="宋体" w:eastAsia="方正仿宋_GBK"/>
                <w:sz w:val="24"/>
                <w:szCs w:val="24"/>
              </w:rPr>
              <w:t>成交供应商出现一年内一次及以上不能按需供货的情况时，取消该产品的供货资格。</w:t>
            </w:r>
          </w:p>
          <w:p>
            <w:pPr>
              <w:snapToGrid w:val="0"/>
              <w:spacing w:line="400" w:lineRule="exact"/>
              <w:rPr>
                <w:rFonts w:ascii="方正仿宋_GBK" w:hAnsi="宋体" w:eastAsia="方正仿宋_GBK"/>
                <w:sz w:val="24"/>
                <w:szCs w:val="24"/>
              </w:rPr>
            </w:pPr>
            <w:r>
              <w:rPr>
                <w:rFonts w:hint="eastAsia" w:ascii="方正仿宋_GBK" w:hAnsi="宋体" w:eastAsia="方正仿宋_GBK"/>
                <w:sz w:val="24"/>
                <w:szCs w:val="24"/>
                <w:lang w:val="en-US" w:eastAsia="zh-CN"/>
              </w:rPr>
              <w:t>2.</w:t>
            </w:r>
            <w:r>
              <w:rPr>
                <w:rFonts w:hint="eastAsia" w:ascii="方正仿宋_GBK" w:hAnsi="宋体" w:eastAsia="方正仿宋_GBK"/>
                <w:sz w:val="24"/>
                <w:szCs w:val="24"/>
              </w:rPr>
              <w:t>售后及时，接到采购人售后通知后24小时到现场提供解决方案。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报价要求</w:t>
            </w:r>
          </w:p>
        </w:tc>
        <w:tc>
          <w:tcPr>
            <w:tcW w:w="4277" w:type="pct"/>
            <w:vAlign w:val="center"/>
          </w:tcPr>
          <w:p>
            <w:pPr>
              <w:pStyle w:val="143"/>
              <w:widowControl/>
              <w:adjustRightInd w:val="0"/>
              <w:snapToGrid w:val="0"/>
              <w:spacing w:line="400" w:lineRule="exact"/>
              <w:jc w:val="left"/>
              <w:rPr>
                <w:rFonts w:ascii="方正仿宋_GBK" w:hAnsi="宋体" w:eastAsia="方正仿宋_GBK"/>
                <w:sz w:val="24"/>
                <w:szCs w:val="24"/>
              </w:rPr>
            </w:pPr>
            <w:r>
              <w:rPr>
                <w:rFonts w:hint="eastAsia" w:ascii="方正仿宋_GBK" w:hAnsi="宋体" w:eastAsia="方正仿宋_GBK"/>
                <w:sz w:val="24"/>
                <w:szCs w:val="24"/>
              </w:rPr>
              <w:t>该项目报价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每人份</w:t>
            </w:r>
            <w:r>
              <w:rPr>
                <w:rFonts w:hint="eastAsia" w:ascii="方正仿宋_GBK" w:hAnsi="宋体" w:eastAsia="方正仿宋_GBK" w:cs="宋体"/>
                <w:kern w:val="0"/>
                <w:sz w:val="24"/>
                <w:szCs w:val="24"/>
              </w:rPr>
              <w:t>包干单价</w:t>
            </w:r>
            <w:r>
              <w:rPr>
                <w:rFonts w:hint="eastAsia" w:ascii="方正仿宋_GBK" w:hAnsi="宋体" w:eastAsia="方正仿宋_GBK"/>
                <w:sz w:val="24"/>
                <w:szCs w:val="24"/>
              </w:rPr>
              <w:t>，包括完成货物、运输、验收及其他本项目所需的所有费用及各种应纳的税费。因成交供应商自身原因造成漏报、少报皆由其自行承担责任，采购人不再补偿。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付款方式</w:t>
            </w:r>
          </w:p>
        </w:tc>
        <w:tc>
          <w:tcPr>
            <w:tcW w:w="4277" w:type="pct"/>
            <w:vAlign w:val="center"/>
          </w:tcPr>
          <w:p>
            <w:pPr>
              <w:pStyle w:val="143"/>
              <w:widowControl/>
              <w:adjustRightInd w:val="0"/>
              <w:snapToGrid w:val="0"/>
              <w:spacing w:line="400" w:lineRule="exact"/>
              <w:jc w:val="left"/>
            </w:pPr>
            <w:r>
              <w:rPr>
                <w:rFonts w:hint="eastAsia" w:ascii="方正仿宋_GBK" w:hAnsi="宋体" w:eastAsia="方正仿宋_GBK"/>
                <w:sz w:val="24"/>
                <w:szCs w:val="24"/>
                <w:lang w:val="en-US" w:eastAsia="zh-CN"/>
              </w:rPr>
              <w:t>每月结算一次</w:t>
            </w:r>
            <w:r>
              <w:rPr>
                <w:rFonts w:hint="eastAsia" w:ascii="方正仿宋_GBK" w:hAnsi="宋体" w:eastAsia="方正仿宋_GBK"/>
                <w:sz w:val="24"/>
                <w:szCs w:val="24"/>
              </w:rPr>
              <w:t>，成交供应商</w:t>
            </w:r>
            <w:r>
              <w:rPr>
                <w:rFonts w:hint="eastAsia" w:ascii="方正仿宋_GBK" w:hAnsi="宋体" w:eastAsia="方正仿宋_GBK"/>
                <w:sz w:val="24"/>
                <w:szCs w:val="24"/>
                <w:lang w:val="en-US" w:eastAsia="zh-CN"/>
              </w:rPr>
              <w:t>每月</w:t>
            </w:r>
            <w:r>
              <w:rPr>
                <w:rFonts w:hint="eastAsia" w:ascii="方正仿宋_GBK" w:hAnsi="宋体" w:eastAsia="方正仿宋_GBK"/>
                <w:sz w:val="24"/>
                <w:szCs w:val="24"/>
              </w:rPr>
              <w:t>向采购人开具</w:t>
            </w:r>
            <w:r>
              <w:rPr>
                <w:rFonts w:hint="eastAsia" w:ascii="方正仿宋_GBK" w:hAnsi="宋体" w:eastAsia="方正仿宋_GBK"/>
                <w:sz w:val="24"/>
                <w:szCs w:val="24"/>
                <w:lang w:val="en-US" w:eastAsia="zh-CN"/>
              </w:rPr>
              <w:t>上月采购金额</w:t>
            </w:r>
            <w:r>
              <w:rPr>
                <w:rFonts w:hint="eastAsia" w:ascii="方正仿宋_GBK" w:hAnsi="宋体" w:eastAsia="方正仿宋_GBK"/>
                <w:sz w:val="24"/>
                <w:szCs w:val="24"/>
              </w:rPr>
              <w:t>发票，采购人收到发票后2个月内以转账方式向成交供应商支付。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widowControl/>
              <w:adjustRightInd w:val="0"/>
              <w:snapToGrid w:val="0"/>
              <w:spacing w:line="400" w:lineRule="exact"/>
              <w:jc w:val="center"/>
              <w:rPr>
                <w:rFonts w:ascii="方正仿宋_GBK" w:hAnsi="宋体" w:eastAsia="方正仿宋_GBK"/>
                <w:b/>
                <w:bCs/>
                <w:sz w:val="24"/>
                <w:szCs w:val="24"/>
              </w:rPr>
            </w:pPr>
            <w:r>
              <w:rPr>
                <w:rFonts w:hint="eastAsia" w:ascii="方正仿宋_GBK" w:hAnsi="宋体" w:eastAsia="方正仿宋_GBK"/>
                <w:b/>
                <w:bCs/>
                <w:sz w:val="24"/>
                <w:szCs w:val="24"/>
              </w:rPr>
              <w:t>其他</w:t>
            </w:r>
          </w:p>
        </w:tc>
        <w:tc>
          <w:tcPr>
            <w:tcW w:w="4277" w:type="pct"/>
            <w:vAlign w:val="center"/>
          </w:tcPr>
          <w:p>
            <w:pPr>
              <w:pStyle w:val="143"/>
              <w:snapToGrid w:val="0"/>
              <w:spacing w:line="400" w:lineRule="exact"/>
              <w:rPr>
                <w:rFonts w:ascii="方正仿宋_GBK" w:hAnsi="宋体" w:eastAsia="方正仿宋_GBK"/>
                <w:sz w:val="24"/>
                <w:szCs w:val="24"/>
              </w:rPr>
            </w:pPr>
            <w:r>
              <w:rPr>
                <w:rFonts w:hint="eastAsia" w:ascii="方正仿宋_GBK" w:hAnsi="宋体" w:eastAsia="方正仿宋_GBK"/>
                <w:sz w:val="24"/>
                <w:szCs w:val="24"/>
              </w:rPr>
              <w:t>（一）投标人必须在响应文件中对以上条款和服务承诺明确列出，承诺内容必须达到本篇及协商文件其他条款的要求。</w:t>
            </w:r>
          </w:p>
          <w:p>
            <w:pPr>
              <w:rPr>
                <w:rFonts w:ascii="方正仿宋_GBK" w:hAnsi="宋体" w:eastAsia="方正仿宋_GBK"/>
                <w:sz w:val="24"/>
                <w:szCs w:val="24"/>
              </w:rPr>
            </w:pPr>
            <w:r>
              <w:rPr>
                <w:rFonts w:hint="eastAsia" w:ascii="方正仿宋_GBK" w:hAnsi="宋体" w:eastAsia="方正仿宋_GBK"/>
                <w:sz w:val="24"/>
                <w:szCs w:val="24"/>
              </w:rPr>
              <w:t>（二）其他未尽事宜由供需双方在采购合同中详细约定。</w:t>
            </w:r>
          </w:p>
        </w:tc>
      </w:tr>
    </w:tbl>
    <w:p>
      <w:pPr>
        <w:rPr>
          <w:rFonts w:ascii="方正仿宋_GBK" w:eastAsia="方正仿宋_GBK"/>
          <w:b/>
          <w:sz w:val="44"/>
        </w:rPr>
      </w:pPr>
      <w:bookmarkStart w:id="110" w:name="_Toc106030887"/>
      <w:bookmarkStart w:id="111" w:name="_Toc6692"/>
      <w:bookmarkStart w:id="112" w:name="_Toc76462332"/>
      <w:r>
        <w:rPr>
          <w:rFonts w:hint="eastAsia" w:ascii="方正仿宋_GBK" w:eastAsia="方正仿宋_GBK"/>
          <w:b/>
          <w:sz w:val="44"/>
        </w:rPr>
        <w:br w:type="page"/>
      </w:r>
    </w:p>
    <w:p>
      <w:pPr>
        <w:pStyle w:val="4"/>
        <w:spacing w:before="200" w:after="200" w:line="240" w:lineRule="auto"/>
        <w:jc w:val="center"/>
        <w:rPr>
          <w:rFonts w:ascii="方正仿宋_GBK" w:hAnsi="Times New Roman" w:eastAsia="方正仿宋_GBK"/>
          <w:sz w:val="44"/>
        </w:rPr>
      </w:pPr>
      <w:bookmarkStart w:id="113" w:name="_Toc19431"/>
      <w:r>
        <w:rPr>
          <w:rFonts w:hint="eastAsia" w:ascii="方正仿宋_GBK" w:hAnsi="Times New Roman" w:eastAsia="方正仿宋_GBK"/>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ascii="方正仿宋_GBK" w:hAnsi="宋体" w:eastAsia="方正仿宋_GBK"/>
          <w:sz w:val="24"/>
        </w:rPr>
      </w:pPr>
      <w:bookmarkStart w:id="114" w:name="_Toc26127"/>
      <w:bookmarkStart w:id="115" w:name="_Toc106030888"/>
      <w:bookmarkStart w:id="116" w:name="_Toc76462333"/>
      <w:bookmarkStart w:id="117" w:name="_Toc14958"/>
      <w:r>
        <w:rPr>
          <w:rFonts w:hint="eastAsia" w:ascii="方正仿宋_GBK" w:hAnsi="宋体" w:eastAsia="方正仿宋_GBK"/>
          <w:sz w:val="24"/>
        </w:rPr>
        <w:t>一、公开比选采购程序</w:t>
      </w:r>
      <w:bookmarkEnd w:id="114"/>
      <w:bookmarkEnd w:id="115"/>
      <w:bookmarkEnd w:id="116"/>
      <w:bookmarkEnd w:id="117"/>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（一）按公开比选采购文件规定的时间和地点进行，投标人须有法定代表人（或其授权代表）或自然人参加。</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依据法律法规和公开比选采购文件的规定，对响应文件中的资格证明等进行审查，以确定投标人是否具备比选资格。资格性审查资料表如下：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pPr>
              <w:jc w:val="center"/>
              <w:rPr>
                <w:rFonts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restart"/>
            <w:vAlign w:val="center"/>
          </w:tcPr>
          <w:p>
            <w:pPr>
              <w:jc w:val="center"/>
              <w:rPr>
                <w:rFonts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 xml:space="preserve">1.投标人法人营业执照（副本）或事业单位法人证书（副本）或个体工商户营业执照或有效的自然人身份证明或社会团体法人登记证书（提供复印件）。 </w:t>
            </w:r>
          </w:p>
          <w:p>
            <w:pPr>
              <w:rPr>
                <w:rFonts w:ascii="方正仿宋_GBK" w:hAnsi="仿宋" w:eastAsia="方正仿宋_GBK"/>
                <w:sz w:val="21"/>
                <w:szCs w:val="21"/>
              </w:rPr>
            </w:pPr>
            <w:r>
              <w:rPr>
                <w:rFonts w:hint="eastAsia" w:ascii="方正仿宋_GBK" w:hAnsi="仿宋" w:eastAsia="方正仿宋_GBK"/>
                <w:sz w:val="21"/>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vAlign w:val="center"/>
          </w:tcPr>
          <w:p>
            <w:pPr>
              <w:rPr>
                <w:rFonts w:ascii="方正仿宋_GBK" w:hAnsi="仿宋" w:eastAsia="方正仿宋_GBK"/>
                <w:b/>
                <w:sz w:val="21"/>
                <w:szCs w:val="21"/>
              </w:rPr>
            </w:pPr>
            <w:r>
              <w:rPr>
                <w:rFonts w:hint="eastAsia" w:ascii="方正仿宋_GBK" w:hAnsi="仿宋" w:eastAsia="方正仿宋_GBK"/>
                <w:sz w:val="21"/>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lang w:val="zh-CN"/>
              </w:rPr>
            </w:pPr>
          </w:p>
        </w:tc>
        <w:tc>
          <w:tcPr>
            <w:tcW w:w="3118" w:type="dxa"/>
            <w:vAlign w:val="center"/>
          </w:tcPr>
          <w:p>
            <w:pPr>
              <w:rPr>
                <w:rFonts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vAlign w:val="center"/>
          </w:tcPr>
          <w:p>
            <w:pPr>
              <w:rPr>
                <w:rFonts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vAlign w:val="center"/>
          </w:tcPr>
          <w:p>
            <w:pPr>
              <w:rPr>
                <w:rFonts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jc w:val="center"/>
              <w:rPr>
                <w:rFonts w:ascii="方正仿宋_GBK" w:hAnsi="仿宋" w:eastAsia="方正仿宋_GBK"/>
                <w:sz w:val="21"/>
                <w:szCs w:val="21"/>
              </w:rPr>
            </w:pPr>
          </w:p>
        </w:tc>
        <w:tc>
          <w:tcPr>
            <w:tcW w:w="709" w:type="dxa"/>
            <w:vMerge w:val="continue"/>
            <w:vAlign w:val="center"/>
          </w:tcPr>
          <w:p>
            <w:pPr>
              <w:rPr>
                <w:rFonts w:ascii="方正仿宋_GBK" w:hAnsi="仿宋" w:eastAsia="方正仿宋_GBK" w:cs="仿宋_GB2312"/>
                <w:sz w:val="21"/>
                <w:szCs w:val="21"/>
              </w:rPr>
            </w:pPr>
          </w:p>
        </w:tc>
        <w:tc>
          <w:tcPr>
            <w:tcW w:w="3118" w:type="dxa"/>
            <w:vAlign w:val="center"/>
          </w:tcPr>
          <w:p>
            <w:pPr>
              <w:rPr>
                <w:rFonts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vAlign w:val="center"/>
          </w:tcPr>
          <w:p>
            <w:pPr>
              <w:rPr>
                <w:rFonts w:ascii="方正仿宋_GBK" w:hAnsi="仿宋" w:eastAsia="方正仿宋_GBK"/>
                <w:sz w:val="21"/>
                <w:szCs w:val="21"/>
              </w:rPr>
            </w:pPr>
            <w:r>
              <w:rPr>
                <w:rFonts w:hint="eastAsia" w:ascii="方正仿宋_GBK" w:hAnsi="仿宋" w:eastAsia="方正仿宋_GBK"/>
                <w:sz w:val="21"/>
                <w:szCs w:val="21"/>
              </w:rPr>
              <w:t>按“第一篇三、投标人资格要求（三）本项目的特定资格要求”的要求提交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jc w:val="center"/>
              <w:rPr>
                <w:rFonts w:ascii="方正仿宋_GBK" w:hAnsi="仿宋" w:eastAsia="方正仿宋_GBK"/>
                <w:sz w:val="21"/>
                <w:szCs w:val="21"/>
              </w:rPr>
            </w:pPr>
            <w:r>
              <w:rPr>
                <w:rFonts w:hint="eastAsia" w:ascii="方正仿宋_GBK" w:hAnsi="仿宋" w:eastAsia="方正仿宋_GBK"/>
                <w:sz w:val="21"/>
                <w:szCs w:val="21"/>
              </w:rPr>
              <w:t>（二）</w:t>
            </w:r>
          </w:p>
        </w:tc>
        <w:tc>
          <w:tcPr>
            <w:tcW w:w="709" w:type="dxa"/>
          </w:tcPr>
          <w:p>
            <w:pPr>
              <w:jc w:val="left"/>
              <w:rPr>
                <w:rFonts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tcPr>
          <w:p>
            <w:pPr>
              <w:rPr>
                <w:rFonts w:ascii="方正仿宋_GBK" w:hAnsi="仿宋" w:eastAsia="方正仿宋_GBK"/>
                <w:sz w:val="21"/>
                <w:szCs w:val="21"/>
              </w:rPr>
            </w:pPr>
          </w:p>
        </w:tc>
        <w:tc>
          <w:tcPr>
            <w:tcW w:w="4984" w:type="dxa"/>
          </w:tcPr>
          <w:p>
            <w:pPr>
              <w:jc w:val="left"/>
              <w:rPr>
                <w:rFonts w:ascii="方正仿宋_GBK" w:hAnsi="仿宋" w:eastAsia="方正仿宋_GBK"/>
                <w:sz w:val="21"/>
                <w:szCs w:val="21"/>
              </w:rPr>
            </w:pPr>
            <w:r>
              <w:rPr>
                <w:rFonts w:hint="eastAsia" w:ascii="方正仿宋_GBK" w:hAnsi="仿宋" w:eastAsia="方正仿宋_GBK"/>
                <w:sz w:val="21"/>
                <w:szCs w:val="21"/>
              </w:rPr>
              <w:t>按照比选文件要求足额交纳保证金。</w:t>
            </w:r>
          </w:p>
        </w:tc>
      </w:tr>
    </w:tbl>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ascii="方正仿宋_GBK" w:hAnsi="宋体" w:eastAsia="方正仿宋_GBK"/>
          <w:sz w:val="24"/>
        </w:rPr>
      </w:pPr>
      <w:bookmarkStart w:id="118" w:name="_Toc27374"/>
      <w:r>
        <w:rPr>
          <w:rFonts w:hint="eastAsia" w:ascii="方正仿宋_GBK" w:hAnsi="宋体" w:eastAsia="方正仿宋_GBK"/>
          <w:sz w:val="24"/>
        </w:rPr>
        <w:t>二、评标方法</w:t>
      </w:r>
      <w:bookmarkEnd w:id="118"/>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pPr>
      <w:r>
        <w:rPr>
          <w:rFonts w:hint="eastAsia" w:ascii="方正仿宋_GBK" w:hAnsi="仿宋" w:eastAsia="方正仿宋_GBK"/>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ascii="方正仿宋_GBK" w:hAnsi="宋体" w:eastAsia="方正仿宋_GBK"/>
          <w:sz w:val="24"/>
        </w:rPr>
      </w:pPr>
      <w:bookmarkStart w:id="119" w:name="_Toc106030889"/>
      <w:bookmarkStart w:id="120" w:name="_Toc30944"/>
      <w:bookmarkStart w:id="121" w:name="_Toc76462334"/>
      <w:bookmarkStart w:id="122" w:name="_Toc24315"/>
      <w:bookmarkStart w:id="123" w:name="_Toc342913394"/>
      <w:bookmarkStart w:id="124" w:name="_Toc102227320"/>
      <w:r>
        <w:rPr>
          <w:rFonts w:hint="eastAsia" w:ascii="方正仿宋_GBK" w:hAnsi="宋体" w:eastAsia="方正仿宋_GBK"/>
          <w:sz w:val="24"/>
        </w:rPr>
        <w:t>三、报价方式</w:t>
      </w:r>
    </w:p>
    <w:p>
      <w:pPr>
        <w:pStyle w:val="4"/>
        <w:adjustRightInd w:val="0"/>
        <w:snapToGrid w:val="0"/>
        <w:spacing w:before="0" w:after="0" w:line="400" w:lineRule="exact"/>
        <w:ind w:firstLine="480" w:firstLineChars="200"/>
        <w:rPr>
          <w:rFonts w:ascii="方正仿宋_GBK" w:hAnsi="宋体" w:eastAsia="方正仿宋_GBK"/>
          <w:sz w:val="24"/>
        </w:rPr>
      </w:pPr>
      <w:bookmarkStart w:id="125" w:name="_Toc5837"/>
      <w:r>
        <w:rPr>
          <w:rFonts w:hint="eastAsia" w:ascii="方正仿宋_GBK" w:hAnsi="宋体" w:eastAsia="方正仿宋_GBK"/>
          <w:b w:val="0"/>
          <w:bCs/>
          <w:sz w:val="24"/>
          <w:szCs w:val="24"/>
        </w:rPr>
        <w:t>本项目投标人可在投标现场进行第二次报价。</w:t>
      </w:r>
      <w:bookmarkEnd w:id="125"/>
    </w:p>
    <w:p>
      <w:pPr>
        <w:pStyle w:val="4"/>
        <w:adjustRightInd w:val="0"/>
        <w:snapToGrid w:val="0"/>
        <w:spacing w:before="0" w:after="0" w:line="400" w:lineRule="exact"/>
        <w:ind w:firstLine="480" w:firstLineChars="200"/>
        <w:rPr>
          <w:rFonts w:ascii="方正仿宋_GBK" w:hAnsi="宋体" w:eastAsia="方正仿宋_GBK"/>
          <w:sz w:val="24"/>
        </w:rPr>
      </w:pPr>
      <w:r>
        <w:rPr>
          <w:rFonts w:hint="eastAsia" w:ascii="方正仿宋_GBK" w:hAnsi="宋体" w:eastAsia="方正仿宋_GBK"/>
          <w:sz w:val="24"/>
        </w:rPr>
        <w:t>四、评审标准</w:t>
      </w:r>
      <w:bookmarkEnd w:id="119"/>
      <w:bookmarkEnd w:id="120"/>
      <w:bookmarkEnd w:id="121"/>
      <w:bookmarkEnd w:id="122"/>
    </w:p>
    <w:p>
      <w:pPr>
        <w:snapToGrid w:val="0"/>
        <w:spacing w:line="400" w:lineRule="exact"/>
        <w:ind w:firstLine="480" w:firstLineChars="200"/>
        <w:rPr>
          <w:rFonts w:ascii="方正仿宋_GBK" w:hAnsi="宋体" w:eastAsia="方正仿宋_GBK"/>
          <w:sz w:val="24"/>
          <w:szCs w:val="24"/>
        </w:rPr>
      </w:pPr>
      <w:bookmarkStart w:id="126" w:name="_Toc76462335"/>
      <w:bookmarkStart w:id="127" w:name="_Toc106030890"/>
      <w:bookmarkStart w:id="128" w:name="_Toc31497"/>
      <w:r>
        <w:rPr>
          <w:rFonts w:hint="eastAsia" w:ascii="方正仿宋_GBK" w:hAnsi="宋体" w:eastAsia="方正仿宋_GBK"/>
          <w:sz w:val="24"/>
          <w:szCs w:val="24"/>
        </w:rPr>
        <w:t>（一）关于技术（质量）、商务偏离</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ascii="方正仿宋_GBK" w:hAnsi="宋体" w:eastAsia="方正仿宋_GBK"/>
          <w:sz w:val="24"/>
        </w:rPr>
      </w:pPr>
      <w:bookmarkStart w:id="129" w:name="_Toc17606"/>
      <w:r>
        <w:rPr>
          <w:rFonts w:hint="eastAsia" w:ascii="方正仿宋_GBK" w:hAnsi="宋体" w:eastAsia="方正仿宋_GBK"/>
          <w:sz w:val="24"/>
        </w:rPr>
        <w:t>四、无效响应</w:t>
      </w:r>
      <w:bookmarkEnd w:id="126"/>
      <w:bookmarkEnd w:id="127"/>
      <w:bookmarkEnd w:id="128"/>
      <w:bookmarkEnd w:id="129"/>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投标人发生以下条款情况之一者，视为无效响应，其响应文件将被拒绝：</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（一）投标人不符合规定的资格条件的；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（二）投标人的法定代表人（或其授权代表）或自然人未参加比选；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（三）投标人所提交的响应文件不按“第六篇响应文件编制要求”要求签署或盖章；</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（四）投标人的最后报价超过采购预算或最高限价的；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（五）法定代表人为同一个人的两个及两个以上法人，母公司、全资子公司及其控股公司，在同一包采购中同时参与比选；</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（六）单位负责人为同一人或者存在直接控股、管理关系的不同投标人，参加同一合同项下的采购活动的；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（八）投标人磋商有效期不满足公开比选采购文件要求的；</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（九）投标人响应文件内容有与国家现行法律法规相违背的内容，或附有采购人无法接受的条件；</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（十）法律、法规和公开比选采购文件规定的其他无效情形。</w:t>
      </w:r>
    </w:p>
    <w:p>
      <w:pPr>
        <w:pStyle w:val="4"/>
        <w:adjustRightInd w:val="0"/>
        <w:snapToGrid w:val="0"/>
        <w:spacing w:before="0" w:after="0" w:line="400" w:lineRule="exact"/>
        <w:ind w:firstLine="480" w:firstLineChars="200"/>
        <w:rPr>
          <w:rFonts w:ascii="方正仿宋_GBK" w:hAnsi="宋体" w:eastAsia="方正仿宋_GBK"/>
          <w:sz w:val="24"/>
        </w:rPr>
      </w:pPr>
      <w:bookmarkStart w:id="130" w:name="_Toc106030891"/>
      <w:bookmarkStart w:id="131" w:name="_Toc76462336"/>
      <w:bookmarkStart w:id="132" w:name="_Toc10687"/>
      <w:bookmarkStart w:id="133" w:name="_Toc12222"/>
      <w:r>
        <w:rPr>
          <w:rFonts w:hint="eastAsia" w:ascii="方正仿宋_GBK" w:hAnsi="宋体" w:eastAsia="方正仿宋_GBK"/>
          <w:sz w:val="24"/>
        </w:rPr>
        <w:t>五、</w:t>
      </w:r>
      <w:bookmarkEnd w:id="123"/>
      <w:bookmarkEnd w:id="124"/>
      <w:bookmarkEnd w:id="130"/>
      <w:bookmarkEnd w:id="131"/>
      <w:bookmarkEnd w:id="132"/>
      <w:bookmarkEnd w:id="133"/>
      <w:r>
        <w:rPr>
          <w:rFonts w:hint="eastAsia" w:ascii="方正仿宋_GBK" w:hAnsi="宋体" w:eastAsia="方正仿宋_GBK"/>
          <w:sz w:val="24"/>
        </w:rPr>
        <w:t>废标条款</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（一）因情况变化，不再符合规定的公开比选采购方式适用情形的；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（三）在采购过程中符合要求的投标人或者报价未超过采购预算的投标人不足3家的；</w:t>
      </w:r>
    </w:p>
    <w:p>
      <w:pPr>
        <w:snapToGrid w:val="0"/>
        <w:spacing w:line="400" w:lineRule="exact"/>
        <w:ind w:firstLine="465"/>
        <w:rPr>
          <w:rFonts w:ascii="方正仿宋_GBK" w:hAnsi="宋体" w:eastAsia="方正仿宋_GBK"/>
          <w:sz w:val="24"/>
          <w:szCs w:val="24"/>
        </w:rPr>
      </w:pPr>
      <w:r>
        <w:rPr>
          <w:rFonts w:hint="eastAsia" w:ascii="方正仿宋_GBK" w:hAnsi="宋体" w:eastAsia="方正仿宋_GBK"/>
          <w:sz w:val="24"/>
          <w:szCs w:val="24"/>
        </w:rPr>
        <w:t>（四）采购任务变更或取消的。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ascii="方正仿宋_GBK" w:hAnsi="Times New Roman" w:eastAsia="方正仿宋_GBK"/>
          <w:sz w:val="44"/>
        </w:rPr>
      </w:pPr>
      <w:bookmarkStart w:id="134" w:name="_Toc13119"/>
      <w:bookmarkStart w:id="135" w:name="_Toc76462337"/>
      <w:bookmarkStart w:id="136" w:name="_Toc106030892"/>
      <w:bookmarkStart w:id="137" w:name="_Toc102227313"/>
      <w:bookmarkStart w:id="138" w:name="_Toc29948"/>
      <w:r>
        <w:rPr>
          <w:rFonts w:hint="eastAsia" w:ascii="方正仿宋_GBK" w:hAnsi="Times New Roman" w:eastAsia="方正仿宋_GBK"/>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ascii="方正仿宋_GBK" w:hAnsi="宋体" w:eastAsia="方正仿宋_GBK"/>
          <w:sz w:val="24"/>
        </w:rPr>
      </w:pPr>
      <w:bookmarkStart w:id="139" w:name="_Toc26717"/>
      <w:bookmarkStart w:id="140" w:name="_Toc342913389"/>
      <w:bookmarkStart w:id="141" w:name="_Toc20271"/>
      <w:bookmarkStart w:id="142" w:name="_Toc106030893"/>
      <w:bookmarkStart w:id="143" w:name="_Toc76462338"/>
      <w:r>
        <w:rPr>
          <w:rFonts w:hint="eastAsia" w:ascii="方正仿宋_GBK" w:hAnsi="宋体" w:eastAsia="方正仿宋_GBK"/>
          <w:sz w:val="24"/>
        </w:rPr>
        <w:t>一、公开比选费用</w:t>
      </w:r>
      <w:bookmarkEnd w:id="139"/>
      <w:bookmarkEnd w:id="140"/>
      <w:bookmarkEnd w:id="141"/>
      <w:bookmarkEnd w:id="142"/>
      <w:bookmarkEnd w:id="143"/>
    </w:p>
    <w:p>
      <w:pPr>
        <w:pStyle w:val="143"/>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ascii="方正仿宋_GBK" w:hAnsi="宋体" w:eastAsia="方正仿宋_GBK"/>
          <w:sz w:val="24"/>
        </w:rPr>
      </w:pPr>
      <w:bookmarkStart w:id="144" w:name="_Toc342913391"/>
      <w:bookmarkStart w:id="145" w:name="_Toc27891"/>
      <w:bookmarkStart w:id="146" w:name="_Toc76462339"/>
      <w:bookmarkStart w:id="147" w:name="_Toc15712"/>
      <w:bookmarkStart w:id="148" w:name="_Toc106030894"/>
      <w:r>
        <w:rPr>
          <w:rFonts w:hint="eastAsia" w:ascii="方正仿宋_GBK" w:hAnsi="宋体" w:eastAsia="方正仿宋_GBK"/>
          <w:sz w:val="24"/>
        </w:rPr>
        <w:t>二、公开比选采购文件</w:t>
      </w:r>
      <w:bookmarkEnd w:id="144"/>
      <w:bookmarkEnd w:id="145"/>
      <w:bookmarkEnd w:id="146"/>
      <w:bookmarkEnd w:id="147"/>
      <w:bookmarkEnd w:id="148"/>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（一）公开比选采购文件由采购邀请书、项目服务需求、投标人须知、项目商务需求、比选程序及方法、评审标准、无效响应和采购终止、投标人须知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响应文件编制要求六部分组成。</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（二）采购人所作的一切有效的书面通知、修改及补充，都是公开比选采购文件不可分割的部分。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（三）公开比选采购文件的解释</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59349"/>
      <w:bookmarkStart w:id="150" w:name="_Toc318159780"/>
      <w:bookmarkStart w:id="151" w:name="_Toc318159160"/>
      <w:bookmarkStart w:id="152" w:name="_Toc318166429"/>
    </w:p>
    <w:bookmarkEnd w:id="149"/>
    <w:bookmarkEnd w:id="150"/>
    <w:bookmarkEnd w:id="151"/>
    <w:bookmarkEnd w:id="152"/>
    <w:p>
      <w:pPr>
        <w:pStyle w:val="4"/>
        <w:adjustRightInd w:val="0"/>
        <w:snapToGrid w:val="0"/>
        <w:spacing w:before="0" w:after="0" w:line="400" w:lineRule="exact"/>
        <w:ind w:firstLine="480" w:firstLineChars="200"/>
        <w:rPr>
          <w:rFonts w:ascii="方正仿宋_GBK" w:hAnsi="宋体" w:eastAsia="方正仿宋_GBK"/>
          <w:sz w:val="24"/>
        </w:rPr>
      </w:pPr>
      <w:bookmarkStart w:id="153" w:name="_Toc26007"/>
      <w:bookmarkStart w:id="154" w:name="_Toc106030895"/>
      <w:bookmarkStart w:id="155" w:name="_Toc342913392"/>
      <w:bookmarkStart w:id="156" w:name="_Toc102227318"/>
      <w:bookmarkStart w:id="157" w:name="_Toc76462340"/>
      <w:bookmarkStart w:id="158" w:name="_Toc179714297"/>
      <w:bookmarkStart w:id="159" w:name="_Toc20510"/>
      <w:r>
        <w:rPr>
          <w:rFonts w:hint="eastAsia" w:ascii="方正仿宋_GBK" w:hAnsi="宋体" w:eastAsia="方正仿宋_GBK"/>
          <w:sz w:val="24"/>
        </w:rPr>
        <w:t>三、比选要求</w:t>
      </w:r>
      <w:bookmarkEnd w:id="153"/>
      <w:bookmarkEnd w:id="154"/>
      <w:bookmarkEnd w:id="155"/>
      <w:bookmarkEnd w:id="156"/>
      <w:bookmarkEnd w:id="157"/>
      <w:bookmarkEnd w:id="158"/>
      <w:bookmarkEnd w:id="15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（二）比选有效期：响应文件及有关承诺文件有效期为提交响应文件截止时间起90天。</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（三）修正错误</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若响应文件出现计算或表达上的错误，修正错误的原则如下：</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1.响应文件中开标一览表（报价表）内容与响应文件中相应内容不一致的，以开标一览表（报价表）为准；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2.大写金额和小写金额不一致的，以大写金额为准；</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3.单价金额小数点或者百分比有明显错位的，以开标一览表的总价为准，并修改单价；</w:t>
      </w:r>
    </w:p>
    <w:p>
      <w:pPr>
        <w:pStyle w:val="50"/>
        <w:widowControl w:val="0"/>
        <w:adjustRightInd w:val="0"/>
        <w:snapToGrid w:val="0"/>
        <w:spacing w:before="0" w:beforeAutospacing="0" w:after="0" w:afterAutospacing="0" w:line="400" w:lineRule="exact"/>
        <w:ind w:firstLine="480" w:firstLineChars="200"/>
        <w:jc w:val="both"/>
        <w:rPr>
          <w:rFonts w:ascii="方正仿宋_GBK" w:eastAsia="方正仿宋_GBK" w:cs="方正仿宋_GBK"/>
        </w:rPr>
      </w:pPr>
      <w:r>
        <w:rPr>
          <w:rFonts w:hint="eastAsia" w:ascii="方正仿宋_GBK" w:eastAsia="方正仿宋_GBK" w:cs="方正仿宋_GBK"/>
          <w:kern w:val="2"/>
          <w:lang w:bidi="ar"/>
        </w:rPr>
        <w:t>4.总价金额与按单价汇总金额不一致的，以单价金额计算结果为准。</w:t>
      </w:r>
    </w:p>
    <w:p>
      <w:pPr>
        <w:widowControl/>
        <w:ind w:firstLine="480" w:firstLineChars="200"/>
        <w:jc w:val="left"/>
      </w:pPr>
      <w:r>
        <w:rPr>
          <w:rFonts w:hint="eastAsia" w:ascii="方正仿宋_GBK" w:hAnsi="宋体" w:eastAsia="方正仿宋_GBK"/>
          <w:sz w:val="24"/>
          <w:szCs w:val="24"/>
        </w:rPr>
        <w:t>比选小组</w:t>
      </w:r>
      <w:r>
        <w:rPr>
          <w:rFonts w:hint="eastAsia" w:ascii="方正仿宋_GBK" w:hAnsi="宋体" w:eastAsia="方正仿宋_GBK"/>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（四）提交响应文件的份数和签署</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1.响应文件一式六份，其中正本一份，副本五份，电子文档（正本PDF版上传到电子招投标平台，无需提交到开标现场）一份；副本可为正本的复印件，应与正本一致，如出现不一致情况以正本为准。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响应文件按公开比选采购文件“第六篇响应文件编制要求”要求签署或盖章。</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（五）响应文件的递交</w:t>
      </w:r>
    </w:p>
    <w:p>
      <w:pPr>
        <w:pStyle w:val="30"/>
        <w:spacing w:line="400" w:lineRule="exact"/>
        <w:ind w:firstLine="480" w:firstLineChars="200"/>
        <w:rPr>
          <w:rFonts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rPr>
        <w:t>比选</w:t>
      </w:r>
      <w:r>
        <w:rPr>
          <w:rFonts w:hint="eastAsia" w:ascii="方正仿宋_GBK" w:hAnsi="宋体" w:eastAsia="方正仿宋_GBK"/>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（六）投标人参与人员</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ascii="方正仿宋_GBK" w:hAnsi="宋体" w:eastAsia="方正仿宋_GBK"/>
          <w:sz w:val="24"/>
        </w:rPr>
      </w:pPr>
      <w:bookmarkStart w:id="160" w:name="_Toc106030896"/>
      <w:bookmarkStart w:id="161" w:name="_Toc76462341"/>
      <w:bookmarkStart w:id="162" w:name="_Toc6435"/>
      <w:bookmarkStart w:id="163" w:name="_Toc32166"/>
      <w:r>
        <w:rPr>
          <w:rFonts w:hint="eastAsia" w:ascii="方正仿宋_GBK" w:hAnsi="宋体" w:eastAsia="方正仿宋_GBK"/>
          <w:sz w:val="24"/>
        </w:rPr>
        <w:t>四、成交供应商的确认和变更</w:t>
      </w:r>
      <w:bookmarkEnd w:id="160"/>
      <w:bookmarkEnd w:id="161"/>
      <w:bookmarkEnd w:id="162"/>
      <w:bookmarkEnd w:id="163"/>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（一）成交供应商的确认</w:t>
      </w:r>
    </w:p>
    <w:p>
      <w:pPr>
        <w:snapToGrid w:val="0"/>
        <w:spacing w:line="400" w:lineRule="exact"/>
        <w:ind w:firstLine="480" w:firstLineChars="200"/>
        <w:rPr>
          <w:rFonts w:ascii="方正仿宋_GBK" w:hAnsi="宋体" w:eastAsia="方正仿宋_GBK"/>
          <w:sz w:val="24"/>
          <w:szCs w:val="24"/>
        </w:rPr>
      </w:pPr>
      <w:r>
        <w:rPr>
          <w:rFonts w:ascii="方正仿宋_GBK" w:hAnsi="宋体" w:eastAsia="方正仿宋_GBK"/>
          <w:sz w:val="24"/>
          <w:szCs w:val="24"/>
        </w:rPr>
        <w:t>采购人</w:t>
      </w:r>
      <w:r>
        <w:rPr>
          <w:rFonts w:hint="eastAsia" w:ascii="方正仿宋_GBK" w:hAnsi="宋体" w:eastAsia="方正仿宋_GBK"/>
          <w:sz w:val="24"/>
          <w:szCs w:val="24"/>
        </w:rPr>
        <w:t>从评审报告提出的成交候选投标人中，按照排序由高到低的原则确定成交供应商。</w:t>
      </w:r>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（二）成交供应商的变更</w:t>
      </w:r>
    </w:p>
    <w:p>
      <w:pPr>
        <w:snapToGrid w:val="0"/>
        <w:spacing w:line="400" w:lineRule="exact"/>
        <w:ind w:firstLine="480" w:firstLineChars="200"/>
        <w:rPr>
          <w:rFonts w:ascii="方正仿宋_GBK" w:hAnsi="宋体" w:eastAsia="方正仿宋_GBK"/>
          <w:color w:val="FF0000"/>
          <w:sz w:val="24"/>
          <w:szCs w:val="24"/>
        </w:rPr>
      </w:pPr>
      <w:r>
        <w:rPr>
          <w:rFonts w:hint="eastAsia" w:ascii="方正仿宋_GBK" w:eastAsia="方正仿宋_GBK"/>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ascii="方正仿宋_GBK" w:hAnsi="宋体" w:eastAsia="方正仿宋_GBK"/>
          <w:sz w:val="24"/>
        </w:rPr>
      </w:pPr>
      <w:bookmarkStart w:id="164" w:name="_Toc2729"/>
      <w:bookmarkStart w:id="165" w:name="_Toc106030897"/>
      <w:bookmarkStart w:id="166" w:name="_Toc102227321"/>
      <w:bookmarkStart w:id="167" w:name="_Toc76462342"/>
      <w:bookmarkStart w:id="168" w:name="_Toc342913395"/>
      <w:bookmarkStart w:id="169" w:name="_Toc21532"/>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（一）成交供应商确定后，招标办将在重庆医科大学附属儿童医院电子招投标平台（zbb.chcmu.com）上发布成交结果公告，结果公告发出同时，招标办公室将平台内发出《中标通知书》。</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（二）《中标通知书》将作为签订合同的依据。</w:t>
      </w:r>
    </w:p>
    <w:p>
      <w:pPr>
        <w:pStyle w:val="4"/>
        <w:adjustRightInd w:val="0"/>
        <w:snapToGrid w:val="0"/>
        <w:spacing w:before="0" w:after="0" w:line="400" w:lineRule="exact"/>
        <w:ind w:firstLine="480" w:firstLineChars="200"/>
        <w:rPr>
          <w:rFonts w:ascii="方正仿宋_GBK" w:hAnsi="宋体" w:eastAsia="方正仿宋_GBK"/>
          <w:sz w:val="24"/>
        </w:rPr>
      </w:pPr>
      <w:bookmarkStart w:id="170" w:name="_Toc21448"/>
      <w:bookmarkStart w:id="171" w:name="_Toc76462343"/>
      <w:bookmarkStart w:id="172" w:name="_Toc4796"/>
      <w:bookmarkStart w:id="173" w:name="_Toc106030898"/>
      <w:r>
        <w:rPr>
          <w:rFonts w:hint="eastAsia" w:ascii="方正仿宋_GBK" w:hAnsi="宋体" w:eastAsia="方正仿宋_GBK"/>
          <w:sz w:val="24"/>
        </w:rPr>
        <w:t>六、质疑处理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投标人认为采购文件、采购过程和成交结果使自己的权益收到伤害的，可向采购人以书面形式提出质疑。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提出质疑的应当是参与所质疑项目采购活动的投标人。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（一）质疑时限、内容</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1.质疑时限</w:t>
      </w:r>
    </w:p>
    <w:p>
      <w:pPr>
        <w:snapToGrid w:val="0"/>
        <w:spacing w:line="400" w:lineRule="exact"/>
        <w:ind w:firstLine="480" w:firstLineChars="200"/>
        <w:rPr>
          <w:rFonts w:ascii="方正仿宋_GBK" w:hAnsi="仿宋" w:eastAsia="方正仿宋_GBK" w:cs="仿宋"/>
          <w:sz w:val="24"/>
        </w:rPr>
      </w:pPr>
      <w:r>
        <w:rPr>
          <w:rFonts w:hint="eastAsia" w:ascii="方正仿宋_GBK" w:hAnsi="仿宋" w:eastAsia="方正仿宋_GBK" w:cs="仿宋"/>
          <w:sz w:val="24"/>
        </w:rPr>
        <w:t>1.1对采购文件的质疑。</w:t>
      </w:r>
      <w:r>
        <w:rPr>
          <w:rFonts w:hint="eastAsia" w:ascii="方正仿宋_GBK" w:hAnsi="宋体" w:eastAsia="方正仿宋_GBK"/>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2.投标人提出质疑应当提交质疑函和必要的证明材料，质疑函应当包括下列内容：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2.1投标人的姓名或者名称、地址、邮编、联系人及联系电话；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2.8法定代表人授权委托书原件、法定代表人身份证复印件和其授权代表的身份证复印件（投标人为自然人的提供自然人身份证复印件）；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rPr>
        <w:t>（二）质疑答复</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采购人应当在收到投标人的书面质疑后7个工作日内作出答复，并以书面形式通知质疑投标人和其他有关投标人。</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（三）投标人应在质疑期内一次性提出针对同一采购程序环节的质疑。</w:t>
      </w:r>
      <w:bookmarkStart w:id="174" w:name="_Toc106030899"/>
      <w:bookmarkStart w:id="175" w:name="_Toc28334"/>
      <w:bookmarkStart w:id="176" w:name="_Toc76462344"/>
    </w:p>
    <w:p>
      <w:pPr>
        <w:pStyle w:val="4"/>
        <w:numPr>
          <w:ilvl w:val="255"/>
          <w:numId w:val="0"/>
        </w:numPr>
        <w:adjustRightInd w:val="0"/>
        <w:snapToGrid w:val="0"/>
        <w:spacing w:before="0" w:after="0" w:line="400" w:lineRule="exact"/>
        <w:ind w:firstLine="480" w:firstLineChars="200"/>
        <w:rPr>
          <w:rFonts w:ascii="方正仿宋_GBK" w:hAnsi="宋体" w:eastAsia="方正仿宋_GBK"/>
          <w:sz w:val="24"/>
        </w:rPr>
      </w:pPr>
      <w:bookmarkStart w:id="177" w:name="_Toc23896"/>
      <w:r>
        <w:rPr>
          <w:rFonts w:hint="eastAsia" w:ascii="方正仿宋_GBK" w:hAnsi="宋体" w:eastAsia="方正仿宋_GBK"/>
          <w:sz w:val="24"/>
        </w:rPr>
        <w:t>七、</w:t>
      </w:r>
      <w:bookmarkEnd w:id="174"/>
      <w:bookmarkEnd w:id="175"/>
      <w:bookmarkEnd w:id="176"/>
      <w:bookmarkStart w:id="178" w:name="_Toc102227322"/>
      <w:bookmarkStart w:id="179" w:name="_Toc106030901"/>
      <w:bookmarkStart w:id="180" w:name="_Toc76462346"/>
      <w:bookmarkStart w:id="181" w:name="_Toc3372"/>
      <w:bookmarkStart w:id="182" w:name="_Toc342913396"/>
      <w:bookmarkStart w:id="183" w:name="_Toc12789059"/>
      <w:bookmarkStart w:id="184" w:name="_Toc11641055"/>
      <w:r>
        <w:rPr>
          <w:rFonts w:hint="eastAsia" w:ascii="方正仿宋_GBK" w:hAnsi="宋体" w:eastAsia="方正仿宋_GBK"/>
          <w:sz w:val="24"/>
        </w:rPr>
        <w:t>签订</w:t>
      </w:r>
      <w:bookmarkEnd w:id="178"/>
      <w:r>
        <w:rPr>
          <w:rFonts w:hint="eastAsia" w:ascii="方正仿宋_GBK" w:hAnsi="宋体" w:eastAsia="方正仿宋_GBK"/>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（一）中标人应于收到中标通知书之日起5个工作日内，按照中标项目的公开比选采购文件与响应文件递交采购合同。</w:t>
      </w:r>
    </w:p>
    <w:p>
      <w:pPr>
        <w:spacing w:line="400" w:lineRule="exact"/>
        <w:ind w:firstLine="360" w:firstLineChars="150"/>
        <w:rPr>
          <w:rFonts w:ascii="方正仿宋_GBK" w:hAnsi="方正仿宋_GBK" w:eastAsia="方正仿宋_GBK"/>
          <w:sz w:val="24"/>
        </w:rPr>
      </w:pPr>
      <w:r>
        <w:rPr>
          <w:rFonts w:hint="eastAsia" w:ascii="方正仿宋_GBK" w:hAnsi="方正仿宋_GBK" w:eastAsia="方正仿宋_GBK"/>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ascii="方正仿宋_GBK" w:hAnsi="Times New Roman" w:eastAsia="方正仿宋_GBK"/>
          <w:sz w:val="44"/>
        </w:rPr>
      </w:pPr>
      <w:bookmarkStart w:id="185" w:name="_Hlt41879464"/>
      <w:bookmarkEnd w:id="185"/>
      <w:bookmarkStart w:id="186" w:name="_Toc76462349"/>
      <w:bookmarkStart w:id="187" w:name="_Toc106030905"/>
      <w:bookmarkStart w:id="188" w:name="_Toc27984"/>
      <w:bookmarkStart w:id="189" w:name="_Toc17526"/>
      <w:r>
        <w:rPr>
          <w:rFonts w:hint="eastAsia" w:ascii="方正仿宋_GBK" w:hAnsi="Times New Roman" w:eastAsia="方正仿宋_GBK"/>
          <w:sz w:val="44"/>
        </w:rPr>
        <w:t>第六篇  响应文件编制要求</w:t>
      </w:r>
      <w:bookmarkEnd w:id="186"/>
      <w:bookmarkEnd w:id="187"/>
      <w:bookmarkEnd w:id="188"/>
      <w:bookmarkEnd w:id="18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（二）开标现场最终报价表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二、技术部分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（一）技术响应偏离表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（二）法定代表人身份证明书（格式）</w:t>
      </w:r>
      <w:bookmarkStart w:id="226" w:name="_GoBack"/>
      <w:bookmarkEnd w:id="22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（四）投标函（格式）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（六）特定资格条件证书或证明文件</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outlineLvl w:val="0"/>
        <w:rPr>
          <w:rFonts w:ascii="方正黑体_GBK" w:hAnsi="宋体" w:eastAsia="方正黑体_GBK"/>
          <w:sz w:val="24"/>
          <w:szCs w:val="24"/>
        </w:rPr>
      </w:pPr>
      <w:bookmarkStart w:id="190" w:name="_Toc76462350"/>
      <w:bookmarkStart w:id="191" w:name="_Toc15994"/>
      <w:bookmarkStart w:id="192" w:name="_Toc313008356"/>
      <w:bookmarkStart w:id="193" w:name="_Toc342913419"/>
      <w:bookmarkStart w:id="194" w:name="_Toc283382454"/>
      <w:bookmarkStart w:id="195" w:name="_Toc313888360"/>
      <w:bookmarkStart w:id="196" w:name="_Toc12789073"/>
      <w:bookmarkStart w:id="197" w:name="_Toc106030906"/>
      <w:r>
        <w:rPr>
          <w:rFonts w:hint="eastAsia" w:ascii="方正黑体_GBK" w:hAnsi="宋体" w:eastAsia="方正黑体_GBK"/>
          <w:sz w:val="24"/>
          <w:szCs w:val="24"/>
        </w:rPr>
        <w:t>封面</w:t>
      </w:r>
    </w:p>
    <w:p>
      <w:pPr>
        <w:spacing w:line="1600" w:lineRule="exact"/>
        <w:jc w:val="center"/>
        <w:outlineLvl w:val="0"/>
        <w:rPr>
          <w:rFonts w:ascii="方正黑体_GBK" w:hAnsi="宋体" w:eastAsia="方正黑体_GBK"/>
          <w:sz w:val="130"/>
          <w:szCs w:val="130"/>
        </w:rPr>
      </w:pP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公开比选采购</w:t>
      </w:r>
    </w:p>
    <w:p>
      <w:pPr>
        <w:spacing w:line="1600" w:lineRule="exact"/>
        <w:jc w:val="center"/>
        <w:outlineLvl w:val="0"/>
        <w:rPr>
          <w:rFonts w:ascii="方正黑体_GBK" w:hAnsi="宋体" w:eastAsia="方正黑体_GBK"/>
          <w:sz w:val="130"/>
          <w:szCs w:val="130"/>
        </w:rPr>
      </w:pPr>
      <w:r>
        <w:rPr>
          <w:rFonts w:hint="eastAsia" w:ascii="方正黑体_GBK" w:hAnsi="宋体" w:eastAsia="方正黑体_GBK"/>
          <w:sz w:val="130"/>
          <w:szCs w:val="130"/>
        </w:rPr>
        <w:t>响应文件</w:t>
      </w:r>
    </w:p>
    <w:p>
      <w:pPr>
        <w:spacing w:line="600" w:lineRule="exact"/>
        <w:jc w:val="center"/>
        <w:outlineLvl w:val="0"/>
        <w:rPr>
          <w:rFonts w:ascii="方正黑体_GBK" w:hAnsi="宋体" w:eastAsia="方正黑体_GBK"/>
          <w:sz w:val="44"/>
          <w:szCs w:val="44"/>
        </w:rPr>
      </w:pPr>
      <w:r>
        <w:rPr>
          <w:rFonts w:hint="eastAsia" w:ascii="方正黑体_GBK" w:hAnsi="宋体" w:eastAsia="方正黑体_GBK"/>
          <w:sz w:val="44"/>
          <w:szCs w:val="44"/>
        </w:rPr>
        <w:t>（正本/副本）</w:t>
      </w:r>
    </w:p>
    <w:p>
      <w:pPr>
        <w:spacing w:line="700" w:lineRule="exact"/>
        <w:rPr>
          <w:rFonts w:ascii="方正黑体_GBK" w:eastAsia="方正黑体_GBK"/>
          <w:spacing w:val="80"/>
          <w:sz w:val="130"/>
          <w:szCs w:val="130"/>
        </w:rPr>
      </w:pPr>
    </w:p>
    <w:p>
      <w:pPr>
        <w:spacing w:line="700" w:lineRule="exact"/>
        <w:jc w:val="center"/>
        <w:rPr>
          <w:rFonts w:ascii="方正黑体_GBK" w:eastAsia="方正黑体_GBK"/>
          <w:spacing w:val="80"/>
          <w:sz w:val="130"/>
          <w:szCs w:val="130"/>
        </w:rPr>
      </w:pP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项目编号：</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u w:val="single"/>
        </w:rPr>
      </w:pPr>
      <w:r>
        <w:rPr>
          <w:rFonts w:hint="eastAsia" w:ascii="方正小标宋_GBK" w:hAnsi="宋体" w:eastAsia="方正小标宋_GBK"/>
          <w:sz w:val="36"/>
          <w:szCs w:val="36"/>
        </w:rPr>
        <w:t>项目名称：</w:t>
      </w:r>
      <w:r>
        <w:rPr>
          <w:rFonts w:hint="eastAsia" w:ascii="方正小标宋_GBK" w:hAnsi="宋体" w:eastAsia="方正小标宋_GBK"/>
          <w:sz w:val="36"/>
          <w:szCs w:val="36"/>
          <w:u w:val="single"/>
        </w:rPr>
        <w:t xml:space="preserve">                           </w:t>
      </w:r>
    </w:p>
    <w:p>
      <w:pPr>
        <w:spacing w:line="360" w:lineRule="auto"/>
        <w:ind w:firstLine="1080" w:firstLineChars="300"/>
        <w:outlineLvl w:val="0"/>
        <w:rPr>
          <w:rFonts w:ascii="方正小标宋_GBK" w:hAnsi="宋体" w:eastAsia="方正小标宋_GBK"/>
          <w:sz w:val="36"/>
          <w:szCs w:val="36"/>
        </w:rPr>
      </w:pPr>
      <w:r>
        <w:rPr>
          <w:rFonts w:hint="eastAsia" w:ascii="方正小标宋_GBK" w:hAnsi="宋体" w:eastAsia="方正小标宋_GBK"/>
          <w:sz w:val="36"/>
          <w:szCs w:val="36"/>
        </w:rPr>
        <w:t>投标人名称：</w:t>
      </w:r>
      <w:r>
        <w:rPr>
          <w:rFonts w:hint="eastAsia" w:ascii="方正小标宋_GBK" w:hAnsi="宋体" w:eastAsia="方正小标宋_GBK"/>
          <w:sz w:val="36"/>
          <w:szCs w:val="36"/>
          <w:u w:val="single"/>
        </w:rPr>
        <w:t xml:space="preserve">                         </w:t>
      </w:r>
    </w:p>
    <w:p>
      <w:pPr>
        <w:spacing w:line="360" w:lineRule="auto"/>
        <w:ind w:firstLine="1120" w:firstLineChars="400"/>
        <w:outlineLvl w:val="0"/>
        <w:rPr>
          <w:rFonts w:ascii="方正小标宋_GBK" w:hAnsi="宋体" w:eastAsia="方正小标宋_GBK"/>
          <w:sz w:val="36"/>
          <w:szCs w:val="36"/>
          <w:u w:val="single"/>
        </w:rPr>
      </w:pPr>
      <w:r>
        <w:rPr>
          <w:rFonts w:hint="eastAsia" w:ascii="方正小标宋_GBK" w:hAnsi="宋体" w:eastAsia="方正小标宋_GBK"/>
          <w:szCs w:val="28"/>
        </w:rPr>
        <w:t xml:space="preserve">投标人法定代表人（或授权代理人）： </w:t>
      </w:r>
      <w:r>
        <w:rPr>
          <w:rFonts w:hint="eastAsia" w:ascii="方正小标宋_GBK" w:hAnsi="宋体" w:eastAsia="方正小标宋_GBK"/>
          <w:szCs w:val="28"/>
          <w:u w:val="single"/>
        </w:rPr>
        <w:t xml:space="preserve">         </w:t>
      </w:r>
      <w:r>
        <w:rPr>
          <w:rFonts w:hint="eastAsia" w:ascii="方正小标宋_GBK" w:hAnsi="宋体" w:eastAsia="方正小标宋_GBK"/>
          <w:sz w:val="36"/>
          <w:szCs w:val="36"/>
          <w:u w:val="single"/>
        </w:rPr>
        <w:t xml:space="preserve">   </w:t>
      </w:r>
    </w:p>
    <w:p>
      <w:pPr>
        <w:spacing w:line="360" w:lineRule="auto"/>
        <w:ind w:firstLine="1080" w:firstLineChars="300"/>
        <w:jc w:val="left"/>
        <w:outlineLvl w:val="0"/>
        <w:rPr>
          <w:rFonts w:ascii="方正小标宋_GBK" w:hAnsi="宋体" w:eastAsia="方正小标宋_GBK"/>
          <w:b/>
          <w:sz w:val="36"/>
          <w:szCs w:val="36"/>
        </w:rPr>
      </w:pPr>
      <w:r>
        <w:rPr>
          <w:rFonts w:hint="eastAsia" w:ascii="方正小标宋_GBK" w:hAnsi="宋体" w:eastAsia="方正小标宋_GBK"/>
          <w:sz w:val="36"/>
          <w:szCs w:val="36"/>
        </w:rPr>
        <w:t>联系电话：</w:t>
      </w:r>
      <w:r>
        <w:rPr>
          <w:rFonts w:hint="eastAsia" w:ascii="方正小标宋_GBK" w:hAnsi="宋体" w:eastAsia="方正小标宋_GBK"/>
          <w:sz w:val="36"/>
          <w:szCs w:val="36"/>
          <w:u w:val="single"/>
        </w:rPr>
        <w:t xml:space="preserve">                           </w:t>
      </w:r>
    </w:p>
    <w:p>
      <w:pPr>
        <w:spacing w:line="700" w:lineRule="exact"/>
        <w:ind w:firstLine="1749" w:firstLineChars="486"/>
        <w:rPr>
          <w:rFonts w:ascii="方正小标宋_GBK" w:hAnsi="宋体" w:eastAsia="方正小标宋_GBK"/>
          <w:sz w:val="36"/>
          <w:szCs w:val="36"/>
        </w:rPr>
      </w:pPr>
    </w:p>
    <w:p>
      <w:pPr>
        <w:spacing w:line="700" w:lineRule="exact"/>
        <w:ind w:firstLine="2469" w:firstLineChars="686"/>
        <w:rPr>
          <w:rFonts w:ascii="方正小标宋_GBK" w:hAnsi="宋体" w:eastAsia="方正小标宋_GBK"/>
          <w:sz w:val="36"/>
          <w:szCs w:val="36"/>
        </w:rPr>
      </w:pPr>
      <w:r>
        <w:rPr>
          <w:rFonts w:hint="eastAsia" w:ascii="方正小标宋_GBK" w:hAnsi="宋体" w:eastAsia="方正小标宋_GBK"/>
          <w:sz w:val="36"/>
          <w:szCs w:val="36"/>
        </w:rPr>
        <w:t>重庆医科大学附属儿童医院</w:t>
      </w:r>
    </w:p>
    <w:p>
      <w:pPr>
        <w:jc w:val="center"/>
        <w:outlineLvl w:val="0"/>
        <w:rPr>
          <w:rFonts w:eastAsia="方正小标宋_GBK"/>
          <w:sz w:val="36"/>
          <w:szCs w:val="36"/>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bookmarkEnd w:id="190"/>
    <w:bookmarkEnd w:id="191"/>
    <w:bookmarkEnd w:id="192"/>
    <w:bookmarkEnd w:id="193"/>
    <w:bookmarkEnd w:id="194"/>
    <w:bookmarkEnd w:id="195"/>
    <w:bookmarkEnd w:id="196"/>
    <w:bookmarkEnd w:id="197"/>
    <w:p>
      <w:pPr>
        <w:pStyle w:val="4"/>
        <w:adjustRightInd w:val="0"/>
        <w:snapToGrid w:val="0"/>
        <w:spacing w:before="0" w:after="0" w:line="400" w:lineRule="exact"/>
        <w:ind w:firstLine="480" w:firstLineChars="200"/>
        <w:rPr>
          <w:rFonts w:ascii="方正仿宋_GBK" w:hAnsi="宋体" w:eastAsia="方正仿宋_GBK"/>
          <w:sz w:val="24"/>
        </w:rPr>
      </w:pPr>
      <w:bookmarkStart w:id="198" w:name="_Toc11260"/>
      <w:r>
        <w:rPr>
          <w:rFonts w:hint="eastAsia" w:ascii="方正仿宋_GBK" w:hAnsi="宋体" w:eastAsia="方正仿宋_GBK"/>
          <w:sz w:val="24"/>
        </w:rPr>
        <w:t>一、经济部分</w:t>
      </w:r>
      <w:bookmarkEnd w:id="198"/>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耗材专用报价表</w:t>
      </w:r>
    </w:p>
    <w:p>
      <w:pPr>
        <w:jc w:val="center"/>
        <w:rPr>
          <w:rFonts w:hint="eastAsia" w:ascii="方正仿宋_GBK" w:eastAsia="方正仿宋_GBK"/>
          <w:b/>
          <w:szCs w:val="28"/>
          <w:lang w:eastAsia="zh-CN"/>
        </w:rPr>
      </w:pPr>
      <w:r>
        <w:rPr>
          <w:rFonts w:hint="eastAsia" w:ascii="方正仿宋_GBK" w:eastAsia="方正仿宋_GBK"/>
          <w:b/>
          <w:szCs w:val="28"/>
          <w:lang w:val="en-US" w:eastAsia="zh-CN"/>
        </w:rPr>
        <w:t>耗材专用报价表</w:t>
      </w: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tabs>
          <w:tab w:val="left" w:pos="2895"/>
        </w:tabs>
        <w:spacing w:line="400" w:lineRule="exact"/>
        <w:ind w:firstLine="480" w:firstLineChars="200"/>
        <w:rPr>
          <w:rFonts w:ascii="方正仿宋_GBK" w:hAnsi="宋体" w:eastAsia="方正仿宋_GBK"/>
          <w:sz w:val="24"/>
          <w:szCs w:val="24"/>
        </w:rPr>
      </w:pPr>
    </w:p>
    <w:p>
      <w:pPr>
        <w:rPr>
          <w:rFonts w:ascii="方正仿宋_GBK" w:hAnsi="宋体" w:eastAsia="方正仿宋_GBK"/>
          <w:sz w:val="24"/>
          <w:szCs w:val="24"/>
        </w:rPr>
      </w:pPr>
      <w:r>
        <w:rPr>
          <w:rFonts w:hint="eastAsia" w:ascii="方正仿宋_GBK" w:hAnsi="宋体" w:eastAsia="方正仿宋_GBK"/>
          <w:sz w:val="24"/>
          <w:szCs w:val="24"/>
        </w:rPr>
        <w:br w:type="page"/>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（二）</w:t>
      </w:r>
      <w:bookmarkStart w:id="199" w:name="_Toc106030907"/>
      <w:bookmarkStart w:id="200" w:name="_Toc313888361"/>
      <w:bookmarkStart w:id="201" w:name="_Toc342913420"/>
      <w:bookmarkStart w:id="202" w:name="_Toc76462351"/>
      <w:bookmarkStart w:id="203" w:name="_Toc313008357"/>
      <w:bookmarkStart w:id="204" w:name="_Toc18669"/>
      <w:r>
        <w:rPr>
          <w:rFonts w:hint="eastAsia" w:ascii="方正仿宋_GBK" w:hAnsi="宋体" w:eastAsia="方正仿宋_GBK"/>
          <w:sz w:val="24"/>
          <w:szCs w:val="24"/>
        </w:rPr>
        <w:t>开标现场最终报价表</w:t>
      </w:r>
    </w:p>
    <w:p>
      <w:pPr>
        <w:jc w:val="center"/>
        <w:rPr>
          <w:rFonts w:ascii="方正仿宋_GBK" w:eastAsia="方正仿宋_GBK"/>
          <w:b/>
          <w:szCs w:val="28"/>
        </w:rPr>
      </w:pPr>
      <w:r>
        <w:rPr>
          <w:rFonts w:hint="eastAsia" w:ascii="方正仿宋_GBK" w:eastAsia="方正仿宋_GBK"/>
          <w:b/>
          <w:szCs w:val="28"/>
        </w:rPr>
        <w:t>开标现场最终报价表</w:t>
      </w:r>
    </w:p>
    <w:p>
      <w:pPr>
        <w:tabs>
          <w:tab w:val="left" w:pos="6300"/>
        </w:tabs>
        <w:snapToGrid w:val="0"/>
        <w:spacing w:line="312" w:lineRule="auto"/>
        <w:ind w:firstLine="480" w:firstLineChars="200"/>
        <w:jc w:val="left"/>
        <w:rPr>
          <w:rFonts w:ascii="方正仿宋_GBK" w:hAnsi="宋体" w:eastAsia="方正仿宋_GBK"/>
          <w:sz w:val="24"/>
          <w:szCs w:val="24"/>
        </w:rPr>
      </w:pPr>
    </w:p>
    <w:p>
      <w:pPr>
        <w:tabs>
          <w:tab w:val="left" w:pos="6300"/>
        </w:tabs>
        <w:snapToGrid w:val="0"/>
        <w:spacing w:line="312" w:lineRule="auto"/>
        <w:rPr>
          <w:rFonts w:ascii="方正仿宋_GBK" w:hAnsi="宋体" w:eastAsia="方正仿宋_GBK"/>
          <w:sz w:val="24"/>
          <w:szCs w:val="24"/>
        </w:rPr>
      </w:pPr>
      <w:r>
        <w:rPr>
          <w:rFonts w:hint="eastAsia" w:ascii="方正仿宋_GBK" w:hAnsi="宋体" w:eastAsia="方正仿宋_GBK"/>
          <w:sz w:val="24"/>
          <w:szCs w:val="24"/>
        </w:rPr>
        <w:t>招标项目名称：</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微软雅黑" w:hAnsi="微软雅黑" w:eastAsia="微软雅黑" w:cs="微软雅黑"/>
                <w:b w:val="0"/>
                <w:bCs/>
                <w:sz w:val="21"/>
                <w:szCs w:val="21"/>
                <w:lang w:val="de-DE"/>
              </w:rPr>
            </w:pPr>
            <w:r>
              <w:rPr>
                <w:rFonts w:hint="eastAsia" w:ascii="微软雅黑" w:hAnsi="微软雅黑" w:eastAsia="微软雅黑" w:cs="微软雅黑"/>
                <w:b w:val="0"/>
                <w:bCs/>
                <w:color w:val="000000"/>
                <w:sz w:val="21"/>
                <w:szCs w:val="21"/>
              </w:rPr>
              <w:t>医疗器械</w:t>
            </w:r>
            <w:r>
              <w:rPr>
                <w:rFonts w:hint="eastAsia" w:ascii="微软雅黑" w:hAnsi="微软雅黑" w:eastAsia="微软雅黑" w:cs="微软雅黑"/>
                <w:b w:val="0"/>
                <w:bCs/>
                <w:sz w:val="21"/>
                <w:szCs w:val="21"/>
                <w:lang w:val="de-DE"/>
              </w:rPr>
              <w:t>注册证名称</w:t>
            </w:r>
          </w:p>
        </w:tc>
        <w:tc>
          <w:tcPr>
            <w:tcW w:w="2057"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医疗器械注册证号/有效期</w:t>
            </w:r>
          </w:p>
        </w:tc>
        <w:tc>
          <w:tcPr>
            <w:tcW w:w="1340"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规格型号</w:t>
            </w:r>
          </w:p>
        </w:tc>
        <w:tc>
          <w:tcPr>
            <w:tcW w:w="1091"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生产厂家</w:t>
            </w:r>
          </w:p>
        </w:tc>
        <w:tc>
          <w:tcPr>
            <w:tcW w:w="709" w:type="dxa"/>
            <w:noWrap w:val="0"/>
            <w:vAlign w:val="center"/>
          </w:tcPr>
          <w:p>
            <w:pPr>
              <w:ind w:right="-207" w:rightChars="-74"/>
              <w:jc w:val="both"/>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产地</w:t>
            </w:r>
          </w:p>
        </w:tc>
        <w:tc>
          <w:tcPr>
            <w:tcW w:w="217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药交所平台挂网最低价/计价单位</w:t>
            </w:r>
          </w:p>
        </w:tc>
        <w:tc>
          <w:tcPr>
            <w:tcW w:w="776"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计数单位</w:t>
            </w:r>
          </w:p>
        </w:tc>
        <w:tc>
          <w:tcPr>
            <w:tcW w:w="1529"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lang w:val="en-US" w:eastAsia="zh-CN"/>
              </w:rPr>
              <w:t>线上报</w:t>
            </w:r>
            <w:r>
              <w:rPr>
                <w:rFonts w:hint="eastAsia" w:ascii="微软雅黑" w:hAnsi="微软雅黑" w:eastAsia="微软雅黑" w:cs="微软雅黑"/>
                <w:b w:val="0"/>
                <w:bCs/>
                <w:color w:val="000000"/>
                <w:sz w:val="21"/>
                <w:szCs w:val="21"/>
              </w:rPr>
              <w:t>价</w:t>
            </w:r>
          </w:p>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（元）</w:t>
            </w:r>
          </w:p>
        </w:tc>
        <w:tc>
          <w:tcPr>
            <w:tcW w:w="1560" w:type="dxa"/>
            <w:noWrap w:val="0"/>
            <w:vAlign w:val="center"/>
          </w:tcPr>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线下报价</w:t>
            </w:r>
          </w:p>
          <w:p>
            <w:pPr>
              <w:jc w:val="center"/>
              <w:rPr>
                <w:rFonts w:hint="eastAsia" w:ascii="微软雅黑" w:hAnsi="微软雅黑" w:eastAsia="微软雅黑" w:cs="微软雅黑"/>
                <w:b w:val="0"/>
                <w:bCs/>
                <w:color w:val="000000"/>
                <w:sz w:val="21"/>
                <w:szCs w:val="21"/>
                <w:lang w:val="en-US" w:eastAsia="zh-CN"/>
              </w:rPr>
            </w:pPr>
            <w:r>
              <w:rPr>
                <w:rFonts w:hint="eastAsia" w:ascii="微软雅黑" w:hAnsi="微软雅黑" w:eastAsia="微软雅黑" w:cs="微软雅黑"/>
                <w:b w:val="0"/>
                <w:bCs/>
                <w:color w:val="000000"/>
                <w:sz w:val="21"/>
                <w:szCs w:val="21"/>
                <w:lang w:val="en-US" w:eastAsia="zh-CN"/>
              </w:rPr>
              <w:t>（元）</w:t>
            </w:r>
          </w:p>
        </w:tc>
        <w:tc>
          <w:tcPr>
            <w:tcW w:w="684" w:type="dxa"/>
            <w:noWrap w:val="0"/>
            <w:vAlign w:val="center"/>
          </w:tcPr>
          <w:p>
            <w:pPr>
              <w:jc w:val="center"/>
              <w:rPr>
                <w:rFonts w:hint="eastAsia" w:ascii="微软雅黑" w:hAnsi="微软雅黑" w:eastAsia="微软雅黑" w:cs="微软雅黑"/>
                <w:b w:val="0"/>
                <w:bCs/>
                <w:color w:val="000000"/>
                <w:sz w:val="21"/>
                <w:szCs w:val="21"/>
              </w:rPr>
            </w:pPr>
            <w:r>
              <w:rPr>
                <w:rFonts w:hint="eastAsia" w:ascii="微软雅黑" w:hAnsi="微软雅黑" w:eastAsia="微软雅黑" w:cs="微软雅黑"/>
                <w:b w:val="0"/>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ind w:right="538" w:rightChars="192"/>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r>
              <w:rPr>
                <w:rFonts w:hint="eastAsia" w:ascii="宋体" w:hAnsi="宋体"/>
                <w:color w:val="000000"/>
                <w:sz w:val="21"/>
                <w:szCs w:val="21"/>
              </w:rPr>
              <w:t xml:space="preserve"> </w:t>
            </w: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 w:val="21"/>
                <w:szCs w:val="21"/>
                <w:lang w:val="de-DE"/>
              </w:rPr>
            </w:pPr>
          </w:p>
        </w:tc>
        <w:tc>
          <w:tcPr>
            <w:tcW w:w="2057" w:type="dxa"/>
            <w:noWrap w:val="0"/>
            <w:vAlign w:val="center"/>
          </w:tcPr>
          <w:p>
            <w:pPr>
              <w:spacing w:line="480" w:lineRule="auto"/>
              <w:jc w:val="center"/>
              <w:rPr>
                <w:rFonts w:hint="eastAsia" w:ascii="宋体" w:hAnsi="宋体"/>
                <w:color w:val="000000"/>
                <w:sz w:val="21"/>
                <w:szCs w:val="21"/>
              </w:rPr>
            </w:pPr>
          </w:p>
        </w:tc>
        <w:tc>
          <w:tcPr>
            <w:tcW w:w="1340" w:type="dxa"/>
            <w:noWrap w:val="0"/>
            <w:vAlign w:val="center"/>
          </w:tcPr>
          <w:p>
            <w:pPr>
              <w:spacing w:line="480" w:lineRule="auto"/>
              <w:jc w:val="center"/>
              <w:rPr>
                <w:rFonts w:hint="eastAsia" w:ascii="宋体" w:hAnsi="宋体"/>
                <w:color w:val="000000"/>
                <w:sz w:val="21"/>
                <w:szCs w:val="21"/>
              </w:rPr>
            </w:pPr>
          </w:p>
        </w:tc>
        <w:tc>
          <w:tcPr>
            <w:tcW w:w="1091" w:type="dxa"/>
            <w:noWrap w:val="0"/>
            <w:vAlign w:val="center"/>
          </w:tcPr>
          <w:p>
            <w:pPr>
              <w:spacing w:line="480" w:lineRule="auto"/>
              <w:jc w:val="center"/>
              <w:rPr>
                <w:rFonts w:hint="eastAsia" w:ascii="宋体" w:hAnsi="宋体"/>
                <w:color w:val="000000"/>
                <w:sz w:val="21"/>
                <w:szCs w:val="21"/>
              </w:rPr>
            </w:pPr>
          </w:p>
        </w:tc>
        <w:tc>
          <w:tcPr>
            <w:tcW w:w="709" w:type="dxa"/>
            <w:noWrap w:val="0"/>
            <w:vAlign w:val="center"/>
          </w:tcPr>
          <w:p>
            <w:pPr>
              <w:spacing w:line="480" w:lineRule="auto"/>
              <w:jc w:val="center"/>
              <w:rPr>
                <w:rFonts w:hint="eastAsia" w:ascii="宋体" w:hAnsi="宋体"/>
                <w:color w:val="000000"/>
                <w:sz w:val="21"/>
                <w:szCs w:val="21"/>
              </w:rPr>
            </w:pPr>
          </w:p>
        </w:tc>
        <w:tc>
          <w:tcPr>
            <w:tcW w:w="2174" w:type="dxa"/>
            <w:noWrap w:val="0"/>
            <w:vAlign w:val="center"/>
          </w:tcPr>
          <w:p>
            <w:pPr>
              <w:spacing w:line="480" w:lineRule="auto"/>
              <w:jc w:val="center"/>
              <w:rPr>
                <w:rFonts w:hint="eastAsia" w:ascii="宋体" w:hAnsi="宋体"/>
                <w:color w:val="000000"/>
                <w:sz w:val="21"/>
                <w:szCs w:val="21"/>
              </w:rPr>
            </w:pPr>
          </w:p>
        </w:tc>
        <w:tc>
          <w:tcPr>
            <w:tcW w:w="776" w:type="dxa"/>
            <w:noWrap w:val="0"/>
            <w:vAlign w:val="center"/>
          </w:tcPr>
          <w:p>
            <w:pPr>
              <w:spacing w:line="480" w:lineRule="auto"/>
              <w:jc w:val="center"/>
              <w:rPr>
                <w:rFonts w:hint="eastAsia" w:ascii="宋体" w:hAnsi="宋体"/>
                <w:color w:val="000000"/>
                <w:sz w:val="21"/>
                <w:szCs w:val="21"/>
              </w:rPr>
            </w:pPr>
          </w:p>
        </w:tc>
        <w:tc>
          <w:tcPr>
            <w:tcW w:w="1529" w:type="dxa"/>
            <w:noWrap w:val="0"/>
            <w:vAlign w:val="center"/>
          </w:tcPr>
          <w:p>
            <w:pPr>
              <w:spacing w:line="480" w:lineRule="auto"/>
              <w:jc w:val="center"/>
              <w:rPr>
                <w:rFonts w:hint="eastAsia" w:ascii="宋体" w:hAnsi="宋体"/>
                <w:color w:val="000000"/>
                <w:sz w:val="21"/>
                <w:szCs w:val="21"/>
              </w:rPr>
            </w:pPr>
          </w:p>
        </w:tc>
        <w:tc>
          <w:tcPr>
            <w:tcW w:w="1560" w:type="dxa"/>
            <w:noWrap w:val="0"/>
            <w:vAlign w:val="center"/>
          </w:tcPr>
          <w:p>
            <w:pPr>
              <w:spacing w:line="480" w:lineRule="auto"/>
              <w:jc w:val="center"/>
              <w:rPr>
                <w:rFonts w:hint="eastAsia" w:ascii="宋体" w:hAnsi="宋体"/>
                <w:color w:val="000000"/>
                <w:sz w:val="21"/>
                <w:szCs w:val="21"/>
              </w:rPr>
            </w:pPr>
          </w:p>
        </w:tc>
        <w:tc>
          <w:tcPr>
            <w:tcW w:w="684" w:type="dxa"/>
            <w:noWrap w:val="0"/>
            <w:vAlign w:val="center"/>
          </w:tcPr>
          <w:p>
            <w:pPr>
              <w:spacing w:line="480" w:lineRule="auto"/>
              <w:jc w:val="center"/>
              <w:rPr>
                <w:rFonts w:hint="eastAsia" w:ascii="宋体" w:hAnsi="宋体"/>
                <w:color w:val="000000"/>
                <w:sz w:val="21"/>
                <w:szCs w:val="21"/>
              </w:rPr>
            </w:pPr>
          </w:p>
        </w:tc>
      </w:tr>
    </w:tbl>
    <w:p>
      <w:pPr>
        <w:tabs>
          <w:tab w:val="left" w:pos="6300"/>
        </w:tabs>
        <w:snapToGrid w:val="0"/>
        <w:spacing w:line="312" w:lineRule="auto"/>
        <w:ind w:firstLine="420" w:firstLineChars="200"/>
        <w:rPr>
          <w:rFonts w:ascii="方正仿宋_GBK" w:hAnsi="宋体" w:eastAsia="方正仿宋_GBK"/>
          <w:sz w:val="21"/>
          <w:szCs w:val="21"/>
        </w:rPr>
      </w:pP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3840" w:firstLineChars="1600"/>
        <w:rPr>
          <w:rFonts w:ascii="方正仿宋_GBK" w:hAnsi="宋体" w:eastAsia="方正仿宋_GBK"/>
          <w:sz w:val="24"/>
          <w:szCs w:val="24"/>
        </w:rPr>
      </w:pPr>
      <w:r>
        <w:rPr>
          <w:rFonts w:hint="eastAsia" w:ascii="方正仿宋_GBK" w:hAnsi="宋体" w:eastAsia="方正仿宋_GBK"/>
          <w:sz w:val="24"/>
          <w:szCs w:val="24"/>
        </w:rPr>
        <w:t>投标人                                   法定代表人授权代表：</w:t>
      </w: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（投标人公章）                               （签字或盖章）</w:t>
      </w:r>
    </w:p>
    <w:p>
      <w:pPr>
        <w:tabs>
          <w:tab w:val="left" w:pos="6300"/>
        </w:tabs>
        <w:snapToGrid w:val="0"/>
        <w:spacing w:line="312" w:lineRule="auto"/>
        <w:ind w:firstLine="480" w:firstLineChars="200"/>
        <w:rPr>
          <w:rFonts w:ascii="方正仿宋_GBK" w:hAnsi="宋体" w:eastAsia="方正仿宋_GBK"/>
          <w:sz w:val="24"/>
          <w:szCs w:val="24"/>
        </w:rPr>
      </w:pPr>
    </w:p>
    <w:p>
      <w:pPr>
        <w:tabs>
          <w:tab w:val="left" w:pos="6300"/>
        </w:tabs>
        <w:snapToGrid w:val="0"/>
        <w:spacing w:line="312" w:lineRule="auto"/>
        <w:ind w:firstLine="480" w:firstLineChars="200"/>
        <w:rPr>
          <w:rFonts w:ascii="方正仿宋_GBK" w:hAnsi="宋体" w:eastAsia="方正仿宋_GBK"/>
          <w:sz w:val="24"/>
          <w:szCs w:val="24"/>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t xml:space="preserve"> 年     月     日</w:t>
      </w:r>
    </w:p>
    <w:p>
      <w:pPr>
        <w:rPr>
          <w:rFonts w:ascii="方正仿宋_GBK" w:hAnsi="宋体" w:eastAsia="方正仿宋_GBK"/>
          <w:sz w:val="24"/>
        </w:rPr>
      </w:pPr>
    </w:p>
    <w:p>
      <w:pPr>
        <w:rPr>
          <w:rFonts w:hint="eastAsia" w:ascii="微软雅黑" w:hAnsi="微软雅黑" w:eastAsia="微软雅黑" w:cs="微软雅黑"/>
          <w:b/>
          <w:bCs/>
          <w:color w:val="FF0000"/>
          <w:sz w:val="24"/>
          <w:szCs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b/>
          <w:bCs/>
          <w:color w:val="FF0000"/>
          <w:sz w:val="24"/>
          <w:szCs w:val="24"/>
        </w:rPr>
        <w:t>注：该表</w:t>
      </w:r>
      <w:r>
        <w:rPr>
          <w:rFonts w:hint="eastAsia" w:ascii="方正仿宋_GBK" w:hAnsi="宋体" w:eastAsia="方正仿宋_GBK"/>
          <w:b/>
          <w:bCs/>
          <w:color w:val="FF0000"/>
          <w:sz w:val="24"/>
          <w:szCs w:val="24"/>
          <w:lang w:val="en-US" w:eastAsia="zh-CN"/>
        </w:rPr>
        <w:t>单独打印单独密封，投标人</w:t>
      </w:r>
      <w:r>
        <w:rPr>
          <w:rFonts w:hint="eastAsia" w:ascii="方正仿宋_GBK" w:hAnsi="宋体" w:eastAsia="方正仿宋_GBK"/>
          <w:b/>
          <w:bCs/>
          <w:color w:val="FF0000"/>
          <w:sz w:val="24"/>
          <w:szCs w:val="24"/>
        </w:rPr>
        <w:t>于现场</w:t>
      </w:r>
      <w:r>
        <w:rPr>
          <w:rFonts w:hint="eastAsia" w:ascii="方正仿宋_GBK" w:hAnsi="宋体" w:eastAsia="方正仿宋_GBK"/>
          <w:b/>
          <w:bCs/>
          <w:color w:val="FF0000"/>
          <w:sz w:val="24"/>
          <w:szCs w:val="24"/>
          <w:lang w:val="en-US" w:eastAsia="zh-CN"/>
        </w:rPr>
        <w:t>自行</w:t>
      </w:r>
      <w:r>
        <w:rPr>
          <w:rFonts w:hint="eastAsia" w:ascii="方正仿宋_GBK" w:hAnsi="宋体" w:eastAsia="方正仿宋_GBK"/>
          <w:b/>
          <w:bCs/>
          <w:color w:val="FF0000"/>
          <w:sz w:val="24"/>
          <w:szCs w:val="24"/>
        </w:rPr>
        <w:t>填写并提交。</w:t>
      </w:r>
    </w:p>
    <w:p>
      <w:pPr>
        <w:rPr>
          <w:rFonts w:hint="eastAsia" w:ascii="微软雅黑" w:hAnsi="微软雅黑" w:eastAsia="微软雅黑" w:cs="微软雅黑"/>
          <w:sz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05" w:name="_Toc2495"/>
      <w:r>
        <w:rPr>
          <w:rFonts w:hint="eastAsia" w:ascii="微软雅黑" w:hAnsi="微软雅黑" w:eastAsia="微软雅黑" w:cs="微软雅黑"/>
          <w:sz w:val="24"/>
        </w:rPr>
        <w:t>二、技术部分</w:t>
      </w:r>
      <w:bookmarkEnd w:id="199"/>
      <w:bookmarkEnd w:id="200"/>
      <w:bookmarkEnd w:id="201"/>
      <w:bookmarkEnd w:id="202"/>
      <w:bookmarkEnd w:id="203"/>
      <w:bookmarkEnd w:id="204"/>
      <w:bookmarkEnd w:id="205"/>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项目技术（质量）需求”中所列条款进行比较和响应；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6" w:name="_Toc76462352"/>
      <w:bookmarkStart w:id="207" w:name="_Toc313008358"/>
      <w:bookmarkStart w:id="208" w:name="_Toc106030908"/>
      <w:bookmarkStart w:id="209" w:name="_Toc342913421"/>
      <w:bookmarkStart w:id="210" w:name="_Toc313888362"/>
      <w:bookmarkStart w:id="211" w:name="_Toc12962"/>
      <w:bookmarkStart w:id="212" w:name="_Toc30639"/>
      <w:r>
        <w:rPr>
          <w:rFonts w:hint="eastAsia" w:ascii="微软雅黑" w:hAnsi="微软雅黑" w:eastAsia="微软雅黑" w:cs="微软雅黑"/>
          <w:sz w:val="24"/>
        </w:rPr>
        <w:t>三、商务部分</w:t>
      </w:r>
      <w:bookmarkEnd w:id="206"/>
      <w:bookmarkEnd w:id="207"/>
      <w:bookmarkEnd w:id="208"/>
      <w:bookmarkEnd w:id="209"/>
      <w:bookmarkEnd w:id="210"/>
      <w:bookmarkEnd w:id="211"/>
      <w:bookmarkEnd w:id="212"/>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项目商务需求”中所列条款进行比较和响应；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3" w:name="_Toc283382459"/>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3"/>
      <w:bookmarkStart w:id="214" w:name="_Toc76462353"/>
      <w:bookmarkStart w:id="215" w:name="_Toc313888363"/>
      <w:bookmarkStart w:id="216" w:name="_Toc106030909"/>
      <w:bookmarkStart w:id="217" w:name="_Toc313008359"/>
      <w:bookmarkStart w:id="218" w:name="_Toc342913422"/>
      <w:bookmarkStart w:id="219" w:name="_Toc26948"/>
      <w:bookmarkStart w:id="220" w:name="_Toc13280"/>
      <w:r>
        <w:rPr>
          <w:rFonts w:hint="eastAsia" w:ascii="微软雅黑" w:hAnsi="微软雅黑" w:eastAsia="微软雅黑" w:cs="微软雅黑"/>
          <w:sz w:val="24"/>
        </w:rPr>
        <w:t>四、资格条件</w:t>
      </w:r>
      <w:bookmarkEnd w:id="214"/>
      <w:bookmarkEnd w:id="215"/>
      <w:bookmarkEnd w:id="216"/>
      <w:bookmarkEnd w:id="217"/>
      <w:bookmarkEnd w:id="218"/>
      <w:bookmarkEnd w:id="219"/>
      <w:bookmarkEnd w:id="220"/>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8"/>
        <w:rPr>
          <w:rFonts w:hint="eastAsia" w:ascii="微软雅黑" w:hAnsi="微软雅黑" w:eastAsia="微软雅黑" w:cs="微软雅黑"/>
        </w:rPr>
      </w:pPr>
    </w:p>
    <w:p>
      <w:pPr>
        <w:pStyle w:val="69"/>
        <w:rPr>
          <w:rFonts w:hint="eastAsia" w:ascii="微软雅黑" w:hAnsi="微软雅黑" w:eastAsia="微软雅黑" w:cs="微软雅黑"/>
        </w:rPr>
      </w:pPr>
    </w:p>
    <w:p>
      <w:pPr>
        <w:pStyle w:val="69"/>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（六）特定资格条件证明文件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1" w:name="_Toc14422"/>
      <w:r>
        <w:rPr>
          <w:rFonts w:hint="eastAsia" w:ascii="微软雅黑" w:hAnsi="微软雅黑" w:eastAsia="微软雅黑" w:cs="微软雅黑"/>
          <w:b w:val="0"/>
          <w:sz w:val="28"/>
        </w:rPr>
        <w:br w:type="page"/>
      </w:r>
      <w:bookmarkStart w:id="222" w:name="_Toc8805"/>
      <w:bookmarkStart w:id="223" w:name="_Toc13605"/>
      <w:bookmarkStart w:id="224" w:name="_Toc76462354"/>
      <w:bookmarkStart w:id="225" w:name="_Toc106030910"/>
      <w:r>
        <w:rPr>
          <w:rFonts w:hint="eastAsia" w:ascii="微软雅黑" w:hAnsi="微软雅黑" w:eastAsia="微软雅黑" w:cs="微软雅黑"/>
          <w:sz w:val="24"/>
        </w:rPr>
        <w:t>五、其他资料</w:t>
      </w:r>
      <w:bookmarkEnd w:id="221"/>
      <w:bookmarkEnd w:id="222"/>
      <w:bookmarkEnd w:id="223"/>
      <w:bookmarkEnd w:id="224"/>
      <w:bookmarkEnd w:id="22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pPr>
        <w:spacing w:line="360" w:lineRule="auto"/>
        <w:ind w:firstLine="560" w:firstLineChars="200"/>
        <w:jc w:val="center"/>
        <w:outlineLvl w:val="0"/>
        <w:rPr>
          <w:rFonts w:ascii="方正仿宋_GBK" w:hAnsi="宋体" w:eastAsia="方正仿宋_GBK"/>
        </w:rPr>
      </w:pP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0000000000000000000"/>
    <w:charset w:val="86"/>
    <w:family w:val="script"/>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rPr>
        <w:rStyle w:val="61"/>
      </w:rPr>
      <w:t>- 4 -</w:t>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rPr>
    </w:pPr>
    <w:r>
      <w:rPr>
        <w:rFonts w:hint="eastAsia" w:ascii="方正仿宋_GBK" w:eastAsia="方正仿宋_GBK"/>
        <w:sz w:val="21"/>
      </w:rPr>
      <w:t xml:space="preserve">                                                                      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79B568B"/>
    <w:rsid w:val="07F103E0"/>
    <w:rsid w:val="092E6FC0"/>
    <w:rsid w:val="0BB87E47"/>
    <w:rsid w:val="0D1F249B"/>
    <w:rsid w:val="0D26388C"/>
    <w:rsid w:val="147A5E14"/>
    <w:rsid w:val="14D11CFB"/>
    <w:rsid w:val="15935DB5"/>
    <w:rsid w:val="15BB3449"/>
    <w:rsid w:val="17324323"/>
    <w:rsid w:val="17A1211B"/>
    <w:rsid w:val="18ED7A84"/>
    <w:rsid w:val="19255AF5"/>
    <w:rsid w:val="1A7E6296"/>
    <w:rsid w:val="1F0D01CA"/>
    <w:rsid w:val="21864056"/>
    <w:rsid w:val="222348FC"/>
    <w:rsid w:val="22F860AB"/>
    <w:rsid w:val="2486441F"/>
    <w:rsid w:val="29601F8B"/>
    <w:rsid w:val="2AA01F44"/>
    <w:rsid w:val="2C43216E"/>
    <w:rsid w:val="2DB02B6B"/>
    <w:rsid w:val="300C58E0"/>
    <w:rsid w:val="30607DAE"/>
    <w:rsid w:val="332D1E43"/>
    <w:rsid w:val="37556B60"/>
    <w:rsid w:val="38CD7FDC"/>
    <w:rsid w:val="3ACE5D4F"/>
    <w:rsid w:val="3C55524B"/>
    <w:rsid w:val="3CCE1388"/>
    <w:rsid w:val="3DF6488D"/>
    <w:rsid w:val="3F1C71CA"/>
    <w:rsid w:val="406334F2"/>
    <w:rsid w:val="409F14A1"/>
    <w:rsid w:val="415F6EA3"/>
    <w:rsid w:val="452C7897"/>
    <w:rsid w:val="494C6B8D"/>
    <w:rsid w:val="497B7CB3"/>
    <w:rsid w:val="4A8845CE"/>
    <w:rsid w:val="4B2D12E0"/>
    <w:rsid w:val="4BEB6B31"/>
    <w:rsid w:val="4DD36371"/>
    <w:rsid w:val="4EEC1F3B"/>
    <w:rsid w:val="4F070047"/>
    <w:rsid w:val="4F3C244F"/>
    <w:rsid w:val="5115115D"/>
    <w:rsid w:val="521E4A24"/>
    <w:rsid w:val="52D92ACB"/>
    <w:rsid w:val="53B4776F"/>
    <w:rsid w:val="53DF1E3A"/>
    <w:rsid w:val="545B425C"/>
    <w:rsid w:val="558E730F"/>
    <w:rsid w:val="573C43EC"/>
    <w:rsid w:val="57857077"/>
    <w:rsid w:val="58EA1C45"/>
    <w:rsid w:val="5CA67F0E"/>
    <w:rsid w:val="5DAD4E7C"/>
    <w:rsid w:val="60CB5C8F"/>
    <w:rsid w:val="648E3C9A"/>
    <w:rsid w:val="64DA4767"/>
    <w:rsid w:val="670A099E"/>
    <w:rsid w:val="68BD663A"/>
    <w:rsid w:val="692F74C0"/>
    <w:rsid w:val="696405DD"/>
    <w:rsid w:val="69BE2355"/>
    <w:rsid w:val="6B75107A"/>
    <w:rsid w:val="6FE969BF"/>
    <w:rsid w:val="701245F9"/>
    <w:rsid w:val="71175C34"/>
    <w:rsid w:val="74D70DF7"/>
    <w:rsid w:val="750950F5"/>
    <w:rsid w:val="750D16CF"/>
    <w:rsid w:val="773622B4"/>
    <w:rsid w:val="789F3DA6"/>
    <w:rsid w:val="78A52377"/>
    <w:rsid w:val="79082185"/>
    <w:rsid w:val="7A6F77AB"/>
    <w:rsid w:val="7B5B7497"/>
    <w:rsid w:val="7BEF5F10"/>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line="360" w:lineRule="auto"/>
      <w:ind w:left="840" w:leftChars="400"/>
    </w:pPr>
    <w:rPr>
      <w:sz w:val="24"/>
    </w:rPr>
  </w:style>
  <w:style w:type="paragraph" w:styleId="50">
    <w:name w:val="Normal (Web)"/>
    <w:basedOn w:val="1"/>
    <w:qFormat/>
    <w:uiPriority w:val="0"/>
    <w:pPr>
      <w:widowControl/>
      <w:spacing w:before="100" w:beforeAutospacing="1" w:after="100" w:afterAutospacing="1"/>
      <w:jc w:val="left"/>
    </w:pPr>
    <w:rPr>
      <w:rFonts w:ascii="宋体" w:hAnsi="宋体"/>
      <w:kern w:val="0"/>
      <w:sz w:val="24"/>
    </w:rPr>
  </w:style>
  <w:style w:type="paragraph" w:styleId="51">
    <w:name w:val="List Continue 3"/>
    <w:basedOn w:val="1"/>
    <w:qFormat/>
    <w:uiPriority w:val="0"/>
    <w:pPr>
      <w:adjustRightInd w:val="0"/>
      <w:snapToGrid w:val="0"/>
      <w:spacing w:after="12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字符1"/>
    <w:link w:val="4"/>
    <w:qFormat/>
    <w:uiPriority w:val="0"/>
    <w:rPr>
      <w:rFonts w:ascii="Arial" w:hAnsi="Arial" w:eastAsia="黑体"/>
      <w:b/>
      <w:kern w:val="2"/>
      <w:sz w:val="32"/>
    </w:rPr>
  </w:style>
  <w:style w:type="character" w:customStyle="1" w:styleId="71">
    <w:name w:val="标题 3 字符"/>
    <w:link w:val="5"/>
    <w:qFormat/>
    <w:uiPriority w:val="0"/>
    <w:rPr>
      <w:rFonts w:eastAsia="宋体"/>
      <w:b/>
      <w:kern w:val="2"/>
      <w:sz w:val="32"/>
      <w:lang w:val="en-US" w:eastAsia="zh-CN"/>
    </w:rPr>
  </w:style>
  <w:style w:type="character" w:customStyle="1" w:styleId="72">
    <w:name w:val="批注文字 字符"/>
    <w:link w:val="20"/>
    <w:qFormat/>
    <w:uiPriority w:val="0"/>
    <w:rPr>
      <w:sz w:val="24"/>
    </w:rPr>
  </w:style>
  <w:style w:type="character" w:customStyle="1" w:styleId="73">
    <w:name w:val="正文文本缩进 字符"/>
    <w:link w:val="23"/>
    <w:qFormat/>
    <w:uiPriority w:val="0"/>
    <w:rPr>
      <w:kern w:val="2"/>
      <w:sz w:val="44"/>
    </w:rPr>
  </w:style>
  <w:style w:type="character" w:customStyle="1" w:styleId="74">
    <w:name w:val="日期 字符"/>
    <w:link w:val="32"/>
    <w:qFormat/>
    <w:uiPriority w:val="0"/>
    <w:rPr>
      <w:kern w:val="2"/>
      <w:sz w:val="28"/>
    </w:rPr>
  </w:style>
  <w:style w:type="character" w:customStyle="1" w:styleId="75">
    <w:name w:val="正文文本缩进 2 字符1"/>
    <w:link w:val="33"/>
    <w:qFormat/>
    <w:uiPriority w:val="0"/>
    <w:rPr>
      <w:kern w:val="2"/>
      <w:sz w:val="28"/>
    </w:rPr>
  </w:style>
  <w:style w:type="character" w:customStyle="1" w:styleId="76">
    <w:name w:val="脚注文本 字符"/>
    <w:link w:val="40"/>
    <w:qFormat/>
    <w:uiPriority w:val="0"/>
    <w:rPr>
      <w:kern w:val="2"/>
      <w:sz w:val="18"/>
    </w:rPr>
  </w:style>
  <w:style w:type="character" w:customStyle="1" w:styleId="77">
    <w:name w:val="批注主题 字符"/>
    <w:link w:val="54"/>
    <w:qFormat/>
    <w:uiPriority w:val="0"/>
  </w:style>
  <w:style w:type="character" w:customStyle="1" w:styleId="78">
    <w:name w:val="正文文本首行缩进 2 字符"/>
    <w:link w:val="56"/>
    <w:qFormat/>
    <w:uiPriority w:val="0"/>
  </w:style>
  <w:style w:type="character" w:customStyle="1" w:styleId="79">
    <w:name w:val="v151"/>
    <w:qFormat/>
    <w:uiPriority w:val="0"/>
    <w:rPr>
      <w:sz w:val="18"/>
    </w:rPr>
  </w:style>
  <w:style w:type="character" w:customStyle="1" w:styleId="80">
    <w:name w:val="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Char Char3"/>
    <w:qFormat/>
    <w:uiPriority w:val="0"/>
    <w:rPr>
      <w:rFonts w:eastAsia="宋体"/>
      <w:kern w:val="2"/>
      <w:sz w:val="18"/>
      <w:lang w:val="en-US" w:eastAsia="zh-CN"/>
    </w:rPr>
  </w:style>
  <w:style w:type="character" w:customStyle="1" w:styleId="88">
    <w:name w:val="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Char Char5"/>
    <w:qFormat/>
    <w:uiPriority w:val="0"/>
    <w:rPr>
      <w:rFonts w:ascii="Arial" w:hAnsi="Arial" w:eastAsia="宋体"/>
      <w:b/>
      <w:smallCaps/>
      <w:kern w:val="28"/>
      <w:sz w:val="36"/>
      <w:lang w:val="en-US" w:eastAsia="en-US"/>
    </w:rPr>
  </w:style>
  <w:style w:type="character" w:customStyle="1" w:styleId="91">
    <w:name w:val="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numId w:val="0"/>
      </w:numPr>
      <w:spacing w:before="0" w:beforeLines="0" w:after="0" w:afterLines="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7">
    <w:name w:val="Char Char14 Char Char"/>
    <w:basedOn w:val="1"/>
    <w:qFormat/>
    <w:uiPriority w:val="0"/>
    <w:rPr>
      <w:sz w:val="21"/>
      <w:szCs w:val="24"/>
    </w:rPr>
  </w:style>
  <w:style w:type="paragraph" w:customStyle="1" w:styleId="128">
    <w:name w:val="Char Char Char Char Char"/>
    <w:basedOn w:val="1"/>
    <w:qFormat/>
    <w:uiPriority w:val="0"/>
    <w:pPr>
      <w:tabs>
        <w:tab w:val="left" w:pos="425"/>
      </w:tabs>
      <w:ind w:left="1620" w:hanging="360"/>
    </w:pPr>
    <w:rPr>
      <w:rFonts w:ascii="Tahoma" w:hAnsi="Tahoma"/>
      <w:sz w:val="24"/>
    </w:rPr>
  </w:style>
  <w:style w:type="paragraph" w:customStyle="1" w:styleId="129">
    <w:name w:val="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tabs>
        <w:tab w:val="left" w:pos="42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6">
    <w:name w:val="Char Char Char Char Char Char Char1"/>
    <w:basedOn w:val="18"/>
    <w:qFormat/>
    <w:uiPriority w:val="0"/>
    <w:rPr>
      <w:rFonts w:ascii="宋体" w:hAnsi="Tahoma"/>
    </w:rPr>
  </w:style>
  <w:style w:type="paragraph" w:customStyle="1" w:styleId="147">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5">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6">
    <w:name w:val="标准正文"/>
    <w:basedOn w:val="23"/>
    <w:qFormat/>
    <w:uiPriority w:val="0"/>
    <w:pPr>
      <w:spacing w:before="60" w:after="60" w:line="360" w:lineRule="auto"/>
      <w:ind w:left="0" w:firstLine="482"/>
    </w:pPr>
    <w:rPr>
      <w:rFonts w:ascii="Arial" w:hAnsi="Arial"/>
      <w:sz w:val="24"/>
    </w:rPr>
  </w:style>
  <w:style w:type="paragraph" w:customStyle="1" w:styleId="157">
    <w:name w:val="正文文本 21"/>
    <w:basedOn w:val="1"/>
    <w:qFormat/>
    <w:uiPriority w:val="0"/>
    <w:pPr>
      <w:adjustRightInd w:val="0"/>
      <w:spacing w:before="120" w:line="360" w:lineRule="auto"/>
      <w:ind w:firstLine="480"/>
      <w:textAlignment w:val="baseline"/>
    </w:pPr>
    <w:rPr>
      <w:sz w:val="24"/>
    </w:rPr>
  </w:style>
  <w:style w:type="paragraph" w:customStyle="1" w:styleId="158">
    <w:name w:val="样式1"/>
    <w:basedOn w:val="6"/>
    <w:qFormat/>
    <w:uiPriority w:val="0"/>
    <w:pPr>
      <w:tabs>
        <w:tab w:val="left" w:pos="720"/>
      </w:tabs>
      <w:spacing w:before="500" w:after="260" w:line="560" w:lineRule="atLeast"/>
      <w:ind w:left="420" w:hanging="420"/>
    </w:pPr>
  </w:style>
  <w:style w:type="paragraph" w:customStyle="1" w:styleId="159">
    <w:name w:val="正文4"/>
    <w:basedOn w:val="1"/>
    <w:qFormat/>
    <w:uiPriority w:val="0"/>
    <w:pPr>
      <w:tabs>
        <w:tab w:val="left" w:pos="1275"/>
      </w:tabs>
      <w:spacing w:before="60" w:after="60" w:line="360" w:lineRule="auto"/>
      <w:ind w:left="820" w:leftChars="400" w:hanging="705"/>
    </w:pPr>
    <w:rPr>
      <w:sz w:val="24"/>
    </w:rPr>
  </w:style>
  <w:style w:type="paragraph" w:customStyle="1" w:styleId="160">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after="720"/>
    </w:pPr>
    <w:rPr>
      <w:sz w:val="28"/>
    </w:rPr>
  </w:style>
  <w:style w:type="paragraph" w:customStyle="1" w:styleId="169">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after="12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5">
    <w:name w:val="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0">
    <w:name w:val="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1"/>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Char Char Char"/>
    <w:basedOn w:val="1"/>
    <w:qFormat/>
    <w:uiPriority w:val="0"/>
    <w:rPr>
      <w:rFonts w:ascii="Tahoma" w:hAnsi="Tahoma"/>
      <w:sz w:val="24"/>
    </w:rPr>
  </w:style>
  <w:style w:type="paragraph" w:customStyle="1" w:styleId="199">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after="60" w:line="360" w:lineRule="auto"/>
      <w:ind w:left="200" w:leftChars="200" w:firstLine="200" w:firstLineChars="200"/>
    </w:pPr>
    <w:rPr>
      <w:sz w:val="24"/>
    </w:rPr>
  </w:style>
  <w:style w:type="paragraph" w:customStyle="1" w:styleId="207">
    <w:name w:val="正文表格"/>
    <w:basedOn w:val="1"/>
    <w:qFormat/>
    <w:uiPriority w:val="0"/>
    <w:pPr>
      <w:adjustRightInd w:val="0"/>
      <w:spacing w:before="40" w:after="4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正文文本缩进 21"/>
    <w:basedOn w:val="1"/>
    <w:qFormat/>
    <w:uiPriority w:val="0"/>
    <w:pPr>
      <w:adjustRightInd w:val="0"/>
      <w:spacing w:before="12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2">
    <w:name w:val="附录3"/>
    <w:basedOn w:val="1"/>
    <w:next w:val="1"/>
    <w:qFormat/>
    <w:uiPriority w:val="0"/>
    <w:p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line="360" w:lineRule="auto"/>
      <w:ind w:firstLine="200" w:firstLineChars="200"/>
    </w:pPr>
    <w:rPr>
      <w:sz w:val="24"/>
    </w:rPr>
  </w:style>
  <w:style w:type="paragraph" w:customStyle="1" w:styleId="225">
    <w:name w:val="Char11"/>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after="12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150</TotalTime>
  <ScaleCrop>false</ScaleCrop>
  <LinksUpToDate>false</LinksUpToDate>
  <CharactersWithSpaces>15075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周洋</cp:lastModifiedBy>
  <cp:lastPrinted>2015-03-25T02:14:00Z</cp:lastPrinted>
  <dcterms:modified xsi:type="dcterms:W3CDTF">2023-12-14T09:30:11Z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