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pStyle w:val="69"/>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pStyle w:val="70"/>
        <w:rPr>
          <w:rFonts w:hint="eastAsia" w:ascii="微软雅黑" w:hAnsi="微软雅黑" w:eastAsia="微软雅黑" w:cs="微软雅黑"/>
          <w:kern w:val="2"/>
          <w:sz w:val="44"/>
          <w:szCs w:val="44"/>
        </w:rPr>
      </w:pPr>
    </w:p>
    <w:p>
      <w:pPr>
        <w:spacing w:line="360" w:lineRule="auto"/>
        <w:ind w:firstLine="2160" w:firstLineChars="600"/>
        <w:outlineLvl w:val="0"/>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YSB2</w:t>
      </w:r>
      <w:r>
        <w:rPr>
          <w:rFonts w:hint="eastAsia" w:ascii="微软雅黑" w:hAnsi="微软雅黑" w:eastAsia="微软雅黑" w:cs="微软雅黑"/>
          <w:sz w:val="36"/>
          <w:szCs w:val="36"/>
          <w:u w:val="single"/>
          <w:lang w:val="en-US" w:eastAsia="zh-CN"/>
        </w:rPr>
        <w:t>4</w:t>
      </w:r>
      <w:r>
        <w:rPr>
          <w:rFonts w:hint="eastAsia" w:ascii="微软雅黑" w:hAnsi="微软雅黑" w:eastAsia="微软雅黑" w:cs="微软雅黑"/>
          <w:sz w:val="36"/>
          <w:szCs w:val="36"/>
          <w:u w:val="single"/>
        </w:rPr>
        <w:t>0</w:t>
      </w:r>
      <w:r>
        <w:rPr>
          <w:rFonts w:hint="eastAsia" w:ascii="微软雅黑" w:hAnsi="微软雅黑" w:eastAsia="微软雅黑" w:cs="微软雅黑"/>
          <w:sz w:val="36"/>
          <w:szCs w:val="36"/>
          <w:u w:val="single"/>
          <w:lang w:val="en-US" w:eastAsia="zh-CN"/>
        </w:rPr>
        <w:t>173</w:t>
      </w:r>
    </w:p>
    <w:p>
      <w:pPr>
        <w:spacing w:line="360" w:lineRule="auto"/>
        <w:ind w:firstLine="2160" w:firstLineChars="600"/>
        <w:outlineLvl w:val="0"/>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rPr>
        <w:t>项目名称：</w:t>
      </w:r>
      <w:r>
        <w:rPr>
          <w:rFonts w:hint="eastAsia" w:ascii="微软雅黑" w:hAnsi="微软雅黑" w:eastAsia="微软雅黑" w:cs="微软雅黑"/>
          <w:sz w:val="36"/>
          <w:szCs w:val="36"/>
          <w:u w:val="single"/>
        </w:rPr>
        <w:t>床单位消毒机定点采购</w:t>
      </w:r>
    </w:p>
    <w:p>
      <w:pPr>
        <w:spacing w:line="700" w:lineRule="exact"/>
        <w:rPr>
          <w:rFonts w:hint="eastAsia" w:ascii="微软雅黑" w:hAnsi="微软雅黑" w:eastAsia="微软雅黑" w:cs="微软雅黑"/>
          <w:b/>
          <w:sz w:val="36"/>
          <w:szCs w:val="36"/>
        </w:rPr>
      </w:pPr>
    </w:p>
    <w:p>
      <w:pPr>
        <w:spacing w:line="500" w:lineRule="exact"/>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4</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12</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_Toc7992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_Toc7992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_Toc11467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一、 </w:t>
      </w:r>
      <w:r>
        <w:rPr>
          <w:rFonts w:hint="eastAsia" w:ascii="微软雅黑" w:hAnsi="微软雅黑" w:eastAsia="微软雅黑" w:cs="微软雅黑"/>
          <w:sz w:val="24"/>
          <w:szCs w:val="24"/>
        </w:rPr>
        <w:t>公开比选采购内容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_Toc11467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_Toc26696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二、投标人资格条件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_Toc26696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_Toc14177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三、比选有关说明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_Toc14177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_Toc31450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_Toc31450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_Toc15827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五、其它</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_Toc15827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_Toc11692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_Toc11692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_Toc20736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第二篇 项目技术（质量）需求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_Toc20736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_Toc30422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_Toc30422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_Toc23695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第四篇  公开比选采购程序及方法、评审标准、无效响应和采购终止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_Toc23695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_Toc20901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一、公开比选采购程序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_Toc20901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_Toc15312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二、评标方法</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_Toc15312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_Toc11387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三、报价方式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_Toc11387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_Toc26257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四、评审标准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_Toc26257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_Toc23233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四、无效响应</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_Toc23233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_Toc25795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五、废标条款</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_Toc25795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_Toc30649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第五篇  投标人须知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_Toc30649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_Toc15830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一、公开比选费用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_Toc15830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_Toc30903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二、公开比选采购文件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_Toc30903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_Toc16854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_Toc16854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_Toc21728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四、成交供应商的确认和变更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_Toc21728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_Toc32128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_Toc32128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_Toc6041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六、质疑处理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_Toc6041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_Toc8656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_Toc8656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_Toc31831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_Toc31831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_Toc14636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_Toc14636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_Toc13732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_Toc13732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_Toc7876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_Toc7876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_Toc8565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_Toc8565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rFonts w:hint="eastAsia" w:ascii="微软雅黑" w:hAnsi="微软雅黑" w:eastAsia="微软雅黑" w:cs="微软雅黑"/>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_Toc4644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_Toc4644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0" w:name="_Toc7992"/>
      <w:bookmarkStart w:id="1" w:name="_Toc12789052"/>
      <w:bookmarkStart w:id="2" w:name="_Toc24037"/>
      <w:bookmarkStart w:id="3" w:name="_Toc11641050"/>
      <w:bookmarkStart w:id="4" w:name="_Toc106030870"/>
      <w:bookmarkStart w:id="5" w:name="_Toc76462316"/>
      <w:r>
        <w:rPr>
          <w:rFonts w:hint="eastAsia" w:ascii="微软雅黑" w:hAnsi="微软雅黑" w:eastAsia="微软雅黑" w:cs="微软雅黑"/>
          <w:sz w:val="44"/>
        </w:rPr>
        <w:t>第一篇  采购邀请书</w:t>
      </w:r>
      <w:bookmarkEnd w:id="0"/>
      <w:bookmarkEnd w:id="1"/>
      <w:bookmarkEnd w:id="2"/>
      <w:bookmarkEnd w:id="3"/>
      <w:bookmarkEnd w:id="4"/>
      <w:bookmarkEnd w:id="5"/>
    </w:p>
    <w:p>
      <w:pPr>
        <w:rPr>
          <w:rFonts w:hint="eastAsia" w:ascii="微软雅黑" w:hAnsi="微软雅黑" w:eastAsia="微软雅黑" w:cs="微软雅黑"/>
        </w:rPr>
      </w:pPr>
      <w:r>
        <w:rPr>
          <w:rFonts w:hint="eastAsia" w:ascii="微软雅黑" w:hAnsi="微软雅黑" w:eastAsia="微软雅黑" w:cs="微软雅黑"/>
          <w:sz w:val="24"/>
          <w:szCs w:val="24"/>
        </w:rPr>
        <w:t xml:space="preserve">    </w:t>
      </w:r>
      <w:r>
        <w:rPr>
          <w:rFonts w:hint="eastAsia" w:ascii="微软雅黑" w:hAnsi="微软雅黑" w:eastAsia="微软雅黑" w:cs="微软雅黑"/>
          <w:sz w:val="24"/>
          <w:szCs w:val="24"/>
        </w:rPr>
        <w:t>重庆医科大学附属儿童医院对</w:t>
      </w:r>
      <w:r>
        <w:rPr>
          <w:rFonts w:hint="eastAsia" w:ascii="微软雅黑" w:hAnsi="微软雅黑" w:eastAsia="微软雅黑" w:cs="微软雅黑"/>
          <w:sz w:val="24"/>
          <w:szCs w:val="24"/>
          <w:u w:val="single"/>
        </w:rPr>
        <w:t>床单位消毒机定点采购</w:t>
      </w:r>
      <w:r>
        <w:rPr>
          <w:rFonts w:hint="eastAsia" w:ascii="微软雅黑" w:hAnsi="微软雅黑" w:eastAsia="微软雅黑" w:cs="微软雅黑"/>
          <w:sz w:val="24"/>
          <w:szCs w:val="24"/>
        </w:rPr>
        <w:t>项目进行公开比选采购。欢迎有资格的投标人前来参与。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317775175"/>
      <w:bookmarkStart w:id="7" w:name="_Toc3856"/>
      <w:bookmarkStart w:id="8" w:name="_Toc313893526"/>
      <w:bookmarkStart w:id="9" w:name="_Toc76462317"/>
      <w:bookmarkStart w:id="10" w:name="_Toc11467"/>
      <w:bookmarkStart w:id="11" w:name="_Toc106030871"/>
      <w:r>
        <w:rPr>
          <w:rFonts w:hint="eastAsia" w:ascii="微软雅黑" w:hAnsi="微软雅黑" w:eastAsia="微软雅黑" w:cs="微软雅黑"/>
          <w:sz w:val="24"/>
        </w:rPr>
        <w:t>公开比选采购内容</w:t>
      </w:r>
      <w:bookmarkEnd w:id="6"/>
      <w:bookmarkEnd w:id="7"/>
      <w:bookmarkEnd w:id="8"/>
      <w:bookmarkEnd w:id="9"/>
      <w:bookmarkEnd w:id="10"/>
      <w:bookmarkEnd w:id="11"/>
    </w:p>
    <w:tbl>
      <w:tblPr>
        <w:tblStyle w:val="58"/>
        <w:tblW w:w="472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9"/>
        <w:gridCol w:w="2642"/>
        <w:gridCol w:w="1455"/>
        <w:gridCol w:w="1187"/>
        <w:gridCol w:w="1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61"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106030872"/>
            <w:bookmarkStart w:id="13" w:name="_Toc76462318"/>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469"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809" w:type="pct"/>
            <w:tcBorders>
              <w:top w:val="single" w:color="auto" w:sz="4" w:space="0"/>
              <w:left w:val="single" w:color="auto" w:sz="4" w:space="0"/>
              <w:right w:val="single" w:color="auto" w:sz="4" w:space="0"/>
            </w:tcBorders>
            <w:vAlign w:val="center"/>
          </w:tcPr>
          <w:p>
            <w:pPr>
              <w:jc w:val="center"/>
              <w:rPr>
                <w:rFonts w:hint="eastAsia"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单价限价（元）</w:t>
            </w:r>
          </w:p>
        </w:tc>
        <w:tc>
          <w:tcPr>
            <w:tcW w:w="660"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1098" w:type="pct"/>
            <w:tcBorders>
              <w:top w:val="single" w:color="auto" w:sz="4" w:space="0"/>
              <w:left w:val="single" w:color="auto" w:sz="4" w:space="0"/>
              <w:right w:val="single" w:color="auto" w:sz="4" w:space="0"/>
            </w:tcBorders>
            <w:vAlign w:val="center"/>
          </w:tcPr>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成交供应商数量（名）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61"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微软雅黑" w:hAnsi="微软雅黑" w:eastAsia="微软雅黑" w:cs="微软雅黑"/>
                <w:kern w:val="0"/>
                <w:sz w:val="21"/>
                <w:szCs w:val="24"/>
                <w:lang w:val="en-US" w:eastAsia="zh-CN"/>
              </w:rPr>
            </w:pPr>
            <w:r>
              <w:rPr>
                <w:rFonts w:hint="eastAsia" w:ascii="微软雅黑" w:hAnsi="微软雅黑" w:eastAsia="微软雅黑" w:cs="微软雅黑"/>
                <w:kern w:val="0"/>
                <w:sz w:val="21"/>
                <w:szCs w:val="24"/>
              </w:rPr>
              <w:t>YSB2</w:t>
            </w:r>
            <w:r>
              <w:rPr>
                <w:rFonts w:hint="eastAsia" w:ascii="微软雅黑" w:hAnsi="微软雅黑" w:eastAsia="微软雅黑" w:cs="微软雅黑"/>
                <w:kern w:val="0"/>
                <w:sz w:val="21"/>
                <w:szCs w:val="24"/>
                <w:lang w:val="en-US" w:eastAsia="zh-CN"/>
              </w:rPr>
              <w:t>40173</w:t>
            </w:r>
          </w:p>
        </w:tc>
        <w:tc>
          <w:tcPr>
            <w:tcW w:w="146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床单位消毒机定点采购</w:t>
            </w:r>
          </w:p>
        </w:tc>
        <w:tc>
          <w:tcPr>
            <w:tcW w:w="80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6800</w:t>
            </w:r>
          </w:p>
        </w:tc>
        <w:tc>
          <w:tcPr>
            <w:tcW w:w="660"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2000</w:t>
            </w:r>
          </w:p>
        </w:tc>
        <w:tc>
          <w:tcPr>
            <w:tcW w:w="109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26696"/>
      <w:r>
        <w:rPr>
          <w:rFonts w:hint="eastAsia" w:ascii="微软雅黑" w:hAnsi="微软雅黑" w:eastAsia="微软雅黑" w:cs="微软雅黑"/>
          <w:sz w:val="24"/>
        </w:rPr>
        <w:t>二、</w:t>
      </w:r>
      <w:bookmarkEnd w:id="12"/>
      <w:bookmarkEnd w:id="13"/>
      <w:bookmarkEnd w:id="16"/>
      <w:bookmarkStart w:id="18" w:name="_Toc76462319"/>
      <w:bookmarkStart w:id="19" w:name="_Toc106030873"/>
      <w:bookmarkStart w:id="20" w:name="_Toc4480"/>
      <w:r>
        <w:rPr>
          <w:rFonts w:hint="eastAsia" w:ascii="微软雅黑" w:hAnsi="微软雅黑" w:eastAsia="微软雅黑" w:cs="微软雅黑"/>
          <w:sz w:val="24"/>
        </w:rPr>
        <w:t>投标人资格条件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21" w:name="_Toc27954"/>
      <w:bookmarkStart w:id="22" w:name="_Toc106030874"/>
      <w:bookmarkStart w:id="23" w:name="_Toc764623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1.投标人为所投标产品制造商或经销商；若为经销商投标，须具备投标产品制造商或制造商中国境内代表机构认可的经销资格。</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2.投标人须具备医疗器械经营许可证。</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3.投标产品制造商的医疗器械生产企业许可证和生产目录表。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4.所投产品属三类医疗器械的，须具备有效期内《医疗器械经营企业许可证》或《医疗器械经营许可证》。</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5.所提供产品属二类医疗器械的，须具备有效期内《医疗器械经营企业许可证》或《第二类医疗器械经营备案凭证》。</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6.所提供产品属一类医疗器械的，须具有所提供产品《第一类医疗器械备案凭证》及《第一类医疗器械备案信息表》。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4" w:name="_Toc14177"/>
      <w:r>
        <w:rPr>
          <w:rFonts w:hint="eastAsia" w:ascii="微软雅黑" w:hAnsi="微软雅黑" w:eastAsia="微软雅黑" w:cs="微软雅黑"/>
          <w:sz w:val="24"/>
        </w:rPr>
        <w:t>三、比选有关说明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（一）投标人应通过重庆医科大学附属儿童医院电子招投标平台（zbb.chcmu.com）进行注册和报名。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公开比选采购的投标人，请在重庆医科大学附属儿童医院电子招投标平台下载本项目公开比选采购文件以及其他所有项目资料，无论投标人下载与否，均视为已知晓所有公开比选采购实质性要求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（四）公开比选采购公告期限及报名截止期限：详见电子招投标平台该项目公告内容。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11956"/>
      <w:bookmarkStart w:id="26" w:name="_Toc521053053"/>
      <w:bookmarkStart w:id="27" w:name="_Toc525047161"/>
      <w:bookmarkStart w:id="28" w:name="_Toc12841"/>
      <w:bookmarkStart w:id="29" w:name="_Toc31450"/>
      <w:bookmarkStart w:id="30" w:name="_Toc6178"/>
      <w:bookmarkStart w:id="31" w:name="_Toc65660334"/>
      <w:bookmarkStart w:id="32" w:name="_Toc106034625"/>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3"/>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足额交纳保证金（保证金金额详见本篇，一、公开比选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3"/>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1.未成交供应商的保证金，在中标通知书发放后45个日历日内退还至项目报名时所填写指定的投标单位对公账户。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2.成交供应商的保证金，将在与我院完成签订本项目合同并提交招标办公室（将合同扫描文件发送至zbb63632469@qq.com）之后45个日历日内，无息退还至项目报名时所填写的投标单位对公账户。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525047162"/>
      <w:bookmarkStart w:id="34" w:name="_Toc65660335"/>
      <w:bookmarkStart w:id="35" w:name="_Toc4355"/>
      <w:bookmarkStart w:id="36" w:name="_Toc2945"/>
      <w:bookmarkStart w:id="37" w:name="_Toc521053054"/>
      <w:bookmarkStart w:id="38" w:name="_Toc106034626"/>
      <w:bookmarkStart w:id="39" w:name="_Toc15827"/>
      <w:bookmarkStart w:id="40" w:name="_Toc1546"/>
      <w:r>
        <w:rPr>
          <w:rFonts w:hint="eastAsia" w:ascii="微软雅黑" w:hAnsi="微软雅黑" w:eastAsia="微软雅黑" w:cs="微软雅黑"/>
          <w:sz w:val="24"/>
        </w:rPr>
        <w:t>五、</w:t>
      </w:r>
      <w:bookmarkEnd w:id="33"/>
      <w:bookmarkEnd w:id="34"/>
      <w:bookmarkEnd w:id="35"/>
      <w:bookmarkEnd w:id="36"/>
      <w:bookmarkEnd w:id="37"/>
      <w:bookmarkEnd w:id="38"/>
      <w:bookmarkStart w:id="41" w:name="_Toc106034627"/>
      <w:bookmarkStart w:id="42" w:name="_Toc525047163"/>
      <w:bookmarkStart w:id="43" w:name="_Toc65660336"/>
      <w:bookmarkStart w:id="44" w:name="_Toc6563"/>
      <w:bookmarkStart w:id="45" w:name="_Toc16269"/>
      <w:bookmarkStart w:id="46" w:name="_Toc521053055"/>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（一）重庆医科大学附属儿童医院招标办公室所作出的一切书面通知、修改、补充说明、答疑等内容，都是公开比选采购文件不可分割的组成部分。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公开比选采购文件有任何实质性疑问，应当以书面形式向招标方提出质疑，并须将该质疑文件纸质版（须加盖提出质疑单位的公章确认）在投标截止时间前送达重庆医科大学附属儿童医院招标办公室，否则即视为完全放弃对本公开比选采购文件的质疑权利。如招标人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公开比选采购文件的全部内容。如发现缺页或附件不全，应及时提出，以便补齐。如有疑问，请在投标截止日前向招标单位提出，超过此时间规定，招标单位不再受理对于公开比选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65660337"/>
      <w:bookmarkStart w:id="48" w:name="_Toc521053056"/>
      <w:bookmarkStart w:id="49" w:name="_Toc525047164"/>
      <w:bookmarkStart w:id="50" w:name="_Toc1733"/>
      <w:bookmarkStart w:id="51" w:name="_Toc106034628"/>
      <w:bookmarkStart w:id="52" w:name="_Toc10415"/>
      <w:bookmarkStart w:id="53" w:name="_Toc11692"/>
      <w:bookmarkStart w:id="54" w:name="_Toc24901"/>
      <w:r>
        <w:rPr>
          <w:rFonts w:hint="eastAsia" w:ascii="微软雅黑" w:hAnsi="微软雅黑" w:eastAsia="微软雅黑" w:cs="微软雅黑"/>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联系人：招标办周老师</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spacing w:line="400" w:lineRule="exact"/>
        <w:rPr>
          <w:rFonts w:hint="eastAsia" w:ascii="微软雅黑" w:hAnsi="微软雅黑" w:eastAsia="微软雅黑" w:cs="微软雅黑"/>
          <w:sz w:val="24"/>
          <w:szCs w:val="24"/>
        </w:rPr>
      </w:pPr>
      <w:bookmarkStart w:id="55" w:name="_Toc12789058"/>
    </w:p>
    <w:p>
      <w:pPr>
        <w:pStyle w:val="3"/>
        <w:tabs>
          <w:tab w:val="left" w:pos="3360"/>
        </w:tabs>
        <w:spacing w:line="360" w:lineRule="auto"/>
        <w:jc w:val="center"/>
        <w:rPr>
          <w:rFonts w:hint="eastAsia" w:ascii="微软雅黑" w:hAnsi="微软雅黑" w:eastAsia="微软雅黑" w:cs="微软雅黑"/>
          <w:b/>
          <w:sz w:val="44"/>
        </w:rPr>
      </w:pPr>
      <w:bookmarkStart w:id="56" w:name="_Toc19886"/>
      <w:bookmarkStart w:id="57" w:name="_Toc23143"/>
      <w:bookmarkStart w:id="58" w:name="_Toc2070"/>
      <w:bookmarkStart w:id="59" w:name="_Toc5461"/>
      <w:bookmarkStart w:id="60" w:name="_Toc2422"/>
      <w:bookmarkStart w:id="61" w:name="_Toc8649"/>
      <w:bookmarkStart w:id="62" w:name="_Toc25639"/>
      <w:bookmarkStart w:id="63" w:name="_Toc75793504"/>
      <w:bookmarkStart w:id="64" w:name="_Toc1492"/>
      <w:bookmarkStart w:id="65" w:name="_Toc725"/>
      <w:bookmarkStart w:id="66" w:name="_Toc32686"/>
      <w:bookmarkStart w:id="67" w:name="_Toc12959"/>
      <w:bookmarkStart w:id="68" w:name="_Toc11017"/>
      <w:bookmarkStart w:id="69" w:name="_Toc26176"/>
      <w:bookmarkStart w:id="70" w:name="_Toc1625"/>
      <w:bookmarkStart w:id="71" w:name="_Toc106030380"/>
      <w:bookmarkStart w:id="72" w:name="_Toc20736"/>
      <w:r>
        <w:rPr>
          <w:rFonts w:hint="eastAsia" w:ascii="微软雅黑" w:hAnsi="微软雅黑" w:eastAsia="微软雅黑" w:cs="微软雅黑"/>
          <w:b/>
          <w:sz w:val="44"/>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微软雅黑" w:hAnsi="微软雅黑" w:eastAsia="微软雅黑" w:cs="微软雅黑"/>
          <w:b/>
          <w:sz w:val="44"/>
        </w:rPr>
        <w:t>项目技术（质量）需求</w:t>
      </w:r>
      <w:bookmarkEnd w:id="71"/>
      <w:bookmarkEnd w:id="72"/>
    </w:p>
    <w:p>
      <w:pPr>
        <w:ind w:firstLine="480" w:firstLineChars="200"/>
        <w:rPr>
          <w:rFonts w:hint="eastAsia" w:ascii="微软雅黑" w:hAnsi="微软雅黑" w:eastAsia="微软雅黑" w:cs="微软雅黑"/>
          <w:b/>
          <w:bCs/>
          <w:sz w:val="24"/>
          <w:szCs w:val="24"/>
        </w:rPr>
      </w:pPr>
      <w:bookmarkStart w:id="73" w:name="_Toc29985"/>
      <w:bookmarkStart w:id="74" w:name="_Toc9261"/>
      <w:bookmarkStart w:id="75" w:name="_Toc19238"/>
      <w:bookmarkStart w:id="76" w:name="_Toc22910"/>
      <w:bookmarkStart w:id="77" w:name="_Toc23656"/>
      <w:bookmarkStart w:id="78" w:name="_Toc4531"/>
      <w:bookmarkStart w:id="79" w:name="_Toc75793505"/>
      <w:bookmarkStart w:id="80" w:name="_Toc8370"/>
      <w:bookmarkStart w:id="81" w:name="_Toc11703"/>
      <w:bookmarkStart w:id="82" w:name="_Toc106030381"/>
      <w:bookmarkStart w:id="83" w:name="_Toc4913"/>
      <w:bookmarkStart w:id="84" w:name="_Toc4519"/>
      <w:bookmarkStart w:id="85" w:name="_Toc7027"/>
      <w:bookmarkStart w:id="86" w:name="_Toc23504"/>
      <w:bookmarkStart w:id="87" w:name="_Toc20979"/>
      <w:r>
        <w:rPr>
          <w:rFonts w:hint="eastAsia" w:ascii="微软雅黑" w:hAnsi="微软雅黑" w:eastAsia="微软雅黑" w:cs="微软雅黑"/>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3614"/>
        <w:gridCol w:w="1462"/>
        <w:gridCol w:w="14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1" w:hRule="atLeast"/>
          <w:jc w:val="center"/>
        </w:trPr>
        <w:tc>
          <w:tcPr>
            <w:tcW w:w="1340"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3614"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462"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1462" w:type="dxa"/>
            <w:vAlign w:val="center"/>
          </w:tcPr>
          <w:p>
            <w:pPr>
              <w:jc w:val="center"/>
              <w:rPr>
                <w:rFonts w:hint="eastAsia" w:ascii="微软雅黑" w:hAnsi="微软雅黑" w:eastAsia="微软雅黑" w:cs="微软雅黑"/>
                <w:b/>
                <w:sz w:val="24"/>
                <w:szCs w:val="24"/>
                <w:lang w:val="en-US" w:eastAsia="zh-CN"/>
              </w:rPr>
            </w:pPr>
            <w:r>
              <w:rPr>
                <w:rFonts w:hint="eastAsia" w:ascii="微软雅黑" w:hAnsi="微软雅黑" w:eastAsia="微软雅黑" w:cs="微软雅黑"/>
                <w:b/>
                <w:sz w:val="24"/>
                <w:szCs w:val="24"/>
                <w:lang w:val="en-US" w:eastAsia="zh-CN"/>
              </w:rPr>
              <w:t>合同期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1" w:hRule="atLeast"/>
          <w:jc w:val="center"/>
        </w:trPr>
        <w:tc>
          <w:tcPr>
            <w:tcW w:w="1340" w:type="dxa"/>
            <w:vAlign w:val="center"/>
          </w:tcPr>
          <w:p>
            <w:pPr>
              <w:pStyle w:val="23"/>
              <w:spacing w:line="240" w:lineRule="auto"/>
              <w:ind w:left="0"/>
              <w:jc w:val="center"/>
              <w:outlineLvl w:val="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p>
        </w:tc>
        <w:tc>
          <w:tcPr>
            <w:tcW w:w="3614" w:type="dxa"/>
            <w:vAlign w:val="center"/>
          </w:tcPr>
          <w:p>
            <w:pPr>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床单位消毒机定点采购</w:t>
            </w:r>
          </w:p>
        </w:tc>
        <w:tc>
          <w:tcPr>
            <w:tcW w:w="1462" w:type="dxa"/>
            <w:vAlign w:val="center"/>
          </w:tcPr>
          <w:p>
            <w:pPr>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定点采购</w:t>
            </w:r>
          </w:p>
        </w:tc>
        <w:tc>
          <w:tcPr>
            <w:tcW w:w="1462" w:type="dxa"/>
            <w:vAlign w:val="center"/>
          </w:tcPr>
          <w:p>
            <w:pPr>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3年</w:t>
            </w:r>
          </w:p>
        </w:tc>
      </w:tr>
    </w:tbl>
    <w:p>
      <w:pPr>
        <w:ind w:firstLine="480" w:firstLineChars="200"/>
        <w:rPr>
          <w:rFonts w:hint="eastAsia" w:ascii="微软雅黑" w:hAnsi="微软雅黑" w:eastAsia="微软雅黑" w:cs="微软雅黑"/>
          <w:sz w:val="24"/>
          <w:szCs w:val="24"/>
        </w:rPr>
      </w:pPr>
      <w:bookmarkStart w:id="88" w:name="_Toc26453"/>
      <w:bookmarkStart w:id="89" w:name="_Toc32262"/>
      <w:bookmarkStart w:id="90" w:name="_Toc18800"/>
      <w:bookmarkStart w:id="91" w:name="_Toc5751"/>
      <w:bookmarkStart w:id="92" w:name="_Toc27067"/>
      <w:bookmarkStart w:id="93" w:name="_Toc75793506"/>
      <w:bookmarkStart w:id="94" w:name="_Toc15696"/>
      <w:bookmarkStart w:id="95" w:name="_Toc18903"/>
      <w:bookmarkStart w:id="96" w:name="_Toc21817"/>
      <w:bookmarkStart w:id="97" w:name="_Toc23975"/>
      <w:bookmarkStart w:id="98" w:name="_Toc7792"/>
      <w:bookmarkStart w:id="99" w:name="_Toc695"/>
      <w:bookmarkStart w:id="100" w:name="_Toc12568"/>
      <w:bookmarkStart w:id="101" w:name="_Toc10143"/>
      <w:bookmarkStart w:id="102" w:name="_Toc106030382"/>
      <w:bookmarkStart w:id="103" w:name="_Toc28205"/>
      <w:r>
        <w:rPr>
          <w:rFonts w:hint="eastAsia" w:ascii="微软雅黑" w:hAnsi="微软雅黑" w:eastAsia="微软雅黑" w:cs="微软雅黑"/>
          <w:b/>
          <w:bCs/>
          <w:sz w:val="24"/>
          <w:szCs w:val="24"/>
        </w:rPr>
        <w:t>二、项目技术需求</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pPr>
        <w:numPr>
          <w:ilvl w:val="0"/>
          <w:numId w:val="15"/>
        </w:num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采用臭氧消毒，对大肠杆菌、金黄色葡萄球菌、白色念珠菌的杀灭率大于 99.9%，灭菌值要求符合GB 28232-2020臭氧消毒器卫生要求（参考值如下）。要求提供具有CMA认证资质的正规机构出具的检测报告；</w:t>
      </w:r>
    </w:p>
    <w:p>
      <w:pPr>
        <w:pStyle w:val="2"/>
        <w:numPr>
          <w:ilvl w:val="0"/>
          <w:numId w:val="0"/>
        </w:numPr>
        <w:rPr>
          <w:rFonts w:hint="eastAsia" w:ascii="微软雅黑" w:hAnsi="微软雅黑" w:eastAsia="微软雅黑" w:cs="微软雅黑"/>
          <w:lang w:val="en-US" w:eastAsia="zh-CN"/>
        </w:rPr>
      </w:pPr>
      <w:r>
        <w:rPr>
          <w:rFonts w:hint="eastAsia" w:ascii="微软雅黑" w:hAnsi="微软雅黑" w:eastAsia="微软雅黑" w:cs="微软雅黑"/>
        </w:rPr>
        <w:drawing>
          <wp:inline distT="0" distB="0" distL="114300" distR="114300">
            <wp:extent cx="5269230" cy="3329305"/>
            <wp:effectExtent l="0" t="0" r="7620"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20"/>
                    <a:stretch>
                      <a:fillRect/>
                    </a:stretch>
                  </pic:blipFill>
                  <pic:spPr>
                    <a:xfrm>
                      <a:off x="0" y="0"/>
                      <a:ext cx="5269230" cy="3329305"/>
                    </a:xfrm>
                    <a:prstGeom prst="rect">
                      <a:avLst/>
                    </a:prstGeom>
                    <a:noFill/>
                    <a:ln>
                      <a:noFill/>
                    </a:ln>
                  </pic:spPr>
                </pic:pic>
              </a:graphicData>
            </a:graphic>
          </wp:inline>
        </w:drawing>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2.机器包含抽真空、消毒、保持、还原四种功能，且四种功能的作用时间为 0-99 分钟可调；</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3.臭氧产出量、臭氧浓度和臭氧泄漏量要求符合</w:t>
      </w:r>
      <w:r>
        <w:rPr>
          <w:rFonts w:hint="eastAsia" w:ascii="微软雅黑" w:hAnsi="微软雅黑" w:eastAsia="微软雅黑" w:cs="微软雅黑"/>
          <w:sz w:val="24"/>
          <w:szCs w:val="24"/>
          <w:lang w:val="en-US" w:eastAsia="zh-CN"/>
        </w:rPr>
        <w:t>GB 28232-2020</w:t>
      </w:r>
      <w:r>
        <w:rPr>
          <w:rFonts w:hint="eastAsia" w:ascii="微软雅黑" w:hAnsi="微软雅黑" w:eastAsia="微软雅黑" w:cs="微软雅黑"/>
          <w:sz w:val="24"/>
          <w:szCs w:val="24"/>
          <w:lang w:val="en-US" w:eastAsia="zh-CN"/>
        </w:rPr>
        <w:t>臭氧消毒器卫生要求，消毒时一般密封袋内的臭氧浓度≥200mg/L，臭氧泄漏量≤0.1 mg/m³，相对湿度 ≥70%，维持时间≥30min。提供具有CMA认证资质的正规机构出具的检测报告；</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4.一体式液晶面板，除抽真空、消毒、保持、还原功能外还需配置自动模式，实现一键消毒功能。提供操作面板的正面图片；</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5.臭氧快速还原装置采用外置设计，且还原装置需配备还原剂。提供还原装置在机器上的位置图；</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6.抽气时噪音≤55dB;消毒时噪音≤ 50dB；</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7.消毒器有双保险丝设计，一个内置，一个外置，保证安全。</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8.消毒器机体包含2个收纳盒，保证消毒管和电源线分别储藏。提供彩页证明；</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9.双管路设计，可同时对两个密封袋进行消毒；</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10.多次性消毒袋、消毒罩与一次性消毒袋、消毒罩均可现货选配；</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 xml:space="preserve">11.一次性消毒袋:2.4mx1.2m 一次性消毒罩:2.8mx2m； </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12.多次性消毒袋:2.5mx1.5m 多次性消毒罩:2.9mx1.7m；</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13.防干扰金属外壳，性能稳定可靠；</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14.外壳全金属喷塑设计，提高阻燃性，增加使用寿命经安全系数；</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15.提供臭氧催化还原剂检测报告，其使用时间不小于两年。</w:t>
      </w:r>
    </w:p>
    <w:p>
      <w:pPr>
        <w:snapToGrid w:val="0"/>
        <w:spacing w:line="400" w:lineRule="exact"/>
        <w:ind w:firstLine="480" w:firstLineChars="200"/>
        <w:rPr>
          <w:rFonts w:hint="eastAsia" w:ascii="微软雅黑" w:hAnsi="微软雅黑" w:eastAsia="微软雅黑" w:cs="微软雅黑"/>
          <w:sz w:val="24"/>
          <w:szCs w:val="24"/>
        </w:rPr>
      </w:pPr>
    </w:p>
    <w:p>
      <w:pPr>
        <w:pStyle w:val="2"/>
        <w:rPr>
          <w:rFonts w:hint="eastAsia" w:ascii="微软雅黑" w:hAnsi="微软雅黑" w:eastAsia="微软雅黑" w:cs="微软雅黑"/>
        </w:rPr>
        <w:sectPr>
          <w:footerReference r:id="rId8" w:type="default"/>
          <w:footerReference r:id="rId9" w:type="even"/>
          <w:pgSz w:w="11907" w:h="16840"/>
          <w:pgMar w:top="1134" w:right="1020" w:bottom="1134" w:left="1020" w:header="964" w:footer="992" w:gutter="0"/>
          <w:pgNumType w:fmt="numberInDash"/>
          <w:cols w:space="720" w:num="1"/>
          <w:docGrid w:linePitch="381" w:charSpace="0"/>
        </w:sectPr>
      </w:pPr>
    </w:p>
    <w:p>
      <w:pPr>
        <w:pStyle w:val="4"/>
        <w:spacing w:before="200" w:after="200" w:line="240" w:lineRule="auto"/>
        <w:jc w:val="center"/>
        <w:rPr>
          <w:rFonts w:hint="eastAsia" w:ascii="微软雅黑" w:hAnsi="微软雅黑" w:eastAsia="微软雅黑" w:cs="微软雅黑"/>
          <w:sz w:val="44"/>
        </w:rPr>
      </w:pPr>
      <w:bookmarkStart w:id="104" w:name="_Toc7791"/>
      <w:bookmarkStart w:id="105" w:name="_Toc30422"/>
      <w:bookmarkStart w:id="106" w:name="_Toc76462327"/>
      <w:bookmarkStart w:id="107" w:name="_Toc106030882"/>
      <w:r>
        <w:rPr>
          <w:rFonts w:hint="eastAsia" w:ascii="微软雅黑" w:hAnsi="微软雅黑" w:eastAsia="微软雅黑" w:cs="微软雅黑"/>
          <w:sz w:val="44"/>
        </w:rPr>
        <w:t xml:space="preserve">第三篇  </w:t>
      </w:r>
      <w:bookmarkEnd w:id="55"/>
      <w:r>
        <w:rPr>
          <w:rFonts w:hint="eastAsia" w:ascii="微软雅黑" w:hAnsi="微软雅黑" w:eastAsia="微软雅黑" w:cs="微软雅黑"/>
          <w:sz w:val="44"/>
        </w:rPr>
        <w:t>项目商务需求</w:t>
      </w:r>
      <w:bookmarkEnd w:id="104"/>
      <w:bookmarkEnd w:id="105"/>
      <w:bookmarkEnd w:id="106"/>
      <w:bookmarkEnd w:id="107"/>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微软雅黑" w:hAnsi="微软雅黑" w:eastAsia="微软雅黑" w:cs="微软雅黑"/>
                <w:sz w:val="24"/>
                <w:szCs w:val="24"/>
                <w:lang w:val="en-US" w:eastAsia="zh-CN"/>
              </w:rPr>
            </w:pPr>
            <w:bookmarkStart w:id="108" w:name="_Toc6692"/>
            <w:bookmarkStart w:id="109" w:name="_Toc106030887"/>
            <w:bookmarkStart w:id="110" w:name="_Toc76462332"/>
            <w:r>
              <w:rPr>
                <w:rFonts w:hint="eastAsia" w:ascii="微软雅黑" w:hAnsi="微软雅黑" w:eastAsia="微软雅黑" w:cs="微软雅黑"/>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交货时间、交货地点及验收方式</w:t>
            </w:r>
          </w:p>
        </w:tc>
        <w:tc>
          <w:tcPr>
            <w:tcW w:w="4277" w:type="pct"/>
            <w:vAlign w:val="center"/>
          </w:tcPr>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kern w:val="0"/>
                <w:sz w:val="24"/>
                <w:szCs w:val="24"/>
                <w:lang w:val="en-US" w:eastAsia="zh-CN"/>
              </w:rPr>
            </w:pPr>
            <w:r>
              <w:rPr>
                <w:rFonts w:hint="eastAsia" w:ascii="微软雅黑" w:hAnsi="微软雅黑" w:eastAsia="微软雅黑" w:cs="微软雅黑"/>
                <w:kern w:val="0"/>
                <w:sz w:val="24"/>
                <w:szCs w:val="24"/>
                <w:lang w:val="en-US" w:eastAsia="zh-CN"/>
              </w:rPr>
              <w:t>合同期限：自合同签订之日起三年</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kern w:val="0"/>
                <w:sz w:val="24"/>
                <w:szCs w:val="24"/>
                <w:lang w:val="en-US" w:eastAsia="zh-CN"/>
              </w:rPr>
            </w:pPr>
            <w:r>
              <w:rPr>
                <w:rFonts w:hint="eastAsia" w:ascii="微软雅黑" w:hAnsi="微软雅黑" w:eastAsia="微软雅黑" w:cs="微软雅黑"/>
                <w:kern w:val="0"/>
                <w:sz w:val="24"/>
                <w:szCs w:val="24"/>
                <w:lang w:val="en-US" w:eastAsia="zh-CN"/>
              </w:rPr>
              <w:t>交货时间：成交供应商接到采购人送货通知后5个日历日内交货</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kern w:val="0"/>
                <w:sz w:val="24"/>
                <w:szCs w:val="24"/>
                <w:lang w:val="en-US" w:eastAsia="zh-CN"/>
              </w:rPr>
            </w:pPr>
            <w:r>
              <w:rPr>
                <w:rFonts w:hint="eastAsia" w:ascii="微软雅黑" w:hAnsi="微软雅黑" w:eastAsia="微软雅黑" w:cs="微软雅黑"/>
                <w:kern w:val="0"/>
                <w:sz w:val="24"/>
                <w:szCs w:val="24"/>
                <w:lang w:val="en-US" w:eastAsia="zh-CN"/>
              </w:rPr>
              <w:t>交货地点：重庆医科大学附属儿童医院两江院区、渝中院区</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kern w:val="0"/>
                <w:sz w:val="24"/>
                <w:szCs w:val="24"/>
                <w:lang w:val="en-US" w:eastAsia="zh-CN"/>
              </w:rPr>
            </w:pPr>
            <w:r>
              <w:rPr>
                <w:rFonts w:hint="eastAsia" w:ascii="微软雅黑" w:hAnsi="微软雅黑" w:eastAsia="微软雅黑" w:cs="微软雅黑"/>
                <w:kern w:val="0"/>
                <w:sz w:val="24"/>
                <w:szCs w:val="24"/>
                <w:lang w:val="en-US" w:eastAsia="zh-CN"/>
              </w:rPr>
              <w:t>验收方式：科室及维修科现场验收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质量保证及售后服务</w:t>
            </w:r>
          </w:p>
        </w:tc>
        <w:tc>
          <w:tcPr>
            <w:tcW w:w="4277" w:type="pct"/>
            <w:vAlign w:val="center"/>
          </w:tcPr>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1.设备主机质保期不低于五年，配件质保期不低于两年；</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2.质保期外的所有维修，使用方只承担响应的耗材配件费，维修费及差旅费由厂家自行承担；</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3.机器故障应2h内故障响应，12h内到达现场解决故障；</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4.提供维修技术资料；</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5.维修工程师免费上门安装、培训；</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6.一年不低于4次定期维护保养；</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7.有西南地区本地化服务机构和服务人员证明并且能够提供证明材料（公司的营业证等复印件加盖公章）；</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※8.进口设备需提供报关单。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报价要求</w:t>
            </w:r>
          </w:p>
        </w:tc>
        <w:tc>
          <w:tcPr>
            <w:tcW w:w="4277" w:type="pct"/>
            <w:vAlign w:val="center"/>
          </w:tcPr>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1.该项目可在开标现场进行二次报价。</w:t>
            </w:r>
          </w:p>
          <w:p>
            <w:pPr>
              <w:pStyle w:val="14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2.该项目须分别对设备整机、配件及易损易耗件进行包干单价报价</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报价应</w:t>
            </w:r>
            <w:r>
              <w:rPr>
                <w:rFonts w:hint="eastAsia" w:ascii="微软雅黑" w:hAnsi="微软雅黑" w:eastAsia="微软雅黑" w:cs="微软雅黑"/>
                <w:sz w:val="24"/>
                <w:szCs w:val="24"/>
              </w:rPr>
              <w:t>包括完成本项目所需的所有费用。因成交供应商自身原因造成漏报、少报皆由其自行承担责任，采购人不再补偿。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付款方式</w:t>
            </w:r>
          </w:p>
        </w:tc>
        <w:tc>
          <w:tcPr>
            <w:tcW w:w="4277" w:type="pct"/>
            <w:vAlign w:val="center"/>
          </w:tcPr>
          <w:p>
            <w:pPr>
              <w:pStyle w:val="144"/>
              <w:keepNext w:val="0"/>
              <w:keepLines w:val="0"/>
              <w:suppressLineNumbers w:val="0"/>
              <w:spacing w:before="0" w:beforeAutospacing="0" w:after="0" w:afterAutospacing="0" w:line="400" w:lineRule="exact"/>
              <w:ind w:left="0" w:right="0" w:firstLine="0" w:firstLineChars="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每月通过双方开户银行进行结算一次。每月底成交供应商根据当月实际结算金额，凭验收报告向采购人开具发票，采购人在收到发票后两个月内以转账方式向成交供应商支付。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培训</w:t>
            </w:r>
          </w:p>
        </w:tc>
        <w:tc>
          <w:tcPr>
            <w:tcW w:w="4277" w:type="pct"/>
            <w:vAlign w:val="center"/>
          </w:tcPr>
          <w:p>
            <w:pPr>
              <w:pStyle w:val="144"/>
              <w:keepNext w:val="0"/>
              <w:keepLines w:val="0"/>
              <w:suppressLineNumbers w:val="0"/>
              <w:spacing w:before="0" w:beforeAutospacing="0" w:after="0" w:afterAutospacing="0" w:line="400" w:lineRule="exact"/>
              <w:ind w:left="0" w:right="0"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成交供应商</w:t>
            </w:r>
            <w:r>
              <w:rPr>
                <w:rFonts w:hint="eastAsia" w:ascii="微软雅黑" w:hAnsi="微软雅黑" w:eastAsia="微软雅黑" w:cs="微软雅黑"/>
                <w:color w:val="auto"/>
                <w:sz w:val="24"/>
                <w:szCs w:val="24"/>
              </w:rPr>
              <w:t>须提供对设备的操作培训，使相关使用人员能够正常</w:t>
            </w:r>
            <w:r>
              <w:rPr>
                <w:rFonts w:hint="eastAsia" w:ascii="微软雅黑" w:hAnsi="微软雅黑" w:eastAsia="微软雅黑" w:cs="微软雅黑"/>
                <w:color w:val="auto"/>
                <w:sz w:val="24"/>
                <w:szCs w:val="24"/>
                <w:lang w:val="en-US" w:eastAsia="zh-CN"/>
              </w:rPr>
              <w:t>熟练</w:t>
            </w:r>
            <w:r>
              <w:rPr>
                <w:rFonts w:hint="eastAsia" w:ascii="微软雅黑" w:hAnsi="微软雅黑" w:eastAsia="微软雅黑" w:cs="微软雅黑"/>
                <w:color w:val="auto"/>
                <w:sz w:val="24"/>
                <w:szCs w:val="24"/>
              </w:rPr>
              <w:t>操作相关设备。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1441" w:type="dxa"/>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附件、图纸及包装要求</w:t>
            </w:r>
          </w:p>
        </w:tc>
        <w:tc>
          <w:tcPr>
            <w:tcW w:w="8536" w:type="dxa"/>
            <w:vAlign w:val="center"/>
          </w:tcPr>
          <w:p>
            <w:pPr>
              <w:pStyle w:val="144"/>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所有设备按照制造商规定的产品包装和随机标准附件为准。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其他</w:t>
            </w:r>
          </w:p>
        </w:tc>
        <w:tc>
          <w:tcPr>
            <w:tcW w:w="4277" w:type="pct"/>
            <w:vAlign w:val="center"/>
          </w:tcPr>
          <w:p>
            <w:pPr>
              <w:pStyle w:val="144"/>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（一）</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必须在响应文件中对以上条款和服务承诺明确列出，承诺内容必须达到本篇及</w:t>
            </w:r>
            <w:r>
              <w:rPr>
                <w:rFonts w:hint="eastAsia" w:ascii="微软雅黑" w:hAnsi="微软雅黑" w:eastAsia="微软雅黑" w:cs="微软雅黑"/>
                <w:color w:val="auto"/>
                <w:sz w:val="24"/>
                <w:szCs w:val="24"/>
                <w:lang w:val="en-US" w:eastAsia="zh-CN"/>
              </w:rPr>
              <w:t>协商</w:t>
            </w:r>
            <w:r>
              <w:rPr>
                <w:rFonts w:hint="eastAsia" w:ascii="微软雅黑" w:hAnsi="微软雅黑" w:eastAsia="微软雅黑" w:cs="微软雅黑"/>
                <w:color w:val="auto"/>
                <w:sz w:val="24"/>
                <w:szCs w:val="24"/>
              </w:rPr>
              <w:t>文件其他条款的要求。</w:t>
            </w:r>
          </w:p>
          <w:p>
            <w:pPr>
              <w:keepNext w:val="0"/>
              <w:keepLines w:val="0"/>
              <w:suppressLineNumbers w:val="0"/>
              <w:spacing w:before="0" w:beforeAutospacing="0" w:after="0" w:afterAutospacing="0"/>
              <w:ind w:left="0" w:right="0"/>
              <w:rPr>
                <w:rFonts w:hint="eastAsia" w:ascii="微软雅黑" w:hAnsi="微软雅黑" w:eastAsia="微软雅黑" w:cs="微软雅黑"/>
                <w:b w:val="0"/>
                <w:bCs w:val="0"/>
                <w:color w:val="auto"/>
                <w:kern w:val="2"/>
                <w:sz w:val="24"/>
                <w:szCs w:val="24"/>
                <w:lang w:val="en-US" w:eastAsia="zh-CN" w:bidi="ar-SA"/>
              </w:rPr>
            </w:pPr>
            <w:r>
              <w:rPr>
                <w:rFonts w:hint="eastAsia" w:ascii="微软雅黑" w:hAnsi="微软雅黑" w:eastAsia="微软雅黑" w:cs="微软雅黑"/>
                <w:color w:val="auto"/>
                <w:sz w:val="24"/>
                <w:szCs w:val="24"/>
                <w:lang w:val="en-US" w:eastAsia="zh-CN"/>
              </w:rPr>
              <w:t>（二）</w:t>
            </w:r>
            <w:r>
              <w:rPr>
                <w:rFonts w:hint="eastAsia" w:ascii="微软雅黑" w:hAnsi="微软雅黑" w:eastAsia="微软雅黑" w:cs="微软雅黑"/>
                <w:color w:val="auto"/>
                <w:sz w:val="24"/>
                <w:szCs w:val="24"/>
              </w:rPr>
              <w:t>其他未尽事宜由供需双方在采购合同中详细约定。</w:t>
            </w:r>
          </w:p>
        </w:tc>
      </w:tr>
    </w:tbl>
    <w:p>
      <w:pPr>
        <w:rPr>
          <w:rFonts w:hint="eastAsia" w:ascii="微软雅黑" w:hAnsi="微软雅黑" w:eastAsia="微软雅黑" w:cs="微软雅黑"/>
          <w:b/>
          <w:sz w:val="44"/>
        </w:rPr>
      </w:pPr>
      <w:r>
        <w:rPr>
          <w:rFonts w:hint="eastAsia" w:ascii="微软雅黑" w:hAnsi="微软雅黑" w:eastAsia="微软雅黑" w:cs="微软雅黑"/>
          <w:b/>
          <w:sz w:val="44"/>
        </w:rPr>
        <w:br w:type="page"/>
      </w:r>
    </w:p>
    <w:bookmarkEnd w:id="108"/>
    <w:bookmarkEnd w:id="109"/>
    <w:bookmarkEnd w:id="110"/>
    <w:p>
      <w:pPr>
        <w:pStyle w:val="4"/>
        <w:pageBreakBefore w:val="0"/>
        <w:spacing w:before="200" w:after="200" w:line="240" w:lineRule="auto"/>
        <w:jc w:val="center"/>
        <w:rPr>
          <w:rFonts w:hint="eastAsia" w:ascii="微软雅黑" w:hAnsi="微软雅黑" w:eastAsia="微软雅黑" w:cs="微软雅黑"/>
          <w:b/>
          <w:sz w:val="44"/>
          <w:szCs w:val="20"/>
        </w:rPr>
      </w:pPr>
      <w:r>
        <w:rPr>
          <w:rFonts w:hint="eastAsia" w:ascii="微软雅黑" w:hAnsi="微软雅黑" w:eastAsia="微软雅黑" w:cs="微软雅黑"/>
          <w:b/>
          <w:sz w:val="44"/>
          <w:szCs w:val="20"/>
        </w:rPr>
        <w:t xml:space="preserve">第四篇  </w:t>
      </w:r>
      <w:r>
        <w:rPr>
          <w:rFonts w:hint="eastAsia" w:ascii="微软雅黑" w:hAnsi="微软雅黑" w:eastAsia="微软雅黑" w:cs="微软雅黑"/>
          <w:b/>
          <w:sz w:val="44"/>
          <w:szCs w:val="20"/>
          <w:lang w:val="en-US" w:eastAsia="zh-CN"/>
        </w:rPr>
        <w:t>公开比选</w:t>
      </w:r>
      <w:r>
        <w:rPr>
          <w:rFonts w:hint="eastAsia" w:ascii="微软雅黑" w:hAnsi="微软雅黑" w:eastAsia="微软雅黑" w:cs="微软雅黑"/>
          <w:b/>
          <w:sz w:val="44"/>
          <w:szCs w:val="20"/>
        </w:rPr>
        <w:t>程序及方法、评审标准、无效响应和采购终止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1" w:name="_Toc106030888"/>
      <w:bookmarkStart w:id="112" w:name="_Toc14958"/>
      <w:bookmarkStart w:id="113" w:name="_Toc76462333"/>
      <w:bookmarkStart w:id="114" w:name="_Toc6059"/>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程序</w:t>
      </w:r>
      <w:bookmarkEnd w:id="111"/>
      <w:bookmarkEnd w:id="112"/>
      <w:bookmarkEnd w:id="113"/>
      <w:bookmarkEnd w:id="114"/>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文件规定的时间和地点进行，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小组对各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的资格条件进行审查。各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只有在完全符合要求的前提下，才能参与正式</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val="en-US" w:eastAsia="zh-CN"/>
        </w:rPr>
        <w:t>公开比选采购</w:t>
      </w:r>
      <w:r>
        <w:rPr>
          <w:rFonts w:hint="eastAsia" w:ascii="微软雅黑" w:hAnsi="微软雅黑" w:eastAsia="微软雅黑" w:cs="微软雅黑"/>
          <w:kern w:val="0"/>
          <w:sz w:val="24"/>
          <w:szCs w:val="24"/>
        </w:rPr>
        <w:t>文件的规定，对响应文件中的资格证明等进行审查，以确定</w:t>
      </w:r>
      <w:r>
        <w:rPr>
          <w:rFonts w:hint="eastAsia" w:ascii="微软雅黑" w:hAnsi="微软雅黑" w:eastAsia="微软雅黑" w:cs="微软雅黑"/>
          <w:kern w:val="0"/>
          <w:sz w:val="24"/>
          <w:szCs w:val="24"/>
          <w:lang w:val="en-US" w:eastAsia="zh-CN"/>
        </w:rPr>
        <w:t>投标人</w:t>
      </w:r>
      <w:r>
        <w:rPr>
          <w:rFonts w:hint="eastAsia" w:ascii="微软雅黑" w:hAnsi="微软雅黑" w:eastAsia="微软雅黑" w:cs="微软雅黑"/>
          <w:kern w:val="0"/>
          <w:sz w:val="24"/>
          <w:szCs w:val="24"/>
        </w:rPr>
        <w:t>是否具备</w:t>
      </w:r>
      <w:r>
        <w:rPr>
          <w:rFonts w:hint="eastAsia" w:ascii="微软雅黑" w:hAnsi="微软雅黑" w:eastAsia="微软雅黑" w:cs="微软雅黑"/>
          <w:kern w:val="0"/>
          <w:sz w:val="24"/>
          <w:szCs w:val="24"/>
          <w:lang w:val="en-US" w:eastAsia="zh-CN"/>
        </w:rPr>
        <w:t>比选</w:t>
      </w:r>
      <w:r>
        <w:rPr>
          <w:rFonts w:hint="eastAsia" w:ascii="微软雅黑" w:hAnsi="微软雅黑" w:eastAsia="微软雅黑" w:cs="微软雅黑"/>
          <w:kern w:val="0"/>
          <w:sz w:val="24"/>
          <w:szCs w:val="24"/>
        </w:rPr>
        <w:t>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按“第一篇三、投标人资格要求（三）本项目的特定资格要求”的要求提交（如果有）。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w:t>
      </w:r>
      <w:r>
        <w:rPr>
          <w:rFonts w:hint="eastAsia" w:ascii="微软雅黑" w:hAnsi="微软雅黑" w:eastAsia="微软雅黑" w:cs="微软雅黑"/>
          <w:kern w:val="0"/>
          <w:sz w:val="24"/>
          <w:szCs w:val="24"/>
          <w:lang w:val="en-US" w:eastAsia="zh-CN"/>
        </w:rPr>
        <w:t>投标人</w:t>
      </w:r>
      <w:r>
        <w:rPr>
          <w:rFonts w:hint="eastAsia" w:ascii="微软雅黑" w:hAnsi="微软雅黑" w:eastAsia="微软雅黑" w:cs="微软雅黑"/>
          <w:kern w:val="0"/>
          <w:sz w:val="24"/>
          <w:szCs w:val="24"/>
        </w:rPr>
        <w:t>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w:t>
      </w:r>
      <w:r>
        <w:rPr>
          <w:rFonts w:hint="eastAsia" w:ascii="微软雅黑" w:hAnsi="微软雅黑" w:eastAsia="微软雅黑" w:cs="微软雅黑"/>
          <w:kern w:val="0"/>
          <w:sz w:val="24"/>
          <w:szCs w:val="24"/>
          <w:lang w:eastAsia="zh-CN"/>
        </w:rPr>
        <w:t>投标人</w:t>
      </w:r>
      <w:r>
        <w:rPr>
          <w:rFonts w:hint="eastAsia" w:ascii="微软雅黑" w:hAnsi="微软雅黑" w:eastAsia="微软雅黑" w:cs="微软雅黑"/>
          <w:kern w:val="0"/>
          <w:sz w:val="24"/>
          <w:szCs w:val="24"/>
        </w:rPr>
        <w:t>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5" w:name="_Toc27623"/>
      <w:r>
        <w:rPr>
          <w:rFonts w:hint="eastAsia" w:ascii="微软雅黑" w:hAnsi="微软雅黑" w:eastAsia="微软雅黑" w:cs="微软雅黑"/>
          <w:sz w:val="24"/>
          <w:lang w:val="en-US" w:eastAsia="zh-CN"/>
        </w:rPr>
        <w:t>二、评标方法</w:t>
      </w:r>
      <w:bookmarkEnd w:id="115"/>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本项目采用最低价评标法进行评标。</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最低价评标法，是指</w:t>
      </w:r>
      <w:r>
        <w:rPr>
          <w:rFonts w:hint="eastAsia" w:ascii="微软雅黑" w:hAnsi="微软雅黑" w:eastAsia="微软雅黑" w:cs="微软雅黑"/>
          <w:kern w:val="0"/>
          <w:sz w:val="24"/>
          <w:szCs w:val="24"/>
          <w:lang w:val="en-US" w:eastAsia="zh-CN"/>
        </w:rPr>
        <w:t>响应</w:t>
      </w:r>
      <w:r>
        <w:rPr>
          <w:rFonts w:hint="eastAsia" w:ascii="微软雅黑" w:hAnsi="微软雅黑" w:eastAsia="微软雅黑" w:cs="微软雅黑"/>
          <w:kern w:val="0"/>
          <w:sz w:val="24"/>
          <w:szCs w:val="24"/>
        </w:rPr>
        <w:t>文件满足</w:t>
      </w:r>
      <w:r>
        <w:rPr>
          <w:rFonts w:hint="eastAsia" w:ascii="微软雅黑" w:hAnsi="微软雅黑" w:eastAsia="微软雅黑" w:cs="微软雅黑"/>
          <w:kern w:val="0"/>
          <w:sz w:val="24"/>
          <w:szCs w:val="24"/>
          <w:lang w:val="en-US" w:eastAsia="zh-CN"/>
        </w:rPr>
        <w:t>公开比选采购</w:t>
      </w:r>
      <w:r>
        <w:rPr>
          <w:rFonts w:hint="eastAsia" w:ascii="微软雅黑" w:hAnsi="微软雅黑" w:eastAsia="微软雅黑" w:cs="微软雅黑"/>
          <w:kern w:val="0"/>
          <w:sz w:val="24"/>
          <w:szCs w:val="24"/>
        </w:rPr>
        <w:t>文件全部实质性要求且投标报价最低的投标人为中标候选人的评标方法。</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（一）比较与评价。按</w:t>
      </w:r>
      <w:r>
        <w:rPr>
          <w:rFonts w:hint="eastAsia" w:ascii="微软雅黑" w:hAnsi="微软雅黑" w:eastAsia="微软雅黑" w:cs="微软雅黑"/>
          <w:sz w:val="24"/>
          <w:szCs w:val="24"/>
          <w:lang w:val="en-US" w:eastAsia="zh-CN"/>
        </w:rPr>
        <w:t>比选采购</w:t>
      </w:r>
      <w:r>
        <w:rPr>
          <w:rFonts w:hint="eastAsia" w:ascii="微软雅黑" w:hAnsi="微软雅黑" w:eastAsia="微软雅黑" w:cs="微软雅黑"/>
          <w:sz w:val="24"/>
          <w:szCs w:val="24"/>
        </w:rPr>
        <w:t>文件中规定的评标方法和标准，对资格审查和符合性审查合格的</w:t>
      </w:r>
      <w:r>
        <w:rPr>
          <w:rFonts w:hint="eastAsia" w:ascii="微软雅黑" w:hAnsi="微软雅黑" w:eastAsia="微软雅黑" w:cs="微软雅黑"/>
          <w:sz w:val="24"/>
          <w:szCs w:val="24"/>
          <w:lang w:val="en-US" w:eastAsia="zh-CN"/>
        </w:rPr>
        <w:t>响应文件</w:t>
      </w:r>
      <w:r>
        <w:rPr>
          <w:rFonts w:hint="eastAsia" w:ascii="微软雅黑" w:hAnsi="微软雅黑" w:eastAsia="微软雅黑" w:cs="微软雅黑"/>
          <w:sz w:val="24"/>
          <w:szCs w:val="24"/>
        </w:rPr>
        <w:t>进行商务和技术评估。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shd w:val="clear" w:color="auto" w:fill="auto"/>
        </w:rPr>
        <w:t>提供相同品牌产品且通过资格审查、符合性审查的不同投标人参加的，按一家投标人计算</w:t>
      </w:r>
      <w:r>
        <w:rPr>
          <w:rFonts w:hint="eastAsia" w:ascii="微软雅黑" w:hAnsi="微软雅黑" w:eastAsia="微软雅黑" w:cs="微软雅黑"/>
          <w:sz w:val="24"/>
          <w:szCs w:val="24"/>
        </w:rPr>
        <w:t xml:space="preserve">。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（二）推荐中标候选人名单。</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推荐</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满足</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全部实质性要求，依据</w:t>
      </w:r>
      <w:r>
        <w:rPr>
          <w:rFonts w:hint="eastAsia" w:ascii="微软雅黑" w:hAnsi="微软雅黑" w:eastAsia="微软雅黑" w:cs="微软雅黑"/>
          <w:sz w:val="24"/>
          <w:szCs w:val="24"/>
          <w:lang w:val="en-US" w:eastAsia="zh-CN"/>
        </w:rPr>
        <w:t>投标</w:t>
      </w:r>
      <w:r>
        <w:rPr>
          <w:rFonts w:hint="eastAsia" w:ascii="微软雅黑" w:hAnsi="微软雅黑" w:eastAsia="微软雅黑" w:cs="微软雅黑"/>
          <w:sz w:val="24"/>
          <w:szCs w:val="24"/>
        </w:rPr>
        <w:t>价格按照由低到高的顺序排名前三的投标人为中标候选人，其中排名第一的投标人为第一中标候选人。</w:t>
      </w:r>
    </w:p>
    <w:p>
      <w:pPr>
        <w:snapToGrid w:val="0"/>
        <w:spacing w:line="400" w:lineRule="exact"/>
        <w:ind w:firstLine="480" w:firstLineChars="200"/>
        <w:rPr>
          <w:rFonts w:hint="eastAsia" w:ascii="微软雅黑" w:hAnsi="微软雅黑" w:eastAsia="微软雅黑" w:cs="微软雅黑"/>
        </w:rPr>
      </w:pPr>
      <w:r>
        <w:rPr>
          <w:rFonts w:hint="eastAsia" w:ascii="微软雅黑" w:hAnsi="微软雅黑" w:eastAsia="微软雅黑" w:cs="微软雅黑"/>
          <w:sz w:val="24"/>
          <w:szCs w:val="24"/>
        </w:rPr>
        <w:t>评标结果按投标报价由低到高顺序排列，若投标报价相同的</w:t>
      </w:r>
      <w:r>
        <w:rPr>
          <w:rFonts w:hint="eastAsia" w:ascii="微软雅黑" w:hAnsi="微软雅黑" w:eastAsia="微软雅黑" w:cs="微软雅黑"/>
          <w:sz w:val="24"/>
          <w:szCs w:val="24"/>
          <w:lang w:val="en-US" w:eastAsia="zh-CN"/>
        </w:rPr>
        <w:t>由评标小组推荐中标候选人</w:t>
      </w:r>
      <w:r>
        <w:rPr>
          <w:rFonts w:hint="eastAsia" w:ascii="微软雅黑" w:hAnsi="微软雅黑" w:eastAsia="微软雅黑" w:cs="微软雅黑"/>
          <w:sz w:val="24"/>
          <w:szCs w:val="24"/>
        </w:rPr>
        <w:t>。</w:t>
      </w:r>
    </w:p>
    <w:p>
      <w:pPr>
        <w:pStyle w:val="4"/>
        <w:numPr>
          <w:ilvl w:val="0"/>
          <w:numId w:val="0"/>
        </w:numPr>
        <w:adjustRightInd w:val="0"/>
        <w:snapToGrid w:val="0"/>
        <w:spacing w:before="0" w:after="0" w:line="400" w:lineRule="exact"/>
        <w:ind w:firstLine="480" w:firstLineChars="200"/>
        <w:rPr>
          <w:rFonts w:hint="eastAsia" w:ascii="微软雅黑" w:hAnsi="微软雅黑" w:eastAsia="微软雅黑" w:cs="微软雅黑"/>
          <w:sz w:val="24"/>
          <w:lang w:val="en-US" w:eastAsia="zh-CN"/>
        </w:rPr>
      </w:pPr>
      <w:bookmarkStart w:id="116" w:name="_Toc11084"/>
      <w:bookmarkStart w:id="117" w:name="_Toc106030889"/>
      <w:bookmarkStart w:id="118" w:name="_Toc30944"/>
      <w:bookmarkStart w:id="119" w:name="_Toc76462334"/>
      <w:bookmarkStart w:id="120" w:name="_Toc342913394"/>
      <w:bookmarkStart w:id="121" w:name="_Toc102227320"/>
      <w:r>
        <w:rPr>
          <w:rFonts w:hint="eastAsia" w:ascii="微软雅黑" w:hAnsi="微软雅黑" w:eastAsia="微软雅黑" w:cs="微软雅黑"/>
          <w:sz w:val="24"/>
          <w:lang w:val="en-US" w:eastAsia="zh-CN"/>
        </w:rPr>
        <w:t>三、报价方式</w:t>
      </w:r>
      <w:bookmarkEnd w:id="116"/>
    </w:p>
    <w:p>
      <w:pPr>
        <w:pStyle w:val="4"/>
        <w:numPr>
          <w:ilvl w:val="0"/>
          <w:numId w:val="0"/>
        </w:numPr>
        <w:adjustRightInd w:val="0"/>
        <w:snapToGrid w:val="0"/>
        <w:spacing w:before="0" w:after="0" w:line="400" w:lineRule="exact"/>
        <w:ind w:firstLine="480" w:firstLineChars="200"/>
        <w:rPr>
          <w:rFonts w:hint="eastAsia" w:ascii="微软雅黑" w:hAnsi="微软雅黑" w:eastAsia="微软雅黑" w:cs="微软雅黑"/>
          <w:b w:val="0"/>
          <w:bCs/>
          <w:sz w:val="24"/>
          <w:u w:val="none"/>
          <w:lang w:val="en-US" w:eastAsia="zh-CN"/>
        </w:rPr>
      </w:pPr>
      <w:r>
        <w:rPr>
          <w:rFonts w:hint="eastAsia" w:ascii="微软雅黑" w:hAnsi="微软雅黑" w:eastAsia="微软雅黑" w:cs="微软雅黑"/>
          <w:b w:val="0"/>
          <w:bCs/>
          <w:sz w:val="24"/>
          <w:szCs w:val="24"/>
          <w:u w:val="none"/>
          <w:lang w:val="en-US" w:eastAsia="zh-CN"/>
        </w:rPr>
        <w:t>该项目可在开标现场进行二次报价。</w:t>
      </w:r>
    </w:p>
    <w:p>
      <w:pPr>
        <w:pStyle w:val="4"/>
        <w:numPr>
          <w:ilvl w:val="0"/>
          <w:numId w:val="0"/>
        </w:numPr>
        <w:adjustRightInd w:val="0"/>
        <w:snapToGrid w:val="0"/>
        <w:spacing w:before="0" w:after="0" w:line="400" w:lineRule="exact"/>
        <w:ind w:firstLine="480" w:firstLineChars="200"/>
        <w:rPr>
          <w:rFonts w:hint="eastAsia" w:ascii="微软雅黑" w:hAnsi="微软雅黑" w:eastAsia="微软雅黑" w:cs="微软雅黑"/>
          <w:sz w:val="24"/>
          <w:lang w:val="en-US" w:eastAsia="zh-CN"/>
        </w:rPr>
      </w:pPr>
      <w:bookmarkStart w:id="122" w:name="_Toc12737"/>
      <w:r>
        <w:rPr>
          <w:rFonts w:hint="eastAsia" w:ascii="微软雅黑" w:hAnsi="微软雅黑" w:eastAsia="微软雅黑" w:cs="微软雅黑"/>
          <w:sz w:val="24"/>
          <w:lang w:val="en-US" w:eastAsia="zh-CN"/>
        </w:rPr>
        <w:t>四、评审标准</w:t>
      </w:r>
      <w:bookmarkEnd w:id="117"/>
      <w:bookmarkEnd w:id="118"/>
      <w:bookmarkEnd w:id="119"/>
      <w:bookmarkEnd w:id="122"/>
    </w:p>
    <w:p>
      <w:pPr>
        <w:snapToGrid w:val="0"/>
        <w:spacing w:line="400" w:lineRule="exact"/>
        <w:ind w:firstLine="480" w:firstLineChars="200"/>
        <w:rPr>
          <w:rFonts w:hint="eastAsia" w:ascii="微软雅黑" w:hAnsi="微软雅黑" w:eastAsia="微软雅黑" w:cs="微软雅黑"/>
          <w:sz w:val="24"/>
          <w:szCs w:val="24"/>
        </w:rPr>
      </w:pPr>
      <w:bookmarkStart w:id="123" w:name="_Toc106030890"/>
      <w:bookmarkStart w:id="124" w:name="_Toc31497"/>
      <w:bookmarkStart w:id="125" w:name="_Toc76462335"/>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投标应答有一条及以上不满足</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投标应答有一条及以上不满足</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“第三篇 项目商务需求”要求的，投标人将失去成为</w:t>
      </w:r>
      <w:r>
        <w:rPr>
          <w:rFonts w:hint="eastAsia" w:ascii="微软雅黑" w:hAnsi="微软雅黑" w:eastAsia="微软雅黑" w:cs="微软雅黑"/>
          <w:sz w:val="24"/>
          <w:szCs w:val="24"/>
          <w:lang w:val="en-US" w:eastAsia="zh-CN"/>
        </w:rPr>
        <w:t>合格投标人</w:t>
      </w:r>
      <w:r>
        <w:rPr>
          <w:rFonts w:hint="eastAsia" w:ascii="微软雅黑" w:hAnsi="微软雅黑" w:eastAsia="微软雅黑" w:cs="微软雅黑"/>
          <w:sz w:val="24"/>
          <w:szCs w:val="24"/>
        </w:rPr>
        <w:t>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6" w:name="_Toc3878"/>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、无效响应</w:t>
      </w:r>
      <w:bookmarkEnd w:id="123"/>
      <w:bookmarkEnd w:id="124"/>
      <w:bookmarkEnd w:id="125"/>
      <w:bookmarkEnd w:id="126"/>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w:t>
      </w:r>
      <w:r>
        <w:rPr>
          <w:rFonts w:hint="eastAsia" w:ascii="微软雅黑" w:hAnsi="微软雅黑" w:eastAsia="微软雅黑" w:cs="微软雅黑"/>
          <w:sz w:val="24"/>
          <w:szCs w:val="24"/>
          <w:lang w:val="en-US" w:eastAsia="zh-CN"/>
        </w:rPr>
        <w:t>在采购人规定时间内到达开标现场的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磋商有效期不满足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（十）法律、法规和</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lang w:eastAsia="zh-CN"/>
        </w:rPr>
      </w:pPr>
      <w:bookmarkStart w:id="127" w:name="_Toc106030891"/>
      <w:bookmarkStart w:id="128" w:name="_Toc76462336"/>
      <w:bookmarkStart w:id="129" w:name="_Toc10687"/>
      <w:bookmarkStart w:id="130" w:name="_Toc22602"/>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w:t>
      </w:r>
      <w:bookmarkEnd w:id="120"/>
      <w:bookmarkEnd w:id="121"/>
      <w:bookmarkEnd w:id="127"/>
      <w:bookmarkEnd w:id="128"/>
      <w:bookmarkEnd w:id="129"/>
      <w:r>
        <w:rPr>
          <w:rFonts w:hint="eastAsia" w:ascii="微软雅黑" w:hAnsi="微软雅黑" w:eastAsia="微软雅黑" w:cs="微软雅黑"/>
          <w:sz w:val="24"/>
          <w:lang w:val="en-US" w:eastAsia="zh-CN"/>
        </w:rPr>
        <w:t>废标条款</w:t>
      </w:r>
      <w:bookmarkEnd w:id="130"/>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（三）在采购过程中符合要求的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或者报价未超过采购预算的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不足3家的</w:t>
      </w:r>
      <w:r>
        <w:rPr>
          <w:rFonts w:hint="eastAsia" w:ascii="微软雅黑" w:hAnsi="微软雅黑" w:eastAsia="微软雅黑" w:cs="微软雅黑"/>
          <w:sz w:val="24"/>
          <w:szCs w:val="24"/>
          <w:lang w:eastAsia="zh-CN"/>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10"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sz w:val="44"/>
        </w:rPr>
      </w:pPr>
      <w:bookmarkStart w:id="131" w:name="_Toc29948"/>
      <w:bookmarkStart w:id="132" w:name="_Toc76462337"/>
      <w:bookmarkStart w:id="133" w:name="_Toc30649"/>
      <w:bookmarkStart w:id="134" w:name="_Toc102227313"/>
      <w:bookmarkStart w:id="135" w:name="_Toc106030892"/>
      <w:r>
        <w:rPr>
          <w:rFonts w:hint="eastAsia" w:ascii="微软雅黑" w:hAnsi="微软雅黑" w:eastAsia="微软雅黑" w:cs="微软雅黑"/>
          <w:sz w:val="44"/>
        </w:rPr>
        <w:t>第五篇  投标人须知</w:t>
      </w:r>
      <w:bookmarkEnd w:id="131"/>
      <w:bookmarkEnd w:id="132"/>
      <w:bookmarkEnd w:id="133"/>
      <w:bookmarkEnd w:id="134"/>
      <w:bookmarkEnd w:id="135"/>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6" w:name="_Toc106030893"/>
      <w:bookmarkStart w:id="137" w:name="_Toc15830"/>
      <w:bookmarkStart w:id="138" w:name="_Toc342913389"/>
      <w:bookmarkStart w:id="139" w:name="_Toc76462338"/>
      <w:bookmarkStart w:id="140" w:name="_Toc26717"/>
      <w:r>
        <w:rPr>
          <w:rFonts w:hint="eastAsia" w:ascii="微软雅黑" w:hAnsi="微软雅黑" w:eastAsia="微软雅黑" w:cs="微软雅黑"/>
          <w:sz w:val="24"/>
        </w:rPr>
        <w:t>一、公开比选费用</w:t>
      </w:r>
      <w:bookmarkEnd w:id="136"/>
      <w:bookmarkEnd w:id="137"/>
      <w:bookmarkEnd w:id="138"/>
      <w:bookmarkEnd w:id="139"/>
      <w:bookmarkEnd w:id="140"/>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1" w:name="_Toc106030894"/>
      <w:bookmarkStart w:id="142" w:name="_Toc342913391"/>
      <w:bookmarkStart w:id="143" w:name="_Toc76462339"/>
      <w:bookmarkStart w:id="144" w:name="_Toc15712"/>
      <w:bookmarkStart w:id="145" w:name="_Toc30903"/>
      <w:r>
        <w:rPr>
          <w:rFonts w:hint="eastAsia" w:ascii="微软雅黑" w:hAnsi="微软雅黑" w:eastAsia="微软雅黑" w:cs="微软雅黑"/>
          <w:sz w:val="24"/>
        </w:rPr>
        <w:t>二、公开比选采购文件</w:t>
      </w:r>
      <w:bookmarkEnd w:id="141"/>
      <w:bookmarkEnd w:id="142"/>
      <w:bookmarkEnd w:id="143"/>
      <w:bookmarkEnd w:id="144"/>
      <w:bookmarkEnd w:id="145"/>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（一）公开比选采购文件由采购邀请书、项目服务需求、投标人须知、项目商务需求、比选程序及方法、评审标准、无效响应和采购终止、投标人须知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（二）采购人所作的一切有效的书面通知、修改及补充，都是公开比选采购文件不可分割的部分。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（三）公开比选采购文件的解释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公开比选采购文件有疑问，必须以书面形式在提交响应文件截止时间2个工作日前向采购人要求澄清，采购人可视具体情况做出处理或答复。如投标人未提出疑问，视为完全理解并同意本公开比选采购文件。一经进入比选程序，即视为投标人已详细阅读全部文件资料，完全理解公开比选采购文件所有条款内容并同意放弃对这方面有不明白及误解的权利。</w:t>
      </w:r>
      <w:bookmarkStart w:id="146" w:name="_Toc318159349"/>
      <w:bookmarkStart w:id="147" w:name="_Toc318159160"/>
      <w:bookmarkStart w:id="148" w:name="_Toc318166429"/>
      <w:bookmarkStart w:id="149" w:name="_Toc318159780"/>
    </w:p>
    <w:bookmarkEnd w:id="146"/>
    <w:bookmarkEnd w:id="147"/>
    <w:bookmarkEnd w:id="148"/>
    <w:bookmarkEnd w:id="149"/>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0" w:name="_Toc16854"/>
      <w:bookmarkStart w:id="151" w:name="_Toc26007"/>
      <w:bookmarkStart w:id="152" w:name="_Toc179714297"/>
      <w:bookmarkStart w:id="153" w:name="_Toc342913392"/>
      <w:bookmarkStart w:id="154" w:name="_Toc102227318"/>
      <w:bookmarkStart w:id="155" w:name="_Toc106030895"/>
      <w:bookmarkStart w:id="156" w:name="_Toc76462340"/>
      <w:r>
        <w:rPr>
          <w:rFonts w:hint="eastAsia" w:ascii="微软雅黑" w:hAnsi="微软雅黑" w:eastAsia="微软雅黑" w:cs="微软雅黑"/>
          <w:sz w:val="24"/>
        </w:rPr>
        <w:t>三、比选要求</w:t>
      </w:r>
      <w:bookmarkEnd w:id="150"/>
      <w:bookmarkEnd w:id="151"/>
      <w:bookmarkEnd w:id="152"/>
      <w:bookmarkEnd w:id="153"/>
      <w:bookmarkEnd w:id="154"/>
      <w:bookmarkEnd w:id="155"/>
      <w:bookmarkEnd w:id="15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1.投标人应当按照公开比选采购文件的要求编制响应文件，并对公开比选采购文件提出的要求和条件作出实质性响应，响应文件原则上采用软面订本，同时应编制完整的页码、目录。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1.响应文件一式六份，其中正本一份，副本五份，电子文档（正本PDF版上传到电子招投标平台，无需提交到开标现场）一份；副本可为正本的复印件，应与正本一致，如出现不一致情况以正本为准。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响应文件按公开比选采购文件“第六篇响应文件编制要求”要求签署或盖章。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7" w:name="_Toc76462341"/>
      <w:bookmarkStart w:id="158" w:name="_Toc21728"/>
      <w:bookmarkStart w:id="159" w:name="_Toc6435"/>
      <w:bookmarkStart w:id="160" w:name="_Toc106030896"/>
      <w:r>
        <w:rPr>
          <w:rFonts w:hint="eastAsia" w:ascii="微软雅黑" w:hAnsi="微软雅黑" w:eastAsia="微软雅黑" w:cs="微软雅黑"/>
          <w:sz w:val="24"/>
        </w:rPr>
        <w:t>四、成交供应商的确认和变更</w:t>
      </w:r>
      <w:bookmarkEnd w:id="157"/>
      <w:bookmarkEnd w:id="158"/>
      <w:bookmarkEnd w:id="159"/>
      <w:bookmarkEnd w:id="160"/>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w:t>
      </w:r>
      <w:r>
        <w:rPr>
          <w:rFonts w:hint="eastAsia" w:ascii="微软雅黑" w:hAnsi="微软雅黑" w:eastAsia="微软雅黑" w:cs="微软雅黑"/>
          <w:sz w:val="24"/>
          <w:szCs w:val="24"/>
        </w:rPr>
        <w:t>从评审报告提出的成交候选投标人中，按照排序由高到低的原则确定成交供应商。</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（二）成交供应商的变更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rPr>
        <w:t>成交供应商拒绝与采购人签订合同的，采购人可以按照评标报告推荐的成交候选投标人顺序，确定排名下一位的候选人为成交供应商，也可以重新开展采购活动。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1" w:name="_Toc106030897"/>
      <w:bookmarkStart w:id="162" w:name="_Toc342913395"/>
      <w:bookmarkStart w:id="163" w:name="_Toc76462342"/>
      <w:bookmarkStart w:id="164" w:name="_Toc21532"/>
      <w:bookmarkStart w:id="165" w:name="_Toc102227321"/>
      <w:bookmarkStart w:id="166" w:name="_Toc32128"/>
      <w:r>
        <w:rPr>
          <w:rFonts w:hint="eastAsia" w:ascii="微软雅黑" w:hAnsi="微软雅黑" w:eastAsia="微软雅黑" w:cs="微软雅黑"/>
          <w:sz w:val="24"/>
        </w:rPr>
        <w:t>五、成交通知</w:t>
      </w:r>
      <w:bookmarkEnd w:id="161"/>
      <w:bookmarkEnd w:id="162"/>
      <w:bookmarkEnd w:id="163"/>
      <w:bookmarkEnd w:id="164"/>
      <w:bookmarkEnd w:id="165"/>
      <w:bookmarkEnd w:id="16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（一）成交供应商确定后，招标办将在重庆医科大学附属儿童医院电子招投标平台（zbb.chcmu.com）上发布成交结果公告，结果公告发出同时，招标办公室将平台内发出《中标通知书》。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7" w:name="_Toc76462343"/>
      <w:bookmarkStart w:id="168" w:name="_Toc106030898"/>
      <w:bookmarkStart w:id="169" w:name="_Toc6041"/>
      <w:bookmarkStart w:id="170" w:name="_Toc21448"/>
      <w:r>
        <w:rPr>
          <w:rFonts w:hint="eastAsia" w:ascii="微软雅黑" w:hAnsi="微软雅黑" w:eastAsia="微软雅黑" w:cs="微软雅黑"/>
          <w:sz w:val="24"/>
        </w:rPr>
        <w:t>六、质疑处理</w:t>
      </w:r>
      <w:bookmarkEnd w:id="167"/>
      <w:bookmarkEnd w:id="168"/>
      <w:bookmarkEnd w:id="169"/>
      <w:bookmarkEnd w:id="17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71" w:name="_Toc76462344"/>
      <w:bookmarkStart w:id="172" w:name="_Toc106030899"/>
      <w:bookmarkStart w:id="173" w:name="_Toc28334"/>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74" w:name="_Toc8656"/>
      <w:r>
        <w:rPr>
          <w:rFonts w:hint="eastAsia" w:ascii="微软雅黑" w:hAnsi="微软雅黑" w:eastAsia="微软雅黑" w:cs="微软雅黑"/>
          <w:sz w:val="24"/>
        </w:rPr>
        <w:t>七、</w:t>
      </w:r>
      <w:bookmarkEnd w:id="171"/>
      <w:bookmarkEnd w:id="172"/>
      <w:bookmarkEnd w:id="173"/>
      <w:bookmarkStart w:id="175" w:name="_Toc102227322"/>
      <w:bookmarkStart w:id="176" w:name="_Toc3372"/>
      <w:bookmarkStart w:id="177" w:name="_Toc342913396"/>
      <w:bookmarkStart w:id="178" w:name="_Toc76462346"/>
      <w:bookmarkStart w:id="179" w:name="_Toc106030901"/>
      <w:bookmarkStart w:id="180" w:name="_Toc11641055"/>
      <w:bookmarkStart w:id="181" w:name="_Toc12789059"/>
      <w:r>
        <w:rPr>
          <w:rFonts w:hint="eastAsia" w:ascii="微软雅黑" w:hAnsi="微软雅黑" w:eastAsia="微软雅黑" w:cs="微软雅黑"/>
          <w:sz w:val="24"/>
        </w:rPr>
        <w:t>签订</w:t>
      </w:r>
      <w:bookmarkEnd w:id="175"/>
      <w:r>
        <w:rPr>
          <w:rFonts w:hint="eastAsia" w:ascii="微软雅黑" w:hAnsi="微软雅黑" w:eastAsia="微软雅黑" w:cs="微软雅黑"/>
          <w:sz w:val="24"/>
        </w:rPr>
        <w:t>合同</w:t>
      </w:r>
      <w:bookmarkEnd w:id="174"/>
      <w:bookmarkEnd w:id="176"/>
      <w:bookmarkEnd w:id="177"/>
      <w:bookmarkEnd w:id="178"/>
      <w:bookmarkEnd w:id="179"/>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（一）中标人应于收到中标通知书之日起5个工作日内，按照中标项目的公开比选采购文件与响应文件递交采购合同。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（二）中标人未在规定时间内递交合同或放弃中标资格，则招标人将有充分的理由废除授标，将中标人纳入招标人失信投标人名单并扣除该项目的投标保证金，两年之内不得参与招标人任何级别的招标项目。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（三）如招标人因中标人未按时递交合同或放弃中标资格而造成损失，中标人应予以赔偿，同时依法承担相应法律责任。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11" w:type="default"/>
          <w:footerReference r:id="rId12"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80"/>
      <w:bookmarkEnd w:id="181"/>
    </w:p>
    <w:p>
      <w:pPr>
        <w:pStyle w:val="4"/>
        <w:spacing w:before="200" w:after="200" w:line="240" w:lineRule="auto"/>
        <w:jc w:val="center"/>
        <w:rPr>
          <w:rFonts w:hint="eastAsia" w:ascii="微软雅黑" w:hAnsi="微软雅黑" w:eastAsia="微软雅黑" w:cs="微软雅黑"/>
          <w:b/>
          <w:sz w:val="44"/>
          <w:szCs w:val="20"/>
        </w:rPr>
      </w:pPr>
      <w:bookmarkStart w:id="182" w:name="_Hlt41879464"/>
      <w:bookmarkEnd w:id="182"/>
      <w:bookmarkStart w:id="183" w:name="_Toc76462349"/>
      <w:bookmarkStart w:id="184" w:name="_Toc27984"/>
      <w:bookmarkStart w:id="185" w:name="_Toc21717"/>
      <w:bookmarkStart w:id="186" w:name="_Toc106030905"/>
      <w:r>
        <w:rPr>
          <w:rFonts w:hint="eastAsia" w:ascii="微软雅黑" w:hAnsi="微软雅黑" w:eastAsia="微软雅黑" w:cs="微软雅黑"/>
          <w:b/>
          <w:sz w:val="44"/>
          <w:szCs w:val="20"/>
        </w:rPr>
        <w:t>第六篇  响应文件编制要求</w:t>
      </w:r>
      <w:bookmarkEnd w:id="183"/>
      <w:bookmarkEnd w:id="184"/>
      <w:bookmarkEnd w:id="185"/>
      <w:bookmarkEnd w:id="18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开标一览表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（二）明细报价表</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易损易耗件或配件报价表（格式自定）</w:t>
      </w:r>
    </w:p>
    <w:p>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开标现场最终报价表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（二）其他资料（格式自定）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b/>
          <w:sz w:val="24"/>
          <w:szCs w:val="24"/>
        </w:rPr>
      </w:pPr>
      <w:r>
        <w:rPr>
          <w:rFonts w:hint="eastAsia" w:ascii="微软雅黑" w:hAnsi="微软雅黑" w:eastAsia="微软雅黑" w:cs="微软雅黑"/>
          <w:sz w:val="24"/>
          <w:szCs w:val="24"/>
        </w:rPr>
        <w:t>（一）中小企业声明函、监狱企业证明文件、残疾人福利性单位声明函</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（二）联合体协议或分包意向协议（格式自定）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（三）其他与项目有关的资料</w:t>
      </w:r>
    </w:p>
    <w:p>
      <w:pPr>
        <w:snapToGrid w:val="0"/>
        <w:spacing w:line="360" w:lineRule="auto"/>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240" w:lineRule="auto"/>
        <w:jc w:val="both"/>
        <w:outlineLvl w:val="0"/>
        <w:rPr>
          <w:rFonts w:hint="eastAsia" w:ascii="微软雅黑" w:hAnsi="微软雅黑" w:eastAsia="微软雅黑" w:cs="微软雅黑"/>
          <w:sz w:val="24"/>
          <w:szCs w:val="24"/>
          <w:lang w:val="en-US" w:eastAsia="zh-CN"/>
        </w:rPr>
      </w:pPr>
      <w:bookmarkStart w:id="187" w:name="_Toc106030906"/>
      <w:bookmarkStart w:id="188" w:name="_Toc313008356"/>
      <w:bookmarkStart w:id="189" w:name="_Toc76462350"/>
      <w:bookmarkStart w:id="190" w:name="_Toc15994"/>
      <w:bookmarkStart w:id="191" w:name="_Toc313888360"/>
      <w:bookmarkStart w:id="192" w:name="_Toc342913419"/>
      <w:bookmarkStart w:id="193" w:name="_Toc283382454"/>
      <w:bookmarkStart w:id="194" w:name="_Toc12789073"/>
      <w:r>
        <w:rPr>
          <w:rFonts w:hint="eastAsia" w:ascii="微软雅黑" w:hAnsi="微软雅黑" w:eastAsia="微软雅黑" w:cs="微软雅黑"/>
          <w:sz w:val="24"/>
          <w:szCs w:val="24"/>
          <w:lang w:val="en-US" w:eastAsia="zh-CN"/>
        </w:rPr>
        <w:t>封面</w:t>
      </w:r>
    </w:p>
    <w:p>
      <w:pPr>
        <w:spacing w:line="1600" w:lineRule="exact"/>
        <w:jc w:val="center"/>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公开比选采购</w:t>
      </w: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响应文件</w:t>
      </w:r>
    </w:p>
    <w:p>
      <w:pPr>
        <w:spacing w:line="600" w:lineRule="exact"/>
        <w:jc w:val="center"/>
        <w:outlineLvl w:val="0"/>
        <w:rPr>
          <w:rFonts w:hint="eastAsia" w:ascii="微软雅黑" w:hAnsi="微软雅黑" w:eastAsia="微软雅黑" w:cs="微软雅黑"/>
          <w:sz w:val="44"/>
          <w:szCs w:val="44"/>
          <w:lang w:eastAsia="zh-CN"/>
        </w:rPr>
      </w:pPr>
      <w:r>
        <w:rPr>
          <w:rFonts w:hint="eastAsia" w:ascii="微软雅黑" w:hAnsi="微软雅黑" w:eastAsia="微软雅黑" w:cs="微软雅黑"/>
          <w:sz w:val="44"/>
          <w:szCs w:val="44"/>
          <w:lang w:eastAsia="zh-CN"/>
        </w:rPr>
        <w:t>（</w:t>
      </w:r>
      <w:r>
        <w:rPr>
          <w:rFonts w:hint="eastAsia" w:ascii="微软雅黑" w:hAnsi="微软雅黑" w:eastAsia="微软雅黑" w:cs="微软雅黑"/>
          <w:sz w:val="44"/>
          <w:szCs w:val="44"/>
          <w:lang w:val="en-US" w:eastAsia="zh-CN"/>
        </w:rPr>
        <w:t>正本/副本</w:t>
      </w:r>
      <w:r>
        <w:rPr>
          <w:rFonts w:hint="eastAsia" w:ascii="微软雅黑" w:hAnsi="微软雅黑" w:eastAsia="微软雅黑" w:cs="微软雅黑"/>
          <w:sz w:val="44"/>
          <w:szCs w:val="44"/>
          <w:lang w:eastAsia="zh-CN"/>
        </w:rPr>
        <w:t>）</w:t>
      </w:r>
    </w:p>
    <w:p>
      <w:pPr>
        <w:spacing w:line="700" w:lineRule="exact"/>
        <w:jc w:val="both"/>
        <w:rPr>
          <w:rFonts w:hint="eastAsia" w:ascii="微软雅黑" w:hAnsi="微软雅黑" w:eastAsia="微软雅黑" w:cs="微软雅黑"/>
          <w:spacing w:val="80"/>
          <w:sz w:val="130"/>
          <w:szCs w:val="130"/>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080" w:firstLineChars="300"/>
        <w:outlineLvl w:val="0"/>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项目编号</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项目名称</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sz w:val="36"/>
          <w:szCs w:val="36"/>
          <w:u w:val="none"/>
          <w:lang w:val="en-US" w:eastAsia="zh-CN"/>
        </w:rPr>
      </w:pPr>
      <w:r>
        <w:rPr>
          <w:rFonts w:hint="eastAsia" w:ascii="微软雅黑" w:hAnsi="微软雅黑" w:eastAsia="微软雅黑" w:cs="微软雅黑"/>
          <w:sz w:val="36"/>
          <w:szCs w:val="36"/>
          <w:u w:val="none"/>
          <w:lang w:val="en-US" w:eastAsia="zh-CN"/>
        </w:rPr>
        <w:t>投标人名称：</w:t>
      </w:r>
      <w:r>
        <w:rPr>
          <w:rFonts w:hint="eastAsia" w:ascii="微软雅黑" w:hAnsi="微软雅黑" w:eastAsia="微软雅黑" w:cs="微软雅黑"/>
          <w:sz w:val="36"/>
          <w:szCs w:val="36"/>
          <w:u w:val="single"/>
          <w:lang w:val="en-US" w:eastAsia="zh-CN"/>
        </w:rPr>
        <w:t xml:space="preserve">                         </w:t>
      </w:r>
    </w:p>
    <w:p>
      <w:pPr>
        <w:spacing w:line="360" w:lineRule="auto"/>
        <w:ind w:firstLine="1120" w:firstLineChars="4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28"/>
          <w:szCs w:val="28"/>
          <w:u w:val="none"/>
          <w:lang w:val="en-US" w:eastAsia="zh-CN"/>
        </w:rPr>
        <w:t xml:space="preserve">投标人法定代表人（或授权代理人）： </w:t>
      </w:r>
      <w:r>
        <w:rPr>
          <w:rFonts w:hint="eastAsia" w:ascii="微软雅黑" w:hAnsi="微软雅黑" w:eastAsia="微软雅黑" w:cs="微软雅黑"/>
          <w:sz w:val="28"/>
          <w:szCs w:val="28"/>
          <w:u w:val="single"/>
          <w:lang w:val="en-US" w:eastAsia="zh-CN"/>
        </w:rPr>
        <w:t xml:space="preserve">         </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jc w:val="left"/>
        <w:outlineLvl w:val="0"/>
        <w:rPr>
          <w:rFonts w:hint="eastAsia" w:ascii="微软雅黑" w:hAnsi="微软雅黑" w:eastAsia="微软雅黑" w:cs="微软雅黑"/>
          <w:b/>
          <w:sz w:val="36"/>
          <w:szCs w:val="36"/>
          <w:lang w:val="en-US"/>
        </w:rPr>
      </w:pPr>
      <w:r>
        <w:rPr>
          <w:rFonts w:hint="eastAsia" w:ascii="微软雅黑" w:hAnsi="微软雅黑" w:eastAsia="微软雅黑" w:cs="微软雅黑"/>
          <w:sz w:val="36"/>
          <w:szCs w:val="36"/>
          <w:u w:val="none"/>
          <w:lang w:val="en-US" w:eastAsia="zh-CN"/>
        </w:rPr>
        <w:t>联系电话：</w:t>
      </w:r>
      <w:r>
        <w:rPr>
          <w:rFonts w:hint="eastAsia" w:ascii="微软雅黑" w:hAnsi="微软雅黑" w:eastAsia="微软雅黑" w:cs="微软雅黑"/>
          <w:sz w:val="36"/>
          <w:szCs w:val="36"/>
          <w:u w:val="single"/>
          <w:lang w:val="en-US" w:eastAsia="zh-CN"/>
        </w:rPr>
        <w:t xml:space="preserve">                           </w:t>
      </w:r>
    </w:p>
    <w:p>
      <w:pPr>
        <w:spacing w:line="700" w:lineRule="exact"/>
        <w:ind w:firstLine="1749" w:firstLineChars="486"/>
        <w:rPr>
          <w:rFonts w:hint="eastAsia" w:ascii="微软雅黑" w:hAnsi="微软雅黑" w:eastAsia="微软雅黑" w:cs="微软雅黑"/>
          <w:sz w:val="36"/>
          <w:szCs w:val="36"/>
        </w:rPr>
      </w:pPr>
    </w:p>
    <w:p>
      <w:pPr>
        <w:spacing w:line="700" w:lineRule="exact"/>
        <w:ind w:firstLine="2469" w:firstLineChars="686"/>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重庆医科大学附属儿童医院</w:t>
      </w:r>
    </w:p>
    <w:p>
      <w:pPr>
        <w:spacing w:line="240" w:lineRule="auto"/>
        <w:jc w:val="center"/>
        <w:outlineLvl w:val="0"/>
        <w:rPr>
          <w:rFonts w:hint="eastAsia" w:ascii="微软雅黑" w:hAnsi="微软雅黑" w:eastAsia="微软雅黑" w:cs="微软雅黑"/>
          <w:sz w:val="72"/>
        </w:rPr>
        <w:sectPr>
          <w:headerReference r:id="rId14" w:type="first"/>
          <w:footerReference r:id="rId17" w:type="first"/>
          <w:headerReference r:id="rId13" w:type="default"/>
          <w:footerReference r:id="rId15" w:type="default"/>
          <w:footerReference r:id="rId16" w:type="even"/>
          <w:pgSz w:w="11907" w:h="16840"/>
          <w:pgMar w:top="1134" w:right="1191" w:bottom="1134" w:left="1304" w:header="851" w:footer="992" w:gutter="0"/>
          <w:pgNumType w:fmt="decimal"/>
          <w:cols w:space="720" w:num="1"/>
          <w:titlePg/>
          <w:docGrid w:linePitch="380" w:charSpace="-5735"/>
        </w:sectPr>
      </w:pPr>
      <w:r>
        <w:rPr>
          <w:rFonts w:hint="eastAsia" w:ascii="微软雅黑" w:hAnsi="微软雅黑" w:eastAsia="微软雅黑" w:cs="微软雅黑"/>
          <w:sz w:val="36"/>
          <w:szCs w:val="36"/>
        </w:rPr>
        <w:t>二〇二X年X月</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95" w:name="_Toc7890"/>
      <w:r>
        <w:rPr>
          <w:rFonts w:hint="eastAsia" w:ascii="微软雅黑" w:hAnsi="微软雅黑" w:eastAsia="微软雅黑" w:cs="微软雅黑"/>
          <w:sz w:val="24"/>
        </w:rPr>
        <w:t>一、经济部分</w:t>
      </w:r>
      <w:bookmarkEnd w:id="187"/>
      <w:bookmarkEnd w:id="188"/>
      <w:bookmarkEnd w:id="189"/>
      <w:bookmarkEnd w:id="190"/>
      <w:bookmarkEnd w:id="191"/>
      <w:bookmarkEnd w:id="192"/>
      <w:bookmarkEnd w:id="195"/>
    </w:p>
    <w:bookmarkEnd w:id="193"/>
    <w:bookmarkEnd w:id="194"/>
    <w:p>
      <w:pPr>
        <w:tabs>
          <w:tab w:val="left" w:pos="6300"/>
        </w:tabs>
        <w:snapToGrid w:val="0"/>
        <w:spacing w:line="312" w:lineRule="auto"/>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开标一览表</w:t>
      </w:r>
    </w:p>
    <w:p>
      <w:pPr>
        <w:jc w:val="center"/>
        <w:rPr>
          <w:rFonts w:hint="eastAsia" w:ascii="微软雅黑" w:hAnsi="微软雅黑" w:eastAsia="微软雅黑" w:cs="微软雅黑"/>
          <w:b/>
          <w:szCs w:val="28"/>
          <w:lang w:val="en-US" w:eastAsia="zh-CN"/>
        </w:rPr>
      </w:pPr>
      <w:r>
        <w:rPr>
          <w:rFonts w:hint="eastAsia" w:ascii="微软雅黑" w:hAnsi="微软雅黑" w:eastAsia="微软雅黑" w:cs="微软雅黑"/>
          <w:b/>
          <w:szCs w:val="28"/>
          <w:lang w:val="en-US" w:eastAsia="zh-CN"/>
        </w:rPr>
        <w:t>开标一览表</w:t>
      </w: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58"/>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283"/>
        <w:gridCol w:w="142"/>
        <w:gridCol w:w="142"/>
        <w:gridCol w:w="850"/>
        <w:gridCol w:w="254"/>
        <w:gridCol w:w="171"/>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投标人名称</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产品名称</w:t>
            </w:r>
          </w:p>
        </w:tc>
        <w:tc>
          <w:tcPr>
            <w:tcW w:w="3629" w:type="dxa"/>
            <w:gridSpan w:val="11"/>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4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生产企业</w:t>
            </w:r>
          </w:p>
        </w:tc>
        <w:tc>
          <w:tcPr>
            <w:tcW w:w="3600"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规格/型号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00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产地</w:t>
            </w:r>
          </w:p>
        </w:tc>
        <w:tc>
          <w:tcPr>
            <w:tcW w:w="90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2190" w:type="dxa"/>
            <w:gridSpan w:val="8"/>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医疗器械注册证号</w:t>
            </w:r>
          </w:p>
        </w:tc>
        <w:tc>
          <w:tcPr>
            <w:tcW w:w="319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bookmarkStart w:id="225" w:name="_GoBack"/>
            <w:bookmarkEnd w:id="22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投标单价（元）</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76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计数单位</w:t>
            </w:r>
          </w:p>
        </w:tc>
        <w:tc>
          <w:tcPr>
            <w:tcW w:w="687"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134"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投标数量</w:t>
            </w:r>
          </w:p>
        </w:tc>
        <w:tc>
          <w:tcPr>
            <w:tcW w:w="85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（小写）</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both"/>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投标报价（大写）：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（月）</w:t>
            </w:r>
          </w:p>
        </w:tc>
        <w:tc>
          <w:tcPr>
            <w:tcW w:w="1418"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交货期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41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维修到场时间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（小时）</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备用机到场时间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15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537"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培训人员数量/</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培训时长</w:t>
            </w:r>
          </w:p>
        </w:tc>
        <w:tc>
          <w:tcPr>
            <w:tcW w:w="1559"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76"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付款方式</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是否接受“第三篇 项目商务需求”中所有条款</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p>
    <w:p>
      <w:pPr>
        <w:tabs>
          <w:tab w:val="left" w:pos="2895"/>
        </w:tabs>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（二）明细报价表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u w:val="single"/>
        </w:rPr>
      </w:pPr>
      <w:r>
        <w:rPr>
          <w:rFonts w:hint="eastAsia" w:ascii="微软雅黑" w:hAnsi="微软雅黑" w:eastAsia="微软雅黑" w:cs="微软雅黑"/>
          <w:sz w:val="24"/>
          <w:szCs w:val="24"/>
        </w:rPr>
        <w:t xml:space="preserve">项目名称： </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1557"/>
        <w:gridCol w:w="3127"/>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939"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序号</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lang w:val="en-US" w:eastAsia="zh-CN"/>
              </w:rPr>
              <w:t>产品</w:t>
            </w:r>
            <w:r>
              <w:rPr>
                <w:rFonts w:hint="eastAsia" w:ascii="微软雅黑" w:hAnsi="微软雅黑" w:eastAsia="微软雅黑" w:cs="微软雅黑"/>
                <w:b/>
                <w:sz w:val="21"/>
                <w:szCs w:val="21"/>
              </w:rPr>
              <w:t>名称</w:t>
            </w:r>
          </w:p>
        </w:tc>
        <w:tc>
          <w:tcPr>
            <w:tcW w:w="3127"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b/>
                <w:sz w:val="21"/>
                <w:szCs w:val="21"/>
                <w:lang w:val="en-US" w:eastAsia="zh-CN"/>
              </w:rPr>
            </w:pPr>
            <w:r>
              <w:rPr>
                <w:rFonts w:hint="eastAsia" w:ascii="微软雅黑" w:hAnsi="微软雅黑" w:eastAsia="微软雅黑" w:cs="微软雅黑"/>
                <w:b/>
                <w:sz w:val="21"/>
                <w:szCs w:val="21"/>
                <w:lang w:val="en-US" w:eastAsia="zh-CN"/>
              </w:rPr>
              <w:t>品牌及规格型号</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数量</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单价</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3</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4</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5</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6</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7</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8</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9</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10</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总计</w:t>
            </w:r>
          </w:p>
        </w:tc>
        <w:tc>
          <w:tcPr>
            <w:tcW w:w="6832" w:type="dxa"/>
            <w:gridSpan w:val="4"/>
            <w:noWrap w:val="0"/>
            <w:vAlign w:val="top"/>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rPr>
            </w:pPr>
          </w:p>
        </w:tc>
      </w:tr>
    </w:tbl>
    <w:p>
      <w:pPr>
        <w:snapToGrid w:val="0"/>
        <w:spacing w:line="500" w:lineRule="exact"/>
        <w:ind w:firstLine="480" w:firstLineChars="200"/>
        <w:rPr>
          <w:rFonts w:hint="eastAsia" w:ascii="微软雅黑" w:hAnsi="微软雅黑" w:eastAsia="微软雅黑" w:cs="微软雅黑"/>
          <w:sz w:val="24"/>
          <w:szCs w:val="28"/>
        </w:rPr>
      </w:pPr>
    </w:p>
    <w:p>
      <w:pPr>
        <w:snapToGrid w:val="0"/>
        <w:spacing w:line="500" w:lineRule="exact"/>
        <w:ind w:firstLine="480" w:firstLineChars="200"/>
        <w:rPr>
          <w:rFonts w:hint="eastAsia" w:ascii="微软雅黑" w:hAnsi="微软雅黑" w:eastAsia="微软雅黑" w:cs="微软雅黑"/>
          <w:sz w:val="24"/>
          <w:szCs w:val="28"/>
        </w:rPr>
      </w:pPr>
      <w:r>
        <w:rPr>
          <w:rFonts w:hint="eastAsia" w:ascii="微软雅黑" w:hAnsi="微软雅黑" w:eastAsia="微软雅黑" w:cs="微软雅黑"/>
          <w:sz w:val="24"/>
          <w:szCs w:val="28"/>
        </w:rPr>
        <w:t>注：1.</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应完整填写本表。</w:t>
      </w:r>
    </w:p>
    <w:p>
      <w:pPr>
        <w:snapToGrid w:val="0"/>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2.该表可扩展</w:t>
      </w:r>
      <w:bookmarkStart w:id="196" w:name="OLE_LINK1"/>
      <w:bookmarkStart w:id="197" w:name="OLE_LINK2"/>
      <w:r>
        <w:rPr>
          <w:rFonts w:hint="eastAsia" w:ascii="微软雅黑" w:hAnsi="微软雅黑" w:eastAsia="微软雅黑" w:cs="微软雅黑"/>
          <w:sz w:val="24"/>
          <w:szCs w:val="28"/>
        </w:rPr>
        <w:t>。</w:t>
      </w:r>
      <w:bookmarkEnd w:id="196"/>
      <w:bookmarkEnd w:id="197"/>
    </w:p>
    <w:p>
      <w:pPr>
        <w:pStyle w:val="37"/>
        <w:spacing w:line="360" w:lineRule="auto"/>
        <w:rPr>
          <w:rFonts w:hint="eastAsia" w:ascii="微软雅黑" w:hAnsi="微软雅黑" w:eastAsia="微软雅黑" w:cs="微软雅黑"/>
          <w:sz w:val="24"/>
          <w:szCs w:val="24"/>
        </w:rPr>
      </w:pPr>
    </w:p>
    <w:p>
      <w:pPr>
        <w:pStyle w:val="37"/>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p>
    <w:p>
      <w:pPr>
        <w:rPr>
          <w:rFonts w:hint="eastAsia" w:ascii="微软雅黑" w:hAnsi="微软雅黑" w:eastAsia="微软雅黑" w:cs="微软雅黑"/>
        </w:rPr>
      </w:pPr>
    </w:p>
    <w:p>
      <w:pPr>
        <w:rPr>
          <w:rFonts w:hint="eastAsia" w:ascii="微软雅黑" w:hAnsi="微软雅黑" w:eastAsia="微软雅黑" w:cs="微软雅黑"/>
        </w:rPr>
      </w:pPr>
    </w:p>
    <w:p>
      <w:pPr>
        <w:spacing w:line="360" w:lineRule="auto"/>
        <w:rPr>
          <w:rFonts w:hint="eastAsia" w:ascii="微软雅黑" w:hAnsi="微软雅黑" w:eastAsia="微软雅黑" w:cs="微软雅黑"/>
        </w:rPr>
      </w:pPr>
      <w:r>
        <w:rPr>
          <w:rFonts w:hint="eastAsia" w:ascii="微软雅黑" w:hAnsi="微软雅黑" w:eastAsia="微软雅黑" w:cs="微软雅黑"/>
          <w:sz w:val="24"/>
          <w:szCs w:val="24"/>
        </w:rPr>
        <w:t xml:space="preserve">                                             </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名称（公章）或自然人签署：</w:t>
      </w:r>
    </w:p>
    <w:p>
      <w:pPr>
        <w:spacing w:line="360" w:lineRule="auto"/>
        <w:ind w:right="480" w:firstLine="6480" w:firstLineChars="2700"/>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snapToGrid w:val="0"/>
        <w:spacing w:line="360" w:lineRule="auto"/>
        <w:ind w:firstLine="480" w:firstLineChars="200"/>
        <w:rPr>
          <w:rFonts w:hint="eastAsia" w:ascii="微软雅黑" w:hAnsi="微软雅黑" w:eastAsia="微软雅黑" w:cs="微软雅黑"/>
          <w:sz w:val="24"/>
          <w:szCs w:val="24"/>
          <w:bdr w:val="single" w:color="auto" w:sz="4" w:space="0"/>
        </w:rPr>
        <w:sectPr>
          <w:headerReference r:id="rId18" w:type="default"/>
          <w:pgSz w:w="11907" w:h="16840"/>
          <w:pgMar w:top="1134" w:right="1191" w:bottom="1134" w:left="1304" w:header="851" w:footer="992" w:gutter="0"/>
          <w:pgNumType w:fmt="numberInDash"/>
          <w:cols w:space="720" w:num="1"/>
          <w:docGrid w:linePitch="380" w:charSpace="-5735"/>
        </w:sectPr>
      </w:pPr>
    </w:p>
    <w:p>
      <w:pPr>
        <w:tabs>
          <w:tab w:val="left" w:pos="6300"/>
        </w:tabs>
        <w:snapToGrid w:val="0"/>
        <w:spacing w:line="312" w:lineRule="auto"/>
        <w:ind w:firstLine="480" w:firstLineChars="200"/>
        <w:rPr>
          <w:rFonts w:hint="eastAsia" w:ascii="微软雅黑" w:hAnsi="微软雅黑" w:eastAsia="微软雅黑" w:cs="微软雅黑"/>
          <w:sz w:val="24"/>
          <w:szCs w:val="24"/>
          <w:lang w:val="en-US" w:eastAsia="zh-CN"/>
        </w:rPr>
      </w:pPr>
      <w:bookmarkStart w:id="198" w:name="_Toc313008357"/>
      <w:bookmarkStart w:id="199" w:name="_Toc342913420"/>
      <w:bookmarkStart w:id="200" w:name="_Toc106030907"/>
      <w:bookmarkStart w:id="201" w:name="_Toc313888361"/>
      <w:bookmarkStart w:id="202" w:name="_Toc76462351"/>
      <w:bookmarkStart w:id="203" w:name="_Toc18669"/>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w:t>
      </w:r>
      <w:bookmarkStart w:id="204" w:name="_Toc21535"/>
      <w:r>
        <w:rPr>
          <w:rFonts w:hint="eastAsia" w:ascii="微软雅黑" w:hAnsi="微软雅黑" w:eastAsia="微软雅黑" w:cs="微软雅黑"/>
          <w:sz w:val="24"/>
          <w:szCs w:val="24"/>
          <w:lang w:val="en-US" w:eastAsia="zh-CN"/>
        </w:rPr>
        <w:t>易损易耗件或配件报价表（格式自定）</w:t>
      </w:r>
    </w:p>
    <w:p>
      <w:pPr>
        <w:rPr>
          <w:rFonts w:hint="eastAsia" w:ascii="微软雅黑" w:hAnsi="微软雅黑" w:eastAsia="微软雅黑" w:cs="微软雅黑"/>
          <w:sz w:val="24"/>
        </w:rPr>
      </w:pPr>
      <w:r>
        <w:rPr>
          <w:rFonts w:hint="eastAsia" w:ascii="微软雅黑" w:hAnsi="微软雅黑" w:eastAsia="微软雅黑" w:cs="微软雅黑"/>
          <w:sz w:val="24"/>
        </w:rPr>
        <w:br w:type="page"/>
      </w:r>
    </w:p>
    <w:p>
      <w:pPr>
        <w:tabs>
          <w:tab w:val="left" w:pos="6300"/>
        </w:tabs>
        <w:snapToGrid w:val="0"/>
        <w:spacing w:line="312" w:lineRule="auto"/>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开标现场最终报价表</w:t>
      </w:r>
    </w:p>
    <w:p>
      <w:pPr>
        <w:jc w:val="center"/>
        <w:rPr>
          <w:rFonts w:hint="eastAsia" w:ascii="微软雅黑" w:hAnsi="微软雅黑" w:eastAsia="微软雅黑" w:cs="微软雅黑"/>
          <w:b/>
          <w:szCs w:val="28"/>
          <w:lang w:val="en-US" w:eastAsia="zh-CN"/>
        </w:rPr>
      </w:pPr>
    </w:p>
    <w:p>
      <w:pPr>
        <w:jc w:val="center"/>
        <w:rPr>
          <w:rFonts w:hint="eastAsia" w:ascii="微软雅黑" w:hAnsi="微软雅黑" w:eastAsia="微软雅黑" w:cs="微软雅黑"/>
          <w:b/>
          <w:szCs w:val="28"/>
          <w:lang w:val="en-US" w:eastAsia="zh-CN"/>
        </w:rPr>
      </w:pPr>
      <w:r>
        <w:rPr>
          <w:rFonts w:hint="eastAsia" w:ascii="微软雅黑" w:hAnsi="微软雅黑" w:eastAsia="微软雅黑" w:cs="微软雅黑"/>
          <w:b/>
          <w:szCs w:val="28"/>
          <w:lang w:val="en-US" w:eastAsia="zh-CN"/>
        </w:rPr>
        <w:t>开标现场最终报价表</w:t>
      </w: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58"/>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283"/>
        <w:gridCol w:w="142"/>
        <w:gridCol w:w="142"/>
        <w:gridCol w:w="850"/>
        <w:gridCol w:w="254"/>
        <w:gridCol w:w="171"/>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投标人名称</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产品名称</w:t>
            </w:r>
          </w:p>
        </w:tc>
        <w:tc>
          <w:tcPr>
            <w:tcW w:w="3629" w:type="dxa"/>
            <w:gridSpan w:val="11"/>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4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生产企业</w:t>
            </w:r>
          </w:p>
        </w:tc>
        <w:tc>
          <w:tcPr>
            <w:tcW w:w="3600"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规格/型号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00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产地</w:t>
            </w:r>
          </w:p>
        </w:tc>
        <w:tc>
          <w:tcPr>
            <w:tcW w:w="90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2190" w:type="dxa"/>
            <w:gridSpan w:val="8"/>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医疗器械注册证号</w:t>
            </w:r>
          </w:p>
        </w:tc>
        <w:tc>
          <w:tcPr>
            <w:tcW w:w="319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投标单价（元）</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76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计数单位</w:t>
            </w:r>
          </w:p>
        </w:tc>
        <w:tc>
          <w:tcPr>
            <w:tcW w:w="687"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134"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投标数量</w:t>
            </w:r>
          </w:p>
        </w:tc>
        <w:tc>
          <w:tcPr>
            <w:tcW w:w="85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（小写）</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both"/>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投标报价（大写）：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（月）</w:t>
            </w:r>
          </w:p>
        </w:tc>
        <w:tc>
          <w:tcPr>
            <w:tcW w:w="1418"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交货期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41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维修到场时间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（小时）</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备用机到场时间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15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537"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培训人员数量/</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培训时长</w:t>
            </w:r>
          </w:p>
        </w:tc>
        <w:tc>
          <w:tcPr>
            <w:tcW w:w="1559"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76"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付款方式</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是否接受“第三篇 项目商务需求”中所有条款</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rPr>
          <w:rFonts w:hint="eastAsia" w:ascii="微软雅黑" w:hAnsi="微软雅黑" w:eastAsia="微软雅黑" w:cs="微软雅黑"/>
          <w:sz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sz w:val="24"/>
        </w:rPr>
      </w:pPr>
      <w:r>
        <w:rPr>
          <w:rFonts w:hint="eastAsia" w:ascii="微软雅黑" w:hAnsi="微软雅黑" w:eastAsia="微软雅黑" w:cs="微软雅黑"/>
          <w:sz w:val="24"/>
        </w:rPr>
        <w:br w:type="page"/>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二、</w:t>
      </w:r>
      <w:r>
        <w:rPr>
          <w:rFonts w:hint="eastAsia" w:ascii="微软雅黑" w:hAnsi="微软雅黑" w:eastAsia="微软雅黑" w:cs="微软雅黑"/>
          <w:sz w:val="24"/>
          <w:lang w:val="en-US" w:eastAsia="zh-CN"/>
        </w:rPr>
        <w:t>技术</w:t>
      </w:r>
      <w:r>
        <w:rPr>
          <w:rFonts w:hint="eastAsia" w:ascii="微软雅黑" w:hAnsi="微软雅黑" w:eastAsia="微软雅黑" w:cs="微软雅黑"/>
          <w:sz w:val="24"/>
        </w:rPr>
        <w:t>部分</w:t>
      </w:r>
      <w:bookmarkEnd w:id="198"/>
      <w:bookmarkEnd w:id="199"/>
      <w:bookmarkEnd w:id="200"/>
      <w:bookmarkEnd w:id="201"/>
      <w:bookmarkEnd w:id="202"/>
      <w:bookmarkEnd w:id="203"/>
      <w:bookmarkEnd w:id="204"/>
    </w:p>
    <w:p>
      <w:pPr>
        <w:tabs>
          <w:tab w:val="left" w:pos="6300"/>
        </w:tabs>
        <w:snapToGrid w:val="0"/>
        <w:spacing w:line="400" w:lineRule="exact"/>
        <w:ind w:firstLine="480" w:firstLineChars="200"/>
        <w:rPr>
          <w:rFonts w:hint="eastAsia" w:ascii="微软雅黑" w:hAnsi="微软雅黑" w:eastAsia="微软雅黑" w:cs="微软雅黑"/>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提醒：请注明技术参数或具体内容以及响应文件中技术参数或具体内容的位置（页码）</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 xml:space="preserve">：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本表即为对本项目“第二篇  项目</w:t>
      </w:r>
      <w:r>
        <w:rPr>
          <w:rFonts w:hint="eastAsia" w:ascii="微软雅黑" w:hAnsi="微软雅黑" w:eastAsia="微软雅黑" w:cs="微软雅黑"/>
          <w:sz w:val="24"/>
          <w:szCs w:val="24"/>
          <w:lang w:val="en-US" w:eastAsia="zh-CN"/>
        </w:rPr>
        <w:t>技术（质量）</w:t>
      </w:r>
      <w:r>
        <w:rPr>
          <w:rFonts w:hint="eastAsia" w:ascii="微软雅黑" w:hAnsi="微软雅黑" w:eastAsia="微软雅黑" w:cs="微软雅黑"/>
          <w:sz w:val="24"/>
          <w:szCs w:val="24"/>
        </w:rPr>
        <w:t>需求”中所列条款进行</w:t>
      </w:r>
      <w:r>
        <w:rPr>
          <w:rFonts w:hint="eastAsia" w:ascii="微软雅黑" w:hAnsi="微软雅黑" w:eastAsia="微软雅黑" w:cs="微软雅黑"/>
          <w:sz w:val="24"/>
          <w:szCs w:val="24"/>
          <w:lang w:val="en-US" w:eastAsia="zh-CN"/>
        </w:rPr>
        <w:t>逐条</w:t>
      </w:r>
      <w:r>
        <w:rPr>
          <w:rFonts w:hint="eastAsia" w:ascii="微软雅黑" w:hAnsi="微软雅黑" w:eastAsia="微软雅黑" w:cs="微软雅黑"/>
          <w:sz w:val="24"/>
          <w:szCs w:val="24"/>
        </w:rPr>
        <w:t>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tabs>
          <w:tab w:val="left" w:pos="6300"/>
        </w:tabs>
        <w:snapToGrid w:val="0"/>
        <w:spacing w:line="400" w:lineRule="exact"/>
        <w:ind w:firstLine="560" w:firstLineChars="200"/>
        <w:rPr>
          <w:rFonts w:hint="eastAsia" w:ascii="微软雅黑" w:hAnsi="微软雅黑" w:eastAsia="微软雅黑" w:cs="微软雅黑"/>
          <w:szCs w:val="24"/>
        </w:rPr>
      </w:pPr>
      <w:r>
        <w:rPr>
          <w:rFonts w:hint="eastAsia" w:ascii="微软雅黑" w:hAnsi="微软雅黑" w:eastAsia="微软雅黑" w:cs="微软雅黑"/>
          <w:szCs w:val="24"/>
        </w:rPr>
        <w:br w:type="page"/>
      </w:r>
      <w:r>
        <w:rPr>
          <w:rFonts w:hint="eastAsia" w:ascii="微软雅黑" w:hAnsi="微软雅黑" w:eastAsia="微软雅黑" w:cs="微软雅黑"/>
          <w:sz w:val="24"/>
          <w:szCs w:val="24"/>
        </w:rPr>
        <w:t>（二）其他资料（格式自定）</w:t>
      </w:r>
    </w:p>
    <w:p>
      <w:pPr>
        <w:pStyle w:val="4"/>
        <w:adjustRightInd w:val="0"/>
        <w:snapToGrid w:val="0"/>
        <w:spacing w:before="0" w:after="0" w:line="400" w:lineRule="exact"/>
        <w:ind w:firstLine="640" w:firstLineChars="200"/>
        <w:rPr>
          <w:rFonts w:hint="eastAsia" w:ascii="微软雅黑" w:hAnsi="微软雅黑" w:eastAsia="微软雅黑" w:cs="微软雅黑"/>
          <w:sz w:val="24"/>
        </w:rPr>
      </w:pPr>
      <w:r>
        <w:rPr>
          <w:rFonts w:hint="eastAsia" w:ascii="微软雅黑" w:hAnsi="微软雅黑" w:eastAsia="微软雅黑" w:cs="微软雅黑"/>
          <w:b w:val="0"/>
        </w:rPr>
        <w:br w:type="page"/>
      </w:r>
      <w:bookmarkStart w:id="205" w:name="_Toc106030908"/>
      <w:bookmarkStart w:id="206" w:name="_Toc313888362"/>
      <w:bookmarkStart w:id="207" w:name="_Toc76462352"/>
      <w:bookmarkStart w:id="208" w:name="_Toc313008358"/>
      <w:bookmarkStart w:id="209" w:name="_Toc342913421"/>
      <w:bookmarkStart w:id="210" w:name="_Toc16028"/>
      <w:bookmarkStart w:id="211" w:name="_Toc30639"/>
      <w:r>
        <w:rPr>
          <w:rFonts w:hint="eastAsia" w:ascii="微软雅黑" w:hAnsi="微软雅黑" w:eastAsia="微软雅黑" w:cs="微软雅黑"/>
          <w:sz w:val="24"/>
        </w:rPr>
        <w:t>三、商务部分</w:t>
      </w:r>
      <w:bookmarkEnd w:id="205"/>
      <w:bookmarkEnd w:id="206"/>
      <w:bookmarkEnd w:id="207"/>
      <w:bookmarkEnd w:id="208"/>
      <w:bookmarkEnd w:id="209"/>
      <w:bookmarkEnd w:id="210"/>
      <w:bookmarkEnd w:id="211"/>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项目名称： </w:t>
      </w:r>
    </w:p>
    <w:tbl>
      <w:tblPr>
        <w:tblStyle w:val="5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noWrap w:val="0"/>
            <w:vAlign w:val="center"/>
          </w:tcPr>
          <w:p>
            <w:pPr>
              <w:keepNext w:val="0"/>
              <w:keepLines w:val="0"/>
              <w:suppressLineNumbers w:val="0"/>
              <w:snapToGrid w:val="0"/>
              <w:spacing w:before="0" w:beforeAutospacing="0" w:after="0" w:afterAutospacing="0" w:line="360" w:lineRule="auto"/>
              <w:ind w:left="0" w:right="0" w:firstLine="465"/>
              <w:rPr>
                <w:rFonts w:hint="eastAsia" w:ascii="微软雅黑" w:hAnsi="微软雅黑" w:eastAsia="微软雅黑" w:cs="微软雅黑"/>
                <w:sz w:val="21"/>
                <w:szCs w:val="24"/>
              </w:rPr>
            </w:pPr>
            <w:r>
              <w:rPr>
                <w:rFonts w:hint="eastAsia" w:ascii="微软雅黑" w:hAnsi="微软雅黑" w:eastAsia="微软雅黑" w:cs="微软雅黑"/>
                <w:sz w:val="21"/>
                <w:szCs w:val="24"/>
              </w:rPr>
              <w:t>序号</w:t>
            </w: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4"/>
              </w:rPr>
              <w:t>项目商务需求</w:t>
            </w: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4"/>
              </w:rPr>
              <w:t>响应情况</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1"/>
              </w:rPr>
              <w:t>提醒：请注明具体内容以及响应文件中具体内容的位置（页码）</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r>
    </w:tbl>
    <w:p>
      <w:pPr>
        <w:snapToGrid w:val="0"/>
        <w:spacing w:line="360" w:lineRule="auto"/>
        <w:ind w:firstLine="465"/>
        <w:rPr>
          <w:rFonts w:hint="eastAsia" w:ascii="微软雅黑" w:hAnsi="微软雅黑" w:eastAsia="微软雅黑" w:cs="微软雅黑"/>
          <w:sz w:val="24"/>
          <w:szCs w:val="24"/>
        </w:rPr>
      </w:pPr>
    </w:p>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 xml:space="preserve">：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360" w:firstLineChars="150"/>
        <w:rPr>
          <w:rFonts w:hint="eastAsia" w:ascii="微软雅黑" w:hAnsi="微软雅黑" w:eastAsia="微软雅黑" w:cs="微软雅黑"/>
          <w:sz w:val="24"/>
          <w:szCs w:val="28"/>
        </w:rPr>
      </w:pPr>
      <w:r>
        <w:rPr>
          <w:rFonts w:hint="eastAsia" w:ascii="微软雅黑" w:hAnsi="微软雅黑" w:eastAsia="微软雅黑" w:cs="微软雅黑"/>
          <w:sz w:val="24"/>
          <w:szCs w:val="28"/>
        </w:rPr>
        <w:t>（</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本表即为对本项目“第三篇  项目商务需求”中所列条款进行</w:t>
      </w:r>
      <w:r>
        <w:rPr>
          <w:rFonts w:hint="eastAsia" w:ascii="微软雅黑" w:hAnsi="微软雅黑" w:eastAsia="微软雅黑" w:cs="微软雅黑"/>
          <w:sz w:val="24"/>
          <w:szCs w:val="24"/>
          <w:lang w:val="en-US" w:eastAsia="zh-CN"/>
        </w:rPr>
        <w:t>逐条</w:t>
      </w:r>
      <w:r>
        <w:rPr>
          <w:rFonts w:hint="eastAsia" w:ascii="微软雅黑" w:hAnsi="微软雅黑" w:eastAsia="微软雅黑" w:cs="微软雅黑"/>
          <w:sz w:val="24"/>
          <w:szCs w:val="24"/>
        </w:rPr>
        <w:t>响应；</w:t>
      </w:r>
    </w:p>
    <w:p>
      <w:pPr>
        <w:snapToGrid w:val="0"/>
        <w:spacing w:line="400" w:lineRule="exact"/>
        <w:ind w:firstLine="480" w:firstLineChars="200"/>
        <w:rPr>
          <w:rFonts w:hint="eastAsia" w:ascii="微软雅黑" w:hAnsi="微软雅黑" w:eastAsia="微软雅黑" w:cs="微软雅黑"/>
          <w:b/>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rPr>
        <w:t>2.本表可扩展。</w:t>
      </w:r>
    </w:p>
    <w:p>
      <w:pPr>
        <w:snapToGrid w:val="0"/>
        <w:spacing w:line="400" w:lineRule="exact"/>
        <w:ind w:firstLine="480" w:firstLineChars="200"/>
        <w:rPr>
          <w:rFonts w:hint="eastAsia" w:ascii="微软雅黑" w:hAnsi="微软雅黑" w:eastAsia="微软雅黑" w:cs="微软雅黑"/>
          <w:sz w:val="24"/>
          <w:szCs w:val="24"/>
        </w:rPr>
      </w:pPr>
      <w:bookmarkStart w:id="212" w:name="_Toc283382459"/>
      <w:r>
        <w:rPr>
          <w:rFonts w:hint="eastAsia" w:ascii="微软雅黑" w:hAnsi="微软雅黑" w:eastAsia="微软雅黑" w:cs="微软雅黑"/>
          <w:sz w:val="24"/>
          <w:szCs w:val="24"/>
        </w:rPr>
        <w:t>（二）其它优惠承诺（格式自定）</w:t>
      </w:r>
    </w:p>
    <w:p>
      <w:pPr>
        <w:snapToGrid w:val="0"/>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br w:type="page"/>
      </w:r>
      <w:bookmarkEnd w:id="212"/>
      <w:bookmarkStart w:id="213" w:name="_Toc313888363"/>
      <w:bookmarkStart w:id="214" w:name="_Toc342913422"/>
      <w:bookmarkStart w:id="215" w:name="_Toc26948"/>
      <w:bookmarkStart w:id="216" w:name="_Toc21348"/>
      <w:bookmarkStart w:id="217" w:name="_Toc106030909"/>
      <w:bookmarkStart w:id="218" w:name="_Toc76462353"/>
      <w:bookmarkStart w:id="219" w:name="_Toc313008359"/>
      <w:r>
        <w:rPr>
          <w:rFonts w:hint="eastAsia" w:ascii="微软雅黑" w:hAnsi="微软雅黑" w:eastAsia="微软雅黑" w:cs="微软雅黑"/>
          <w:sz w:val="24"/>
        </w:rPr>
        <w:t>四、资格条件</w:t>
      </w:r>
      <w:bookmarkEnd w:id="213"/>
      <w:bookmarkEnd w:id="214"/>
      <w:bookmarkEnd w:id="215"/>
      <w:bookmarkEnd w:id="216"/>
      <w:bookmarkEnd w:id="217"/>
      <w:bookmarkEnd w:id="218"/>
      <w:bookmarkEnd w:id="219"/>
    </w:p>
    <w:p>
      <w:pPr>
        <w:tabs>
          <w:tab w:val="left" w:pos="6300"/>
        </w:tabs>
        <w:snapToGrid w:val="0"/>
        <w:spacing w:line="4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（二）法定代表人身份证明书（格式）</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磋商项目名称：</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（法定代表人姓名）在</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名称）任</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（职务名称）职务，是（</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的法定代表人。</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特此证明。</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年   月   日</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column"/>
      </w:r>
      <w:r>
        <w:rPr>
          <w:rFonts w:hint="eastAsia" w:ascii="微软雅黑" w:hAnsi="微软雅黑" w:eastAsia="微软雅黑" w:cs="微软雅黑"/>
          <w:sz w:val="24"/>
          <w:szCs w:val="24"/>
        </w:rPr>
        <w:t>（三）法定代表人授权委托书（格式）</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8"/>
        </w:rPr>
        <w:t>项目名称</w:t>
      </w:r>
      <w:r>
        <w:rPr>
          <w:rFonts w:hint="eastAsia" w:ascii="微软雅黑" w:hAnsi="微软雅黑" w:eastAsia="微软雅黑" w:cs="微软雅黑"/>
          <w:sz w:val="24"/>
        </w:rPr>
        <w:t>：</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法定代表人名称）是</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名称）的法定代表人，特授权</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（被授权人姓名及身份证代码）代表我单位全权办理上述项目的</w:t>
      </w:r>
      <w:r>
        <w:rPr>
          <w:rFonts w:hint="eastAsia" w:ascii="微软雅黑" w:hAnsi="微软雅黑" w:eastAsia="微软雅黑" w:cs="微软雅黑"/>
          <w:sz w:val="24"/>
          <w:lang w:val="en-US" w:eastAsia="zh-CN"/>
        </w:rPr>
        <w:t>投标</w:t>
      </w:r>
      <w:r>
        <w:rPr>
          <w:rFonts w:hint="eastAsia" w:ascii="微软雅黑" w:hAnsi="微软雅黑" w:eastAsia="微软雅黑" w:cs="微软雅黑"/>
          <w:sz w:val="24"/>
        </w:rPr>
        <w:t>、签约等具体工作，并签署全部有关文件、协议及合同。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我单位对被授权人的</w:t>
      </w:r>
      <w:r>
        <w:rPr>
          <w:rFonts w:hint="eastAsia" w:ascii="微软雅黑" w:hAnsi="微软雅黑" w:eastAsia="微软雅黑" w:cs="微软雅黑"/>
          <w:sz w:val="24"/>
          <w:szCs w:val="28"/>
        </w:rPr>
        <w:t>签署</w:t>
      </w:r>
      <w:r>
        <w:rPr>
          <w:rFonts w:hint="eastAsia" w:ascii="微软雅黑" w:hAnsi="微软雅黑" w:eastAsia="微软雅黑" w:cs="微软雅黑"/>
          <w:sz w:val="24"/>
        </w:rPr>
        <w:t>负全部责任。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被授权人：                                 </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法定代表人：</w:t>
      </w:r>
    </w:p>
    <w:p>
      <w:pPr>
        <w:tabs>
          <w:tab w:val="left" w:pos="6300"/>
        </w:tabs>
        <w:snapToGrid w:val="0"/>
        <w:spacing w:line="500" w:lineRule="exact"/>
        <w:ind w:firstLine="570"/>
        <w:rPr>
          <w:rFonts w:hint="eastAsia" w:ascii="微软雅黑" w:hAnsi="微软雅黑" w:eastAsia="微软雅黑" w:cs="微软雅黑"/>
          <w:sz w:val="24"/>
          <w:szCs w:val="28"/>
        </w:rPr>
      </w:pPr>
      <w:r>
        <w:rPr>
          <w:rFonts w:hint="eastAsia" w:ascii="微软雅黑" w:hAnsi="微软雅黑" w:eastAsia="微软雅黑" w:cs="微软雅黑"/>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sz w:val="24"/>
          <w:szCs w:val="28"/>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年   月   日</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2.若为联合体参与的，法定代表人授权委托书由联合体主办方</w:t>
      </w:r>
      <w:r>
        <w:rPr>
          <w:rFonts w:hint="eastAsia" w:ascii="微软雅黑" w:hAnsi="微软雅黑" w:eastAsia="微软雅黑" w:cs="微软雅黑"/>
          <w:kern w:val="0"/>
          <w:sz w:val="24"/>
          <w:szCs w:val="24"/>
        </w:rPr>
        <w:t>（主体）</w:t>
      </w:r>
      <w:r>
        <w:rPr>
          <w:rFonts w:hint="eastAsia" w:ascii="微软雅黑" w:hAnsi="微软雅黑" w:eastAsia="微软雅黑" w:cs="微软雅黑"/>
          <w:sz w:val="24"/>
        </w:rPr>
        <w:t>出具。</w:t>
      </w:r>
    </w:p>
    <w:p>
      <w:pPr>
        <w:widowControl/>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rPr>
        <w:br w:type="column"/>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投标函</w:t>
      </w:r>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276" w:lineRule="auto"/>
        <w:ind w:firstLine="556"/>
        <w:rPr>
          <w:rFonts w:hint="eastAsia" w:ascii="微软雅黑" w:hAnsi="微软雅黑" w:eastAsia="微软雅黑" w:cs="微软雅黑"/>
          <w:sz w:val="24"/>
          <w:szCs w:val="24"/>
        </w:rPr>
      </w:pPr>
      <w:r>
        <w:rPr>
          <w:rFonts w:hint="eastAsia" w:ascii="微软雅黑" w:hAnsi="微软雅黑" w:eastAsia="微软雅黑" w:cs="微软雅黑"/>
          <w:sz w:val="24"/>
          <w:szCs w:val="24"/>
        </w:rPr>
        <w:t>致：</w:t>
      </w:r>
      <w:r>
        <w:rPr>
          <w:rFonts w:hint="eastAsia" w:ascii="微软雅黑" w:hAnsi="微软雅黑" w:eastAsia="微软雅黑" w:cs="微软雅黑"/>
          <w:sz w:val="24"/>
          <w:szCs w:val="24"/>
          <w:u w:val="none"/>
        </w:rPr>
        <w:t xml:space="preserve">  重庆医科大学附属儿童医院  </w:t>
      </w:r>
      <w:r>
        <w:rPr>
          <w:rFonts w:hint="eastAsia" w:ascii="微软雅黑" w:hAnsi="微软雅黑" w:eastAsia="微软雅黑" w:cs="微软雅黑"/>
          <w:sz w:val="24"/>
          <w:szCs w:val="24"/>
        </w:rPr>
        <w:t>：</w:t>
      </w:r>
    </w:p>
    <w:p>
      <w:pPr>
        <w:tabs>
          <w:tab w:val="left" w:pos="6300"/>
        </w:tabs>
        <w:snapToGrid w:val="0"/>
        <w:spacing w:before="0" w:beforeLines="-2147483648" w:line="276" w:lineRule="auto"/>
        <w:ind w:firstLine="720" w:firstLineChars="3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w:t>
      </w:r>
      <w:r>
        <w:rPr>
          <w:rFonts w:hint="eastAsia" w:ascii="微软雅黑" w:hAnsi="微软雅黑" w:eastAsia="微软雅黑" w:cs="微软雅黑"/>
          <w:sz w:val="24"/>
          <w:szCs w:val="24"/>
          <w:u w:val="single"/>
          <w:lang w:eastAsia="zh-CN"/>
        </w:rPr>
        <w:t>投标单位</w:t>
      </w:r>
      <w:r>
        <w:rPr>
          <w:rFonts w:hint="eastAsia" w:ascii="微软雅黑" w:hAnsi="微软雅黑" w:eastAsia="微软雅黑" w:cs="微软雅黑"/>
          <w:sz w:val="24"/>
          <w:szCs w:val="24"/>
          <w:u w:val="single"/>
        </w:rPr>
        <w:t>名称）</w:t>
      </w:r>
      <w:r>
        <w:rPr>
          <w:rFonts w:hint="eastAsia" w:ascii="微软雅黑" w:hAnsi="微软雅黑" w:eastAsia="微软雅黑" w:cs="微软雅黑"/>
          <w:sz w:val="24"/>
          <w:szCs w:val="24"/>
        </w:rPr>
        <w:t>系中华人民共和国合法企业，注册地址：</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。我方就参加本次投标有关事项郑重声明如下：</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一、我方完全理解并接受该项目</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所有要求。</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二、我方完全满足该项目招标公告和邀标书中提出的合格</w:t>
      </w:r>
      <w:r>
        <w:rPr>
          <w:rFonts w:hint="eastAsia" w:ascii="微软雅黑" w:hAnsi="微软雅黑" w:eastAsia="微软雅黑" w:cs="微软雅黑"/>
          <w:sz w:val="24"/>
          <w:szCs w:val="24"/>
          <w:lang w:eastAsia="zh-CN"/>
        </w:rPr>
        <w:t>投标单位</w:t>
      </w:r>
      <w:r>
        <w:rPr>
          <w:rFonts w:hint="eastAsia" w:ascii="微软雅黑" w:hAnsi="微软雅黑" w:eastAsia="微软雅黑" w:cs="微软雅黑"/>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三、我方提交的所有</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、资料都是准确和真实的，如有虚假或隐瞒，我方愿意承担一切法律责任。</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四、我方承诺按照</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要求，提供招标项目的技术服务。</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五、我方按</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要求提交的</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为：</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正本1份，副本</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份。</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六、如果我方中标，我方将履行</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中规定的各项要求以及我方</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的各项承诺，按《政府采购法》、《</w:t>
      </w:r>
      <w:r>
        <w:rPr>
          <w:rFonts w:hint="eastAsia" w:ascii="微软雅黑" w:hAnsi="微软雅黑" w:eastAsia="微软雅黑" w:cs="微软雅黑"/>
          <w:sz w:val="24"/>
          <w:szCs w:val="24"/>
          <w:lang w:val="en-US" w:eastAsia="zh-CN"/>
        </w:rPr>
        <w:t>民法典</w:t>
      </w:r>
      <w:r>
        <w:rPr>
          <w:rFonts w:hint="eastAsia" w:ascii="微软雅黑" w:hAnsi="微软雅黑" w:eastAsia="微软雅黑" w:cs="微软雅黑"/>
          <w:sz w:val="24"/>
          <w:szCs w:val="24"/>
        </w:rPr>
        <w:t>》及合同约定条款承担我方责任。</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八、我方完全理解并接受贵方不一定要接受最低报价的投标或收到的任何投标。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九、我方同意按有关规定及</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要求，缴纳足额投标保证金。</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sz w:val="24"/>
          <w:szCs w:val="24"/>
        </w:rPr>
      </w:pPr>
    </w:p>
    <w:p>
      <w:pPr>
        <w:tabs>
          <w:tab w:val="left" w:pos="6300"/>
        </w:tabs>
        <w:snapToGrid w:val="0"/>
        <w:spacing w:line="276" w:lineRule="auto"/>
        <w:ind w:firstLine="556" w:firstLineChars="0"/>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投标</w:t>
      </w:r>
      <w:r>
        <w:rPr>
          <w:rFonts w:hint="eastAsia" w:ascii="微软雅黑" w:hAnsi="微软雅黑" w:eastAsia="微软雅黑" w:cs="微软雅黑"/>
          <w:sz w:val="24"/>
          <w:szCs w:val="24"/>
          <w:lang w:val="en-US" w:eastAsia="zh-CN"/>
        </w:rPr>
        <w:t>人</w:t>
      </w:r>
      <w:r>
        <w:rPr>
          <w:rFonts w:hint="eastAsia" w:ascii="微软雅黑" w:hAnsi="微软雅黑" w:eastAsia="微软雅黑" w:cs="微软雅黑"/>
          <w:sz w:val="24"/>
          <w:szCs w:val="24"/>
        </w:rPr>
        <w:t>公章）</w:t>
      </w:r>
    </w:p>
    <w:p>
      <w:pPr>
        <w:tabs>
          <w:tab w:val="left" w:pos="6300"/>
        </w:tabs>
        <w:snapToGrid w:val="0"/>
        <w:spacing w:line="276" w:lineRule="auto"/>
        <w:ind w:firstLine="556"/>
        <w:jc w:val="right"/>
        <w:rPr>
          <w:rFonts w:hint="eastAsia" w:ascii="微软雅黑" w:hAnsi="微软雅黑" w:eastAsia="微软雅黑" w:cs="微软雅黑"/>
          <w:sz w:val="24"/>
          <w:szCs w:val="24"/>
        </w:rPr>
      </w:pPr>
    </w:p>
    <w:p>
      <w:pPr>
        <w:tabs>
          <w:tab w:val="left" w:pos="6300"/>
        </w:tabs>
        <w:snapToGrid w:val="0"/>
        <w:spacing w:line="276" w:lineRule="auto"/>
        <w:ind w:firstLine="556" w:firstLineChars="0"/>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500" w:lineRule="exact"/>
        <w:ind w:firstLine="570"/>
        <w:rPr>
          <w:rFonts w:hint="eastAsia" w:ascii="微软雅黑" w:hAnsi="微软雅黑" w:eastAsia="微软雅黑" w:cs="微软雅黑"/>
        </w:rPr>
      </w:pPr>
    </w:p>
    <w:p>
      <w:pPr>
        <w:pStyle w:val="69"/>
        <w:rPr>
          <w:rFonts w:hint="eastAsia" w:ascii="微软雅黑" w:hAnsi="微软雅黑" w:eastAsia="微软雅黑" w:cs="微软雅黑"/>
        </w:rPr>
      </w:pPr>
    </w:p>
    <w:p>
      <w:pPr>
        <w:pStyle w:val="70"/>
        <w:rPr>
          <w:rFonts w:hint="eastAsia" w:ascii="微软雅黑" w:hAnsi="微软雅黑" w:eastAsia="微软雅黑" w:cs="微软雅黑"/>
        </w:rPr>
      </w:pPr>
    </w:p>
    <w:p>
      <w:pPr>
        <w:pStyle w:val="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w:t>
      </w:r>
      <w:r>
        <w:rPr>
          <w:rFonts w:hint="eastAsia" w:ascii="微软雅黑" w:hAnsi="微软雅黑" w:eastAsia="微软雅黑" w:cs="微软雅黑"/>
          <w:sz w:val="24"/>
          <w:szCs w:val="28"/>
        </w:rPr>
        <w:t>基本资格条件承诺函</w:t>
      </w:r>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3.我方在采购项目评审（评标）环节结束后，随时接受采购人、采购代理机构的检查验证，配合提供相关证明材料，证明符合《中华人民共和国政府采购法》规定的</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tabs>
          <w:tab w:val="left" w:pos="6300"/>
        </w:tabs>
        <w:snapToGrid w:val="0"/>
        <w:spacing w:line="500" w:lineRule="exact"/>
        <w:ind w:firstLine="480" w:firstLineChars="200"/>
        <w:jc w:val="right"/>
        <w:rPr>
          <w:rFonts w:hint="eastAsia" w:ascii="微软雅黑" w:hAnsi="微软雅黑" w:eastAsia="微软雅黑" w:cs="微软雅黑"/>
          <w:sz w:val="24"/>
        </w:rPr>
      </w:pP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pPr>
        <w:tabs>
          <w:tab w:val="left" w:pos="6300"/>
        </w:tabs>
        <w:snapToGrid w:val="0"/>
        <w:spacing w:line="5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）特定资格条件证明文件</w:t>
      </w:r>
    </w:p>
    <w:p>
      <w:pPr>
        <w:tabs>
          <w:tab w:val="left" w:pos="6300"/>
        </w:tabs>
        <w:snapToGrid w:val="0"/>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560" w:firstLineChars="200"/>
        <w:rPr>
          <w:rFonts w:hint="eastAsia" w:ascii="微软雅黑" w:hAnsi="微软雅黑" w:eastAsia="微软雅黑" w:cs="微软雅黑"/>
          <w:sz w:val="24"/>
        </w:rPr>
      </w:pPr>
      <w:bookmarkStart w:id="220" w:name="_Toc14422"/>
      <w:r>
        <w:rPr>
          <w:rFonts w:hint="eastAsia" w:ascii="微软雅黑" w:hAnsi="微软雅黑" w:eastAsia="微软雅黑" w:cs="微软雅黑"/>
          <w:b w:val="0"/>
          <w:sz w:val="28"/>
        </w:rPr>
        <w:br w:type="page"/>
      </w:r>
      <w:bookmarkStart w:id="221" w:name="_Toc106030910"/>
      <w:bookmarkStart w:id="222" w:name="_Toc8805"/>
      <w:bookmarkStart w:id="223" w:name="_Toc76462354"/>
      <w:bookmarkStart w:id="224" w:name="_Toc32260"/>
      <w:r>
        <w:rPr>
          <w:rFonts w:hint="eastAsia" w:ascii="微软雅黑" w:hAnsi="微软雅黑" w:eastAsia="微软雅黑" w:cs="微软雅黑"/>
          <w:sz w:val="24"/>
        </w:rPr>
        <w:t>五、其他资料</w:t>
      </w:r>
      <w:bookmarkEnd w:id="220"/>
      <w:bookmarkEnd w:id="221"/>
      <w:bookmarkEnd w:id="222"/>
      <w:bookmarkEnd w:id="223"/>
      <w:bookmarkEnd w:id="2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一</w:t>
      </w:r>
      <w:r>
        <w:rPr>
          <w:rFonts w:hint="eastAsia" w:ascii="微软雅黑" w:hAnsi="微软雅黑" w:eastAsia="微软雅黑" w:cs="微软雅黑"/>
          <w:sz w:val="24"/>
          <w:szCs w:val="24"/>
        </w:rPr>
        <w:t>）其他与项目有关的资料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其他与项目有关的资料（自附）：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总体情况介绍、其他与本项目有关的资料等。</w:t>
      </w:r>
    </w:p>
    <w:p>
      <w:pPr>
        <w:spacing w:line="360" w:lineRule="auto"/>
        <w:ind w:firstLine="480" w:firstLineChars="200"/>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outlineLvl w:val="0"/>
        <w:rPr>
          <w:rFonts w:hint="eastAsia" w:ascii="微软雅黑" w:hAnsi="微软雅黑" w:eastAsia="微软雅黑" w:cs="微软雅黑"/>
        </w:rPr>
      </w:pPr>
      <w:r>
        <w:rPr>
          <w:rFonts w:hint="eastAsia" w:ascii="微软雅黑" w:hAnsi="微软雅黑" w:eastAsia="微软雅黑" w:cs="微软雅黑"/>
          <w:sz w:val="24"/>
          <w:szCs w:val="24"/>
        </w:rPr>
        <w:t>（结束）</w:t>
      </w:r>
    </w:p>
    <w:p>
      <w:pPr>
        <w:spacing w:line="360" w:lineRule="auto"/>
        <w:ind w:firstLine="560" w:firstLineChars="200"/>
        <w:jc w:val="center"/>
        <w:outlineLvl w:val="0"/>
        <w:rPr>
          <w:rFonts w:hint="eastAsia" w:ascii="微软雅黑" w:hAnsi="微软雅黑" w:eastAsia="微软雅黑" w:cs="微软雅黑"/>
        </w:rPr>
      </w:pPr>
    </w:p>
    <w:p>
      <w:pPr>
        <w:spacing w:line="360" w:lineRule="auto"/>
        <w:ind w:firstLine="560" w:firstLineChars="200"/>
        <w:jc w:val="center"/>
        <w:outlineLvl w:val="0"/>
        <w:rPr>
          <w:rFonts w:hint="eastAsia" w:ascii="微软雅黑" w:hAnsi="微软雅黑" w:eastAsia="微软雅黑" w:cs="微软雅黑"/>
        </w:rPr>
      </w:pPr>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黑体_GBK">
    <w:panose1 w:val="03000509000000000000"/>
    <w:charset w:val="86"/>
    <w:family w:val="script"/>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2"/>
      </w:rPr>
    </w:pPr>
  </w:p>
  <w:p>
    <w:pPr>
      <w:pStyle w:val="35"/>
      <w:jc w:val="center"/>
      <w:rPr>
        <w:rFonts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ind w:right="360"/>
      <w:jc w:val="center"/>
    </w:pPr>
    <w:r>
      <w:fldChar w:fldCharType="begin"/>
    </w:r>
    <w:r>
      <w:rPr>
        <w:rStyle w:val="62"/>
      </w:rPr>
      <w:instrText xml:space="preserve"> PAGE </w:instrText>
    </w:r>
    <w:r>
      <w:fldChar w:fldCharType="separate"/>
    </w:r>
    <w:r>
      <w:rPr>
        <w:rStyle w:val="62"/>
      </w:rPr>
      <w:t>- 23 -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right" w:y="1"/>
      <w:rPr>
        <w:rStyle w:val="62"/>
      </w:rPr>
    </w:pPr>
    <w:r>
      <w:fldChar w:fldCharType="begin"/>
    </w:r>
    <w:r>
      <w:rPr>
        <w:rStyle w:val="62"/>
      </w:rPr>
      <w:instrText xml:space="preserve">PAGE  </w:instrText>
    </w:r>
    <w:r>
      <w:fldChar w:fldCharType="separate"/>
    </w:r>
    <w:r>
      <w:rPr>
        <w:rStyle w:val="62"/>
      </w:rPr>
      <w:t>- 4 -</w:t>
    </w:r>
    <w:r>
      <w:fldChar w:fldCharType="end"/>
    </w:r>
  </w:p>
  <w:p>
    <w:pPr>
      <w:pStyle w:val="35"/>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5"/>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5"/>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rPr>
        <w:rStyle w:val="62"/>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18</w:t>
                    </w:r>
                    <w:r>
                      <w:fldChar w:fldCharType="end"/>
                    </w:r>
                  </w:p>
                </w:txbxContent>
              </v:textbox>
            </v:shape>
          </w:pict>
        </mc:Fallback>
      </mc:AlternateContent>
    </w:r>
  </w:p>
  <w:p>
    <w:pPr>
      <w:pStyle w:val="35"/>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single" w:color="auto" w:sz="4" w:space="0"/>
      </w:pBdr>
    </w:pPr>
    <w:r>
      <w:rPr>
        <w:rFonts w:hint="eastAsia"/>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3C101B"/>
    <w:multiLevelType w:val="singleLevel"/>
    <w:tmpl w:val="8B3C101B"/>
    <w:lvl w:ilvl="0" w:tentative="0">
      <w:start w:val="1"/>
      <w:numFmt w:val="decimal"/>
      <w:lvlText w:val="%1."/>
      <w:lvlJc w:val="left"/>
      <w:pPr>
        <w:tabs>
          <w:tab w:val="left" w:pos="312"/>
        </w:tabs>
      </w:pPr>
    </w:lvl>
  </w:abstractNum>
  <w:abstractNum w:abstractNumId="1">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4">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5">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6">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7">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10">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1">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2">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4">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9"/>
  </w:num>
  <w:num w:numId="2">
    <w:abstractNumId w:val="6"/>
  </w:num>
  <w:num w:numId="3">
    <w:abstractNumId w:val="4"/>
  </w:num>
  <w:num w:numId="4">
    <w:abstractNumId w:val="10"/>
  </w:num>
  <w:num w:numId="5">
    <w:abstractNumId w:val="13"/>
  </w:num>
  <w:num w:numId="6">
    <w:abstractNumId w:val="1"/>
  </w:num>
  <w:num w:numId="7">
    <w:abstractNumId w:val="7"/>
  </w:num>
  <w:num w:numId="8">
    <w:abstractNumId w:val="12"/>
  </w:num>
  <w:num w:numId="9">
    <w:abstractNumId w:val="2"/>
  </w:num>
  <w:num w:numId="10">
    <w:abstractNumId w:val="3"/>
  </w:num>
  <w:num w:numId="11">
    <w:abstractNumId w:val="8"/>
  </w:num>
  <w:num w:numId="12">
    <w:abstractNumId w:val="5"/>
  </w:num>
  <w:num w:numId="13">
    <w:abstractNumId w:val="11"/>
  </w:num>
  <w:num w:numId="14">
    <w:abstractNumId w:val="1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6C506B1"/>
    <w:rsid w:val="079B568B"/>
    <w:rsid w:val="07F103E0"/>
    <w:rsid w:val="092E6FC0"/>
    <w:rsid w:val="0BB87E47"/>
    <w:rsid w:val="0D1F249B"/>
    <w:rsid w:val="0D26388C"/>
    <w:rsid w:val="0D4A6E26"/>
    <w:rsid w:val="147A5E14"/>
    <w:rsid w:val="15935DB5"/>
    <w:rsid w:val="15BB3449"/>
    <w:rsid w:val="17324323"/>
    <w:rsid w:val="17A1211B"/>
    <w:rsid w:val="18ED7A84"/>
    <w:rsid w:val="19255AF5"/>
    <w:rsid w:val="1A7E6296"/>
    <w:rsid w:val="1F0D01CA"/>
    <w:rsid w:val="21864056"/>
    <w:rsid w:val="21D90168"/>
    <w:rsid w:val="222348FC"/>
    <w:rsid w:val="22F860AB"/>
    <w:rsid w:val="2486441F"/>
    <w:rsid w:val="2AA01F44"/>
    <w:rsid w:val="2C43216E"/>
    <w:rsid w:val="2DB02B6B"/>
    <w:rsid w:val="300C58E0"/>
    <w:rsid w:val="30607DAE"/>
    <w:rsid w:val="332D1E43"/>
    <w:rsid w:val="37556B60"/>
    <w:rsid w:val="38CD7FDC"/>
    <w:rsid w:val="3ACE5D4F"/>
    <w:rsid w:val="3C55524B"/>
    <w:rsid w:val="3CCE1388"/>
    <w:rsid w:val="3DF6488D"/>
    <w:rsid w:val="3F1C71CA"/>
    <w:rsid w:val="406334F2"/>
    <w:rsid w:val="409F14A1"/>
    <w:rsid w:val="415F6EA3"/>
    <w:rsid w:val="452C7897"/>
    <w:rsid w:val="46F8265F"/>
    <w:rsid w:val="47AE0174"/>
    <w:rsid w:val="494C6B8D"/>
    <w:rsid w:val="497B7CB3"/>
    <w:rsid w:val="4A8845CE"/>
    <w:rsid w:val="4B2D12E0"/>
    <w:rsid w:val="4BEB6B31"/>
    <w:rsid w:val="4D123176"/>
    <w:rsid w:val="4DD36371"/>
    <w:rsid w:val="4EEC1F3B"/>
    <w:rsid w:val="4F070047"/>
    <w:rsid w:val="4F3C244F"/>
    <w:rsid w:val="5115115D"/>
    <w:rsid w:val="521E4A24"/>
    <w:rsid w:val="52D92ACB"/>
    <w:rsid w:val="53B4776F"/>
    <w:rsid w:val="53DF1E3A"/>
    <w:rsid w:val="545B425C"/>
    <w:rsid w:val="558E730F"/>
    <w:rsid w:val="573C43EC"/>
    <w:rsid w:val="57857077"/>
    <w:rsid w:val="58EA1C45"/>
    <w:rsid w:val="5CA67F0E"/>
    <w:rsid w:val="5DAD4E7C"/>
    <w:rsid w:val="60CB5C8F"/>
    <w:rsid w:val="61333840"/>
    <w:rsid w:val="64DA4767"/>
    <w:rsid w:val="670A099E"/>
    <w:rsid w:val="67B55C71"/>
    <w:rsid w:val="68BD663A"/>
    <w:rsid w:val="692F74C0"/>
    <w:rsid w:val="696405DD"/>
    <w:rsid w:val="69BE2355"/>
    <w:rsid w:val="6B75107A"/>
    <w:rsid w:val="6FE969BF"/>
    <w:rsid w:val="701245F9"/>
    <w:rsid w:val="71175C34"/>
    <w:rsid w:val="74D70DF7"/>
    <w:rsid w:val="74D95A3F"/>
    <w:rsid w:val="750950F5"/>
    <w:rsid w:val="750D16CF"/>
    <w:rsid w:val="76795FCE"/>
    <w:rsid w:val="773622B4"/>
    <w:rsid w:val="789F3DA6"/>
    <w:rsid w:val="78A52377"/>
    <w:rsid w:val="79082185"/>
    <w:rsid w:val="7A6F77AB"/>
    <w:rsid w:val="7B5B7497"/>
    <w:rsid w:val="7BEF5F10"/>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39"/>
    <w:pPr>
      <w:ind w:left="840" w:leftChars="400"/>
    </w:pPr>
  </w:style>
  <w:style w:type="paragraph" w:styleId="30">
    <w:name w:val="Plain Text"/>
    <w:basedOn w:val="1"/>
    <w:link w:val="241"/>
    <w:qFormat/>
    <w:uiPriority w:val="0"/>
    <w:rPr>
      <w:rFonts w:ascii="宋体" w:hAnsi="Courier New"/>
      <w:sz w:val="21"/>
    </w:rPr>
  </w:style>
  <w:style w:type="paragraph" w:styleId="31">
    <w:name w:val="toc 8"/>
    <w:basedOn w:val="1"/>
    <w:next w:val="1"/>
    <w:qFormat/>
    <w:uiPriority w:val="0"/>
    <w:pPr>
      <w:ind w:left="2940" w:leftChars="1400"/>
    </w:pPr>
  </w:style>
  <w:style w:type="paragraph" w:styleId="32">
    <w:name w:val="Date"/>
    <w:basedOn w:val="1"/>
    <w:next w:val="1"/>
    <w:link w:val="75"/>
    <w:qFormat/>
    <w:uiPriority w:val="0"/>
  </w:style>
  <w:style w:type="paragraph" w:styleId="33">
    <w:name w:val="Body Text Indent 2"/>
    <w:basedOn w:val="1"/>
    <w:link w:val="76"/>
    <w:qFormat/>
    <w:uiPriority w:val="0"/>
    <w:pPr>
      <w:snapToGrid w:val="0"/>
      <w:spacing w:line="560" w:lineRule="atLeast"/>
      <w:ind w:firstLine="540"/>
    </w:pPr>
  </w:style>
  <w:style w:type="paragraph" w:styleId="34">
    <w:name w:val="Balloon Text"/>
    <w:basedOn w:val="1"/>
    <w:qFormat/>
    <w:uiPriority w:val="0"/>
    <w:rPr>
      <w:sz w:val="18"/>
    </w:rPr>
  </w:style>
  <w:style w:type="paragraph" w:styleId="35">
    <w:name w:val="footer"/>
    <w:basedOn w:val="1"/>
    <w:qFormat/>
    <w:uiPriority w:val="0"/>
    <w:pPr>
      <w:tabs>
        <w:tab w:val="center" w:pos="4153"/>
        <w:tab w:val="right" w:pos="8306"/>
      </w:tabs>
      <w:snapToGrid w:val="0"/>
      <w:jc w:val="left"/>
    </w:pPr>
    <w:rPr>
      <w:sz w:val="18"/>
    </w:rPr>
  </w:style>
  <w:style w:type="paragraph" w:styleId="36">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7">
    <w:name w:val="toc 1"/>
    <w:basedOn w:val="1"/>
    <w:next w:val="1"/>
    <w:qFormat/>
    <w:uiPriority w:val="0"/>
    <w:pPr>
      <w:spacing w:line="180" w:lineRule="auto"/>
      <w:jc w:val="center"/>
    </w:pPr>
    <w:rPr>
      <w:sz w:val="30"/>
    </w:rPr>
  </w:style>
  <w:style w:type="paragraph" w:styleId="38">
    <w:name w:val="List Continue 4"/>
    <w:basedOn w:val="1"/>
    <w:qFormat/>
    <w:uiPriority w:val="0"/>
    <w:pPr>
      <w:adjustRightInd w:val="0"/>
      <w:snapToGrid w:val="0"/>
      <w:spacing w:after="120" w:line="360" w:lineRule="auto"/>
      <w:ind w:left="1680" w:leftChars="800"/>
    </w:pPr>
    <w:rPr>
      <w:sz w:val="24"/>
    </w:rPr>
  </w:style>
  <w:style w:type="paragraph" w:styleId="39">
    <w:name w:val="toc 4"/>
    <w:basedOn w:val="1"/>
    <w:next w:val="1"/>
    <w:qFormat/>
    <w:uiPriority w:val="0"/>
    <w:pPr>
      <w:ind w:left="1260" w:leftChars="600"/>
    </w:pPr>
  </w:style>
  <w:style w:type="paragraph" w:styleId="40">
    <w:name w:val="Subtitle"/>
    <w:basedOn w:val="1"/>
    <w:qFormat/>
    <w:uiPriority w:val="0"/>
    <w:rPr>
      <w:rFonts w:ascii="Calibri" w:hAnsi="Calibri"/>
      <w:sz w:val="28"/>
      <w:szCs w:val="20"/>
    </w:r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1"/>
    <w:next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2"/>
    <w:qFormat/>
    <w:uiPriority w:val="0"/>
    <w:rPr>
      <w:kern w:val="2"/>
      <w:sz w:val="28"/>
    </w:rPr>
  </w:style>
  <w:style w:type="character" w:customStyle="1" w:styleId="76">
    <w:name w:val="正文文本缩进 2 字符1"/>
    <w:link w:val="33"/>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8"/>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0"/>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2"/>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0"/>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0"/>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1.pn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header" Target="header5.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header" Target="header4.xml"/><Relationship Id="rId13" Type="http://schemas.openxmlformats.org/officeDocument/2006/relationships/header" Target="header3.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30</Pages>
  <Words>2254</Words>
  <Characters>12851</Characters>
  <Lines>107</Lines>
  <Paragraphs>30</Paragraphs>
  <TotalTime>0</TotalTime>
  <ScaleCrop>false</ScaleCrop>
  <LinksUpToDate>false</LinksUpToDate>
  <CharactersWithSpaces>15075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2023-08-07T11:03:00Z</dcterms:created>
  <dc:creator>周媛媛</dc:creator>
  <cp:lastModifiedBy>Administrator</cp:lastModifiedBy>
  <cp:lastPrinted>2015-03-25T02:14:00Z</cp:lastPrinted>
  <dcterms:modified xsi:type="dcterms:W3CDTF">2024-12-09T01:20:20Z</dcterms:modified>
  <dc:title>竞争性谈判文件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BD97D1683496424F9BF54FEF6B7B6474</vt:lpwstr>
  </property>
</Properties>
</file>