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8"/>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9"/>
        <w:rPr>
          <w:rFonts w:hint="eastAsia" w:ascii="微软雅黑" w:hAnsi="微软雅黑" w:eastAsia="微软雅黑" w:cs="微软雅黑"/>
          <w:b w:val="0"/>
          <w:kern w:val="2"/>
          <w:sz w:val="44"/>
          <w:szCs w:val="44"/>
          <w:lang w:val="en-US" w:eastAsia="zh-CN" w:bidi="ar-SA"/>
        </w:rPr>
      </w:pPr>
    </w:p>
    <w:p>
      <w:pPr>
        <w:pStyle w:val="69"/>
        <w:rPr>
          <w:rFonts w:hint="eastAsia" w:ascii="微软雅黑" w:hAnsi="微软雅黑" w:eastAsia="微软雅黑" w:cs="微软雅黑"/>
          <w:b w:val="0"/>
          <w:kern w:val="2"/>
          <w:sz w:val="44"/>
          <w:szCs w:val="44"/>
          <w:lang w:val="en-US" w:eastAsia="zh-CN" w:bidi="ar-SA"/>
        </w:rPr>
      </w:pPr>
    </w:p>
    <w:p>
      <w:pPr>
        <w:spacing w:line="360" w:lineRule="auto"/>
        <w:ind w:firstLine="2160" w:firstLineChars="6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YSB240555</w:t>
      </w:r>
    </w:p>
    <w:p>
      <w:pPr>
        <w:spacing w:line="360" w:lineRule="auto"/>
        <w:ind w:firstLine="2160" w:firstLineChars="600"/>
        <w:outlineLvl w:val="0"/>
        <w:rPr>
          <w:rFonts w:hint="eastAsia" w:ascii="微软雅黑" w:hAnsi="微软雅黑" w:eastAsia="微软雅黑" w:cs="微软雅黑"/>
          <w:sz w:val="36"/>
          <w:szCs w:val="36"/>
          <w:lang w:val="en-US"/>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便携式彩色多普勒超声诊断系统</w:t>
      </w:r>
    </w:p>
    <w:p>
      <w:pPr>
        <w:spacing w:line="700" w:lineRule="exact"/>
        <w:jc w:val="both"/>
        <w:rPr>
          <w:rFonts w:hint="eastAsia" w:ascii="微软雅黑" w:hAnsi="微软雅黑" w:eastAsia="微软雅黑" w:cs="微软雅黑"/>
          <w:b/>
          <w:sz w:val="36"/>
          <w:szCs w:val="36"/>
        </w:rPr>
      </w:pPr>
    </w:p>
    <w:p>
      <w:pPr>
        <w:spacing w:line="500" w:lineRule="exact"/>
        <w:jc w:val="both"/>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2024</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10</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_Toc20334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_Toc17931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_Toc17931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_Toc9172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_Toc9172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_Toc30838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_Toc30197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_Toc6059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_Toc6059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_Toc27623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_Toc27623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_Toc11084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三、报价方式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_Toc11084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_Toc12737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_Toc12737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_Toc3878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_Toc3878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_Toc22602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_Toc12174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_Toc4193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_Toc18726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_Toc9725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_Toc9725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_Toc7987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_Toc7987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_Toc21717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_Toc21717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_Toc7890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_Toc21535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_Toc21535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_Toc16028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_Toc16028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_Toc21348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2789052"/>
      <w:bookmarkStart w:id="1" w:name="_Toc106030870"/>
      <w:bookmarkStart w:id="2" w:name="_Toc24037"/>
      <w:bookmarkStart w:id="3" w:name="_Toc76462316"/>
      <w:bookmarkStart w:id="4" w:name="_Toc5653"/>
      <w:bookmarkStart w:id="5" w:name="_Toc11641050"/>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便携式彩色多普勒超声诊断系统</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76462317"/>
      <w:bookmarkStart w:id="7" w:name="_Toc313893526"/>
      <w:bookmarkStart w:id="8" w:name="_Toc106030871"/>
      <w:bookmarkStart w:id="9" w:name="_Toc1832"/>
      <w:bookmarkStart w:id="10" w:name="_Toc317775175"/>
      <w:bookmarkStart w:id="11" w:name="_Toc385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4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9"/>
        <w:gridCol w:w="2125"/>
        <w:gridCol w:w="1920"/>
        <w:gridCol w:w="1135"/>
        <w:gridCol w:w="1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4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25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133"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1"/>
                <w:szCs w:val="24"/>
              </w:rPr>
              <w:t>最高限价</w:t>
            </w:r>
            <w:r>
              <w:rPr>
                <w:rFonts w:hint="eastAsia" w:ascii="微软雅黑" w:hAnsi="微软雅黑" w:eastAsia="微软雅黑" w:cs="微软雅黑"/>
                <w:b/>
                <w:bCs/>
                <w:kern w:val="0"/>
                <w:sz w:val="21"/>
                <w:szCs w:val="24"/>
                <w:lang w:eastAsia="zh-CN"/>
              </w:rPr>
              <w:t>（</w:t>
            </w:r>
            <w:r>
              <w:rPr>
                <w:rFonts w:hint="eastAsia" w:ascii="微软雅黑" w:hAnsi="微软雅黑" w:eastAsia="微软雅黑" w:cs="微软雅黑"/>
                <w:b/>
                <w:bCs/>
                <w:kern w:val="0"/>
                <w:sz w:val="21"/>
                <w:szCs w:val="24"/>
                <w:lang w:val="en-US" w:eastAsia="zh-CN"/>
              </w:rPr>
              <w:t>万元</w:t>
            </w:r>
            <w:r>
              <w:rPr>
                <w:rFonts w:hint="eastAsia" w:ascii="微软雅黑" w:hAnsi="微软雅黑" w:eastAsia="微软雅黑" w:cs="微软雅黑"/>
                <w:b/>
                <w:bCs/>
                <w:kern w:val="0"/>
                <w:sz w:val="21"/>
                <w:szCs w:val="24"/>
                <w:lang w:eastAsia="zh-CN"/>
              </w:rPr>
              <w:t>）</w:t>
            </w:r>
          </w:p>
        </w:tc>
        <w:tc>
          <w:tcPr>
            <w:tcW w:w="669"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99"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成交供应商</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4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lang w:val="en-US" w:eastAsia="zh-CN"/>
              </w:rPr>
              <w:t>YSB240555</w:t>
            </w:r>
          </w:p>
        </w:tc>
        <w:tc>
          <w:tcPr>
            <w:tcW w:w="125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便携式彩色多普勒超声诊断系统</w:t>
            </w:r>
          </w:p>
        </w:tc>
        <w:tc>
          <w:tcPr>
            <w:tcW w:w="113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36.5</w:t>
            </w:r>
          </w:p>
        </w:tc>
        <w:tc>
          <w:tcPr>
            <w:tcW w:w="66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1099"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0334"/>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76462320"/>
      <w:bookmarkStart w:id="23" w:name="_Toc106030874"/>
    </w:p>
    <w:p>
      <w:pPr>
        <w:snapToGrid w:val="0"/>
        <w:spacing w:line="400" w:lineRule="exact"/>
        <w:ind w:firstLine="480" w:firstLineChars="200"/>
        <w:rPr>
          <w:rFonts w:hint="eastAsia" w:ascii="微软雅黑" w:hAnsi="微软雅黑" w:eastAsia="微软雅黑" w:cs="微软雅黑"/>
          <w:sz w:val="24"/>
          <w:szCs w:val="24"/>
          <w:lang w:eastAsia="zh-CN"/>
        </w:rPr>
      </w:pPr>
      <w:bookmarkStart w:id="24" w:name="_Toc17931"/>
      <w:r>
        <w:rPr>
          <w:rFonts w:hint="eastAsia" w:ascii="微软雅黑" w:hAnsi="微软雅黑" w:eastAsia="微软雅黑" w:cs="微软雅黑"/>
          <w:sz w:val="24"/>
          <w:szCs w:val="24"/>
          <w:lang w:val="en-US" w:eastAsia="zh-CN"/>
        </w:rPr>
        <w:t>1.</w:t>
      </w:r>
      <w:r>
        <w:rPr>
          <w:rFonts w:hint="default" w:ascii="微软雅黑" w:hAnsi="微软雅黑" w:eastAsia="微软雅黑" w:cs="微软雅黑"/>
          <w:sz w:val="24"/>
          <w:szCs w:val="24"/>
        </w:rPr>
        <w:t>投标人为所投标产品制造商或经销商</w:t>
      </w:r>
      <w:r>
        <w:rPr>
          <w:rFonts w:hint="eastAsia" w:ascii="微软雅黑" w:hAnsi="微软雅黑" w:eastAsia="微软雅黑" w:cs="微软雅黑"/>
          <w:sz w:val="24"/>
          <w:szCs w:val="24"/>
          <w:lang w:eastAsia="zh-CN"/>
        </w:rPr>
        <w:t>。</w:t>
      </w:r>
      <w:r>
        <w:rPr>
          <w:rFonts w:hint="default" w:ascii="微软雅黑" w:hAnsi="微软雅黑" w:eastAsia="微软雅黑" w:cs="微软雅黑"/>
          <w:sz w:val="24"/>
          <w:szCs w:val="24"/>
        </w:rPr>
        <w:t>若为经销商投标，须具备投标产品制造商或制造商中国境内代表机构认可的经销资格</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2.投标人医疗器械经营许可证；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4.所投产品属三类医疗器械的，须具备有效期内《医疗器械经营企业许可证》或《医疗器械经营许可证》及产品注册证；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5.所提供产品属二类医疗器械的，须具备有效期内《医疗器械经营企业许可证》或《第二类医疗器械经营备案凭证》及产品注册证；</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6.须具有所提供产品《第一类医疗器械备案凭证》及《第一类医疗器械备案信息表》及产品备案。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19987"/>
      <w:bookmarkStart w:id="27" w:name="_Toc12841"/>
      <w:bookmarkStart w:id="28" w:name="_Toc6178"/>
      <w:bookmarkStart w:id="29" w:name="_Toc525047161"/>
      <w:bookmarkStart w:id="30" w:name="_Toc521053053"/>
      <w:bookmarkStart w:id="31" w:name="_Toc106034625"/>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工作日</w:t>
      </w:r>
      <w:r>
        <w:rPr>
          <w:rFonts w:hint="eastAsia" w:ascii="微软雅黑" w:hAnsi="微软雅黑" w:eastAsia="微软雅黑" w:cs="微软雅黑"/>
          <w:sz w:val="24"/>
          <w:szCs w:val="24"/>
        </w:rPr>
        <w:t>内退还至项目报名时所</w:t>
      </w:r>
      <w:r>
        <w:rPr>
          <w:rFonts w:hint="eastAsia" w:ascii="微软雅黑" w:hAnsi="微软雅黑" w:eastAsia="微软雅黑" w:cs="微软雅黑"/>
          <w:color w:val="auto"/>
          <w:sz w:val="24"/>
          <w:szCs w:val="24"/>
        </w:rPr>
        <w:t>填写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rPr>
        <w:t>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的保证金，将在与我院完成签订本项目合同并提交招标办公室（将合同扫描文件发送至zbb63632469@qq.com）之后</w:t>
      </w:r>
      <w:r>
        <w:rPr>
          <w:rFonts w:hint="eastAsia" w:ascii="微软雅黑" w:hAnsi="微软雅黑" w:eastAsia="微软雅黑" w:cs="微软雅黑"/>
          <w:sz w:val="24"/>
          <w:szCs w:val="24"/>
          <w:lang w:val="en-US" w:eastAsia="zh-CN"/>
        </w:rPr>
        <w:t>45个工作日内</w:t>
      </w:r>
      <w:r>
        <w:rPr>
          <w:rFonts w:hint="eastAsia" w:ascii="微软雅黑" w:hAnsi="微软雅黑" w:eastAsia="微软雅黑" w:cs="微软雅黑"/>
          <w:sz w:val="24"/>
          <w:szCs w:val="24"/>
        </w:rPr>
        <w:t>，无息退还至项目报名时所填写的投标单位对公账户。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525047162"/>
      <w:bookmarkStart w:id="35" w:name="_Toc521053054"/>
      <w:bookmarkStart w:id="36" w:name="_Toc65660335"/>
      <w:bookmarkStart w:id="37" w:name="_Toc106034626"/>
      <w:bookmarkStart w:id="38" w:name="_Toc2945"/>
      <w:bookmarkStart w:id="39" w:name="_Toc9172"/>
      <w:bookmarkStart w:id="40" w:name="_Toc1546"/>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521053055"/>
      <w:bookmarkStart w:id="42" w:name="_Toc65660336"/>
      <w:bookmarkStart w:id="43" w:name="_Toc525047163"/>
      <w:bookmarkStart w:id="44" w:name="_Toc6563"/>
      <w:bookmarkStart w:id="45" w:name="_Toc16269"/>
      <w:bookmarkStart w:id="46" w:name="_Toc106034627"/>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（一）重庆医科大学附属儿童医院招标办公室所作出的一切书面通知、修改、补充说明、答疑等内容，都是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送达重庆医科大学附属儿童医院招标办公室，否则即视为完全放弃对本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文件的质疑权利。如招标人认为上述质疑有回复必要，将以书面形式将回复内容通知所有投标方。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106034628"/>
      <w:bookmarkStart w:id="49" w:name="_Toc10415"/>
      <w:bookmarkStart w:id="50" w:name="_Toc521053056"/>
      <w:bookmarkStart w:id="51" w:name="_Toc525047164"/>
      <w:bookmarkStart w:id="52" w:name="_Toc1211"/>
      <w:bookmarkStart w:id="53" w:name="_Toc24901"/>
      <w:bookmarkStart w:id="54" w:name="_Toc1733"/>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联系人：招标办周老师</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6" w:name="_Toc1492"/>
      <w:bookmarkStart w:id="57" w:name="_Toc75793504"/>
      <w:bookmarkStart w:id="58" w:name="_Toc2070"/>
      <w:bookmarkStart w:id="59" w:name="_Toc2422"/>
      <w:bookmarkStart w:id="60" w:name="_Toc5461"/>
      <w:bookmarkStart w:id="61" w:name="_Toc11017"/>
      <w:bookmarkStart w:id="62" w:name="_Toc12959"/>
      <w:bookmarkStart w:id="63" w:name="_Toc725"/>
      <w:bookmarkStart w:id="64" w:name="_Toc23143"/>
      <w:bookmarkStart w:id="65" w:name="_Toc8649"/>
      <w:bookmarkStart w:id="66" w:name="_Toc32686"/>
      <w:bookmarkStart w:id="67" w:name="_Toc26176"/>
      <w:bookmarkStart w:id="68" w:name="_Toc1625"/>
      <w:bookmarkStart w:id="69" w:name="_Toc25639"/>
      <w:bookmarkStart w:id="70" w:name="_Toc19886"/>
      <w:bookmarkStart w:id="71" w:name="_Toc30838"/>
      <w:bookmarkStart w:id="72" w:name="_Toc106030380"/>
      <w:r>
        <w:rPr>
          <w:rFonts w:hint="eastAsia" w:ascii="微软雅黑" w:hAnsi="微软雅黑" w:eastAsia="微软雅黑" w:cs="微软雅黑"/>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kern w:val="2"/>
          <w:sz w:val="44"/>
          <w:szCs w:val="20"/>
          <w:lang w:val="en-US" w:eastAsia="zh-CN" w:bidi="ar-SA"/>
        </w:rPr>
        <w:t>项目技术（质量）需求</w:t>
      </w:r>
      <w:bookmarkEnd w:id="71"/>
      <w:bookmarkEnd w:id="72"/>
    </w:p>
    <w:p>
      <w:pPr>
        <w:ind w:firstLine="480" w:firstLineChars="200"/>
        <w:rPr>
          <w:rFonts w:hint="eastAsia" w:ascii="微软雅黑" w:hAnsi="微软雅黑" w:eastAsia="微软雅黑" w:cs="微软雅黑"/>
          <w:b/>
          <w:bCs/>
          <w:sz w:val="24"/>
          <w:szCs w:val="24"/>
          <w:lang w:val="en-US" w:eastAsia="zh-CN"/>
        </w:rPr>
      </w:pPr>
      <w:bookmarkStart w:id="73" w:name="_Toc4519"/>
      <w:bookmarkStart w:id="74" w:name="_Toc7027"/>
      <w:bookmarkStart w:id="75" w:name="_Toc11703"/>
      <w:bookmarkStart w:id="76" w:name="_Toc29985"/>
      <w:bookmarkStart w:id="77" w:name="_Toc8370"/>
      <w:bookmarkStart w:id="78" w:name="_Toc75793505"/>
      <w:bookmarkStart w:id="79" w:name="_Toc4913"/>
      <w:bookmarkStart w:id="80" w:name="_Toc22910"/>
      <w:bookmarkStart w:id="81" w:name="_Toc20979"/>
      <w:bookmarkStart w:id="82" w:name="_Toc23504"/>
      <w:bookmarkStart w:id="83" w:name="_Toc23656"/>
      <w:bookmarkStart w:id="84" w:name="_Toc19238"/>
      <w:bookmarkStart w:id="85" w:name="_Toc9261"/>
      <w:bookmarkStart w:id="86" w:name="_Toc4531"/>
      <w:bookmarkStart w:id="87" w:name="_Toc106030381"/>
      <w:r>
        <w:rPr>
          <w:rFonts w:hint="eastAsia" w:ascii="微软雅黑" w:hAnsi="微软雅黑" w:eastAsia="微软雅黑" w:cs="微软雅黑"/>
          <w:b/>
          <w:bCs/>
          <w:sz w:val="24"/>
          <w:szCs w:val="24"/>
          <w:lang w:val="en-US" w:eastAsia="zh-CN"/>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37"/>
        <w:gridCol w:w="1662"/>
        <w:gridCol w:w="27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3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66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数量/单位</w:t>
            </w:r>
          </w:p>
        </w:tc>
        <w:tc>
          <w:tcPr>
            <w:tcW w:w="27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p>
        </w:tc>
        <w:tc>
          <w:tcPr>
            <w:tcW w:w="363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便携式彩色多普勒超声诊断系统</w:t>
            </w:r>
          </w:p>
        </w:tc>
        <w:tc>
          <w:tcPr>
            <w:tcW w:w="166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1台</w:t>
            </w:r>
          </w:p>
        </w:tc>
        <w:tc>
          <w:tcPr>
            <w:tcW w:w="27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lang w:val="en-US" w:eastAsia="zh-CN"/>
        </w:rPr>
      </w:pPr>
      <w:bookmarkStart w:id="88" w:name="_Toc28205"/>
      <w:bookmarkStart w:id="89" w:name="_Toc26453"/>
      <w:bookmarkStart w:id="90" w:name="_Toc695"/>
      <w:bookmarkStart w:id="91" w:name="_Toc18800"/>
      <w:bookmarkStart w:id="92" w:name="_Toc12568"/>
      <w:bookmarkStart w:id="93" w:name="_Toc27067"/>
      <w:bookmarkStart w:id="94" w:name="_Toc18903"/>
      <w:bookmarkStart w:id="95" w:name="_Toc10143"/>
      <w:bookmarkStart w:id="96" w:name="_Toc23975"/>
      <w:bookmarkStart w:id="97" w:name="_Toc75793506"/>
      <w:bookmarkStart w:id="98" w:name="_Toc21817"/>
      <w:bookmarkStart w:id="99" w:name="_Toc7792"/>
      <w:bookmarkStart w:id="100" w:name="_Toc106030382"/>
      <w:bookmarkStart w:id="101" w:name="_Toc32262"/>
      <w:bookmarkStart w:id="102" w:name="_Toc5751"/>
      <w:bookmarkStart w:id="103" w:name="_Toc15696"/>
      <w:r>
        <w:rPr>
          <w:rFonts w:hint="eastAsia" w:ascii="微软雅黑" w:hAnsi="微软雅黑" w:eastAsia="微软雅黑" w:cs="微软雅黑"/>
          <w:b/>
          <w:bCs/>
          <w:sz w:val="24"/>
          <w:szCs w:val="24"/>
          <w:lang w:val="en-US" w:eastAsia="zh-CN"/>
        </w:rPr>
        <w:t>二、项目技术需求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1.≥15.3”超薄宽屏高分辨率彩色液晶显示器；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2.便携式主机（非台式），主机内置探头接口≥2个，大小一致，全激活，互通互用；</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3.具有组织特异性成像，能够独立选择实质、普通、脂肪、液性成像模式；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4.斑点抑制成像，多级可调、支持线阵（梯形）、凸阵，支持二维、彩色多普勒模式；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5.彩色多普勒成像（包括速度、速度方差、能量、方向能量显示等）；</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6.频谱多普勒成像：脉冲多普勒、高脉冲重复频率、连续波多普勒；</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7.空间复合成像，≥4级可调，最高可支持</w:t>
      </w:r>
      <w:bookmarkStart w:id="229" w:name="_GoBack"/>
      <w:bookmarkEnd w:id="229"/>
      <w:r>
        <w:rPr>
          <w:rFonts w:hint="eastAsia" w:ascii="微软雅黑" w:hAnsi="微软雅黑" w:eastAsia="微软雅黑" w:cs="微软雅黑"/>
          <w:sz w:val="24"/>
          <w:szCs w:val="24"/>
          <w:lang w:val="en-US" w:eastAsia="zh-CN"/>
        </w:rPr>
        <w:t>9线空间复合；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8.解剖M型成像，≥3线，360°可调；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9.一键自动优化，支持二维、M模式、彩色多普勒、能量多普勒、方向能量多普勒及频谱多普勒成像模式；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10.支持一键全屏放大，图像放大功能，支持前端放大、后端放大；</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11.支持穿刺引导功能</w:t>
      </w:r>
      <w:bookmarkStart w:id="104" w:name="OLE_LINK15"/>
      <w:bookmarkStart w:id="105" w:name="OLE_LINK17"/>
      <w:bookmarkStart w:id="106" w:name="OLE_LINK16"/>
      <w:r>
        <w:rPr>
          <w:rFonts w:hint="eastAsia" w:ascii="微软雅黑" w:hAnsi="微软雅黑" w:eastAsia="微软雅黑" w:cs="微软雅黑"/>
          <w:sz w:val="24"/>
          <w:szCs w:val="24"/>
          <w:lang w:val="en-US" w:eastAsia="zh-CN"/>
        </w:rPr>
        <w:t>，</w:t>
      </w:r>
      <w:bookmarkEnd w:id="104"/>
      <w:bookmarkEnd w:id="105"/>
      <w:bookmarkEnd w:id="106"/>
      <w:r>
        <w:rPr>
          <w:rFonts w:hint="eastAsia" w:ascii="微软雅黑" w:hAnsi="微软雅黑" w:eastAsia="微软雅黑" w:cs="微软雅黑"/>
          <w:sz w:val="24"/>
          <w:szCs w:val="24"/>
          <w:lang w:val="en-US" w:eastAsia="zh-CN"/>
        </w:rPr>
        <w:t>具备单线引导和双线引导以及中位线引导，具备点状引导线，标识进针深度；</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12.图形化预设置：针对不同的检查脏器，预置最佳图像检查条件，并以脏器图标直观显示；</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13.多语言操作界面：支持中文键盘输入；</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14.二维增益调节范围≥250dB，动态范围≥300 dB，可视可调；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15.物理滑动TGC分段调节≥8段，具有TGC曲线显示；</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16.侧向增益补偿LCG≥8段，具有LGC曲线显示；</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17.声功率1–100%，可视可调；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18.频谱多谱勒取样宽度及位置范围：宽度 0.5–24mm；</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19.频谱实时包络功能，在实时诊断下，频谱实时包络并显示血流参数；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20.B/D兼用：线阵：B/PW，凸阵：B/PW，扇扫：B/PW、B/CW</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21.超宽频变频探头：基波≥5种，谐波≥5种，彩色多普勒≥3种，PW≥3种，可视可调；</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22.支持探头类型：支持凸阵、线阵、相控阵、微凸阵、腔内等探头；</w:t>
      </w:r>
    </w:p>
    <w:p>
      <w:pPr>
        <w:snapToGrid w:val="0"/>
        <w:spacing w:line="400" w:lineRule="exact"/>
        <w:ind w:firstLine="480" w:firstLineChars="200"/>
        <w:rPr>
          <w:rFonts w:hint="eastAsia" w:ascii="微软雅黑" w:hAnsi="微软雅黑" w:eastAsia="微软雅黑" w:cs="微软雅黑"/>
          <w:sz w:val="24"/>
          <w:szCs w:val="24"/>
          <w:lang w:eastAsia="zh-CN"/>
        </w:rPr>
        <w:sectPr>
          <w:footerReference r:id="rId8" w:type="default"/>
          <w:footerReference r:id="rId9" w:type="even"/>
          <w:pgSz w:w="11907" w:h="16840"/>
          <w:pgMar w:top="1134" w:right="1077" w:bottom="1134" w:left="1191" w:header="964" w:footer="992" w:gutter="0"/>
          <w:pgNumType w:fmt="numberInDash"/>
          <w:cols w:space="720" w:num="1"/>
          <w:docGrid w:linePitch="381" w:charSpace="0"/>
        </w:sectPr>
      </w:pPr>
      <w:r>
        <w:rPr>
          <w:rFonts w:hint="eastAsia" w:ascii="微软雅黑" w:hAnsi="微软雅黑" w:eastAsia="微软雅黑" w:cs="微软雅黑"/>
          <w:sz w:val="24"/>
          <w:szCs w:val="24"/>
          <w:lang w:val="en-US" w:eastAsia="zh-CN"/>
        </w:rPr>
        <w:t>23.配置腹部凸阵探头1把，探头频率：1.0-7.0MHz；配置浅表线阵探头1把，探头频率：4.0-16.0MHz。</w:t>
      </w:r>
    </w:p>
    <w:p>
      <w:pPr>
        <w:pStyle w:val="4"/>
        <w:spacing w:before="200" w:after="200" w:line="240" w:lineRule="auto"/>
        <w:jc w:val="center"/>
        <w:rPr>
          <w:rFonts w:hint="eastAsia" w:ascii="微软雅黑" w:hAnsi="微软雅黑" w:eastAsia="微软雅黑" w:cs="微软雅黑"/>
          <w:b/>
          <w:sz w:val="44"/>
          <w:szCs w:val="20"/>
        </w:rPr>
      </w:pPr>
      <w:bookmarkStart w:id="107" w:name="_Toc7791"/>
      <w:bookmarkStart w:id="108" w:name="_Toc76462327"/>
      <w:bookmarkStart w:id="109" w:name="_Toc25377"/>
      <w:bookmarkStart w:id="110" w:name="_Toc106030882"/>
      <w:r>
        <w:rPr>
          <w:rFonts w:hint="eastAsia" w:ascii="微软雅黑" w:hAnsi="微软雅黑" w:eastAsia="微软雅黑" w:cs="微软雅黑"/>
          <w:b/>
          <w:sz w:val="44"/>
          <w:szCs w:val="20"/>
        </w:rPr>
        <w:t xml:space="preserve">第三篇  </w:t>
      </w:r>
      <w:bookmarkEnd w:id="55"/>
      <w:r>
        <w:rPr>
          <w:rFonts w:hint="eastAsia" w:ascii="微软雅黑" w:hAnsi="微软雅黑" w:eastAsia="微软雅黑" w:cs="微软雅黑"/>
          <w:b/>
          <w:sz w:val="44"/>
          <w:szCs w:val="20"/>
        </w:rPr>
        <w:t>项目商务需求</w:t>
      </w:r>
      <w:bookmarkEnd w:id="107"/>
      <w:bookmarkEnd w:id="108"/>
      <w:bookmarkEnd w:id="109"/>
      <w:bookmarkEnd w:id="110"/>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交货时间：中标通知书发出后30个日历日交货并完成验收。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交货地点：重庆医科大学附属儿童医院</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b w:val="0"/>
                <w:bCs w:val="0"/>
                <w:color w:val="auto"/>
                <w:kern w:val="2"/>
                <w:sz w:val="24"/>
                <w:szCs w:val="24"/>
                <w:lang w:val="en-US" w:eastAsia="zh-CN" w:bidi="ar-SA"/>
              </w:rPr>
              <w:t>验收方式：科室及维修科现场验收，投标人所提供的设备须为全新的非试制品，且生产日期需在验收之日前一年内。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1.质保期不低于三年；</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机器故障应2h内故障响应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12 h内到达现场解决故障；</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提供维修技术资料；</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维修工程师免费上门安装、培训；</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有西南地区本地化服务机构和服务人员证明并且能够提供证明材料（公司的营业证等复印件加盖公章）。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1.本项目可在现场进行二次报价。</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2.该项目</w:t>
            </w:r>
            <w:r>
              <w:rPr>
                <w:rFonts w:hint="eastAsia" w:ascii="微软雅黑" w:hAnsi="微软雅黑" w:eastAsia="微软雅黑" w:cs="微软雅黑"/>
                <w:sz w:val="24"/>
                <w:szCs w:val="24"/>
              </w:rPr>
              <w:t>报价</w:t>
            </w:r>
            <w:r>
              <w:rPr>
                <w:rFonts w:hint="eastAsia" w:ascii="微软雅黑" w:hAnsi="微软雅黑" w:eastAsia="微软雅黑" w:cs="微软雅黑"/>
                <w:sz w:val="24"/>
                <w:szCs w:val="24"/>
                <w:lang w:val="en-US" w:eastAsia="zh-CN"/>
              </w:rPr>
              <w:t>为总价包干报价，报价应</w:t>
            </w:r>
            <w:r>
              <w:rPr>
                <w:rFonts w:hint="eastAsia" w:ascii="微软雅黑" w:hAnsi="微软雅黑" w:eastAsia="微软雅黑" w:cs="微软雅黑"/>
                <w:sz w:val="24"/>
                <w:szCs w:val="24"/>
              </w:rPr>
              <w:t>包括完成</w:t>
            </w:r>
            <w:r>
              <w:rPr>
                <w:rFonts w:hint="eastAsia" w:ascii="微软雅黑" w:hAnsi="微软雅黑" w:eastAsia="微软雅黑" w:cs="微软雅黑"/>
                <w:sz w:val="24"/>
                <w:szCs w:val="24"/>
                <w:lang w:val="en-US" w:eastAsia="zh-CN"/>
              </w:rPr>
              <w:t>货物、运输、安装验收及其他</w:t>
            </w:r>
            <w:r>
              <w:rPr>
                <w:rFonts w:hint="eastAsia" w:ascii="微软雅黑" w:hAnsi="微软雅黑" w:eastAsia="微软雅黑" w:cs="微软雅黑"/>
                <w:sz w:val="24"/>
                <w:szCs w:val="24"/>
              </w:rPr>
              <w:t>本项目所需</w:t>
            </w:r>
            <w:r>
              <w:rPr>
                <w:rFonts w:hint="eastAsia" w:ascii="微软雅黑" w:hAnsi="微软雅黑" w:eastAsia="微软雅黑" w:cs="微软雅黑"/>
                <w:sz w:val="24"/>
                <w:szCs w:val="24"/>
                <w:lang w:val="en-US" w:eastAsia="zh-CN"/>
              </w:rPr>
              <w:t>的所有费用</w:t>
            </w:r>
            <w:r>
              <w:rPr>
                <w:rFonts w:hint="eastAsia" w:ascii="微软雅黑" w:hAnsi="微软雅黑" w:eastAsia="微软雅黑" w:cs="微软雅黑"/>
                <w:sz w:val="24"/>
                <w:szCs w:val="24"/>
              </w:rPr>
              <w:t>及各种应纳的税费。因</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微软雅黑" w:hAnsi="微软雅黑" w:eastAsia="微软雅黑" w:cs="微软雅黑"/>
                <w:szCs w:val="20"/>
                <w:lang w:val="en-US" w:eastAsia="zh-CN"/>
              </w:rPr>
            </w:pPr>
            <w:r>
              <w:rPr>
                <w:rFonts w:hint="eastAsia" w:ascii="微软雅黑" w:hAnsi="微软雅黑" w:eastAsia="微软雅黑" w:cs="微软雅黑"/>
                <w:sz w:val="24"/>
                <w:szCs w:val="24"/>
                <w:lang w:val="en-US" w:eastAsia="zh-CN"/>
              </w:rPr>
              <w:t>合同完成签订且验收合格后，</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向采购人开具发票，采购人</w:t>
            </w:r>
            <w:r>
              <w:rPr>
                <w:rFonts w:hint="eastAsia" w:ascii="微软雅黑" w:hAnsi="微软雅黑" w:eastAsia="微软雅黑" w:cs="微软雅黑"/>
                <w:sz w:val="24"/>
                <w:szCs w:val="24"/>
                <w:lang w:val="en-US" w:eastAsia="zh-CN"/>
              </w:rPr>
              <w:t>收到发票后2个月内</w:t>
            </w:r>
            <w:r>
              <w:rPr>
                <w:rFonts w:hint="eastAsia" w:ascii="微软雅黑" w:hAnsi="微软雅黑" w:eastAsia="微软雅黑" w:cs="微软雅黑"/>
                <w:sz w:val="24"/>
                <w:szCs w:val="24"/>
              </w:rPr>
              <w:t>以转账方式向</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支付</w:t>
            </w:r>
            <w:r>
              <w:rPr>
                <w:rFonts w:hint="eastAsia" w:ascii="微软雅黑" w:hAnsi="微软雅黑" w:eastAsia="微软雅黑" w:cs="微软雅黑"/>
                <w:sz w:val="24"/>
                <w:szCs w:val="24"/>
                <w:lang w:val="en-US" w:eastAsia="zh-CN"/>
              </w:rPr>
              <w:t>合同金额</w:t>
            </w:r>
            <w:r>
              <w:rPr>
                <w:rFonts w:hint="eastAsia" w:ascii="微软雅黑" w:hAnsi="微软雅黑" w:eastAsia="微软雅黑" w:cs="微软雅黑"/>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color w:val="auto"/>
                <w:sz w:val="24"/>
                <w:szCs w:val="24"/>
              </w:rPr>
              <w:t>采购人在中华人民共和国境内使用</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提供的货物及服务时免受第三方提出的侵犯其专利权或其它知识产权的起诉。如果第三方提出侵权指控，</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应承担由此而引起的一切法律责任和</w:t>
            </w:r>
            <w:r>
              <w:rPr>
                <w:rFonts w:hint="eastAsia" w:ascii="微软雅黑" w:hAnsi="微软雅黑" w:eastAsia="微软雅黑" w:cs="微软雅黑"/>
                <w:color w:val="auto"/>
                <w:sz w:val="24"/>
                <w:szCs w:val="24"/>
                <w:lang w:val="en-US" w:eastAsia="zh-CN"/>
              </w:rPr>
              <w:t>经济责任</w:t>
            </w:r>
            <w:r>
              <w:rPr>
                <w:rFonts w:hint="eastAsia" w:ascii="微软雅黑" w:hAnsi="微软雅黑" w:eastAsia="微软雅黑" w:cs="微软雅黑"/>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须提供对设备的操作培训，使相关使用人员能够正常</w:t>
            </w:r>
            <w:r>
              <w:rPr>
                <w:rFonts w:hint="eastAsia" w:ascii="微软雅黑" w:hAnsi="微软雅黑" w:eastAsia="微软雅黑" w:cs="微软雅黑"/>
                <w:color w:val="auto"/>
                <w:sz w:val="24"/>
                <w:szCs w:val="24"/>
                <w:lang w:val="en-US" w:eastAsia="zh-CN"/>
              </w:rPr>
              <w:t>熟练</w:t>
            </w:r>
            <w:r>
              <w:rPr>
                <w:rFonts w:hint="eastAsia" w:ascii="微软雅黑" w:hAnsi="微软雅黑" w:eastAsia="微软雅黑" w:cs="微软雅黑"/>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必须在响应文件中对以上条款和服务承诺明确列出，承诺内容必须达到本篇及</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文件其他条款的要求。</w:t>
            </w:r>
          </w:p>
          <w:p>
            <w:pPr>
              <w:keepNext w:val="0"/>
              <w:keepLines w:val="0"/>
              <w:suppressLineNumbers w:val="0"/>
              <w:spacing w:before="0" w:beforeAutospacing="0" w:after="0" w:afterAutospacing="0"/>
              <w:ind w:left="0" w:right="0"/>
              <w:rPr>
                <w:rFonts w:hint="eastAsia" w:ascii="微软雅黑" w:hAnsi="微软雅黑" w:eastAsia="微软雅黑" w:cs="微软雅黑"/>
                <w:b w:val="0"/>
                <w:bCs w:val="0"/>
                <w:color w:val="auto"/>
                <w:kern w:val="2"/>
                <w:sz w:val="24"/>
                <w:szCs w:val="24"/>
                <w:lang w:val="en-US" w:eastAsia="zh-CN" w:bidi="ar-SA"/>
              </w:rPr>
            </w:pP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其他未尽事宜由供需双方在采购合同中详细约定。</w:t>
            </w:r>
          </w:p>
        </w:tc>
      </w:tr>
    </w:tbl>
    <w:p>
      <w:pPr>
        <w:pStyle w:val="68"/>
        <w:rPr>
          <w:rFonts w:hint="eastAsia" w:ascii="微软雅黑" w:hAnsi="微软雅黑" w:eastAsia="微软雅黑" w:cs="微软雅黑"/>
        </w:rPr>
      </w:pPr>
    </w:p>
    <w:p>
      <w:pPr>
        <w:rPr>
          <w:rFonts w:hint="eastAsia" w:ascii="微软雅黑" w:hAnsi="微软雅黑" w:eastAsia="微软雅黑" w:cs="微软雅黑"/>
          <w:b/>
          <w:sz w:val="44"/>
          <w:szCs w:val="20"/>
        </w:rPr>
      </w:pPr>
      <w:bookmarkStart w:id="111" w:name="_Toc106030887"/>
      <w:bookmarkStart w:id="112" w:name="_Toc6692"/>
      <w:bookmarkStart w:id="113" w:name="_Toc76462332"/>
      <w:r>
        <w:rPr>
          <w:rFonts w:hint="eastAsia" w:ascii="微软雅黑" w:hAnsi="微软雅黑" w:eastAsia="微软雅黑" w:cs="微软雅黑"/>
          <w:b/>
          <w:sz w:val="44"/>
          <w:szCs w:val="20"/>
        </w:rPr>
        <w:br w:type="page"/>
      </w:r>
    </w:p>
    <w:p>
      <w:pPr>
        <w:pStyle w:val="4"/>
        <w:pageBreakBefore w:val="0"/>
        <w:spacing w:before="200" w:after="200" w:line="240" w:lineRule="auto"/>
        <w:jc w:val="center"/>
        <w:rPr>
          <w:rFonts w:hint="eastAsia" w:ascii="微软雅黑" w:hAnsi="微软雅黑" w:eastAsia="微软雅黑" w:cs="微软雅黑"/>
          <w:b/>
          <w:sz w:val="44"/>
          <w:szCs w:val="20"/>
        </w:rPr>
      </w:pPr>
      <w:bookmarkStart w:id="114" w:name="_Toc30197"/>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111"/>
      <w:bookmarkEnd w:id="112"/>
      <w:bookmarkEnd w:id="113"/>
      <w:bookmarkEnd w:id="11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14958"/>
      <w:bookmarkStart w:id="116" w:name="_Toc106030888"/>
      <w:bookmarkStart w:id="117" w:name="_Toc6059"/>
      <w:bookmarkStart w:id="118" w:name="_Toc7646233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115"/>
      <w:bookmarkEnd w:id="116"/>
      <w:bookmarkEnd w:id="117"/>
      <w:bookmarkEnd w:id="11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7" w:type="dxa"/>
            <w:tcBorders>
              <w:top w:val="single" w:color="auto" w:sz="4" w:space="0"/>
              <w:left w:val="single" w:color="auto" w:sz="4" w:space="0"/>
              <w:bottom w:val="single" w:color="auto" w:sz="4" w:space="0"/>
              <w:right w:val="single" w:color="auto" w:sz="4" w:space="0"/>
            </w:tcBorders>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按“第一篇三、投标人资格要求（三）本项目的特定资格要求”的要求提交（如果有）。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w:t>
      </w:r>
      <w:r>
        <w:rPr>
          <w:rFonts w:hint="eastAsia" w:ascii="微软雅黑" w:hAnsi="微软雅黑" w:eastAsia="微软雅黑" w:cs="微软雅黑"/>
          <w:kern w:val="0"/>
          <w:sz w:val="24"/>
          <w:szCs w:val="24"/>
          <w:lang w:eastAsia="zh-CN"/>
        </w:rPr>
        <w:t>投标人</w:t>
      </w:r>
      <w:r>
        <w:rPr>
          <w:rFonts w:hint="eastAsia" w:ascii="微软雅黑" w:hAnsi="微软雅黑" w:eastAsia="微软雅黑" w:cs="微软雅黑"/>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9" w:name="_Toc27623"/>
      <w:r>
        <w:rPr>
          <w:rFonts w:hint="eastAsia" w:ascii="微软雅黑" w:hAnsi="微软雅黑" w:eastAsia="微软雅黑" w:cs="微软雅黑"/>
          <w:sz w:val="24"/>
          <w:lang w:val="en-US" w:eastAsia="zh-CN"/>
        </w:rPr>
        <w:t>二、评标方法</w:t>
      </w:r>
      <w:bookmarkEnd w:id="119"/>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w:t>
      </w:r>
      <w:r>
        <w:rPr>
          <w:rFonts w:hint="eastAsia" w:ascii="微软雅黑" w:hAnsi="微软雅黑" w:eastAsia="微软雅黑" w:cs="微软雅黑"/>
          <w:kern w:val="0"/>
          <w:sz w:val="24"/>
          <w:szCs w:val="24"/>
          <w:lang w:val="en-US" w:eastAsia="zh-CN"/>
        </w:rPr>
        <w:t>响应</w:t>
      </w:r>
      <w:r>
        <w:rPr>
          <w:rFonts w:hint="eastAsia" w:ascii="微软雅黑" w:hAnsi="微软雅黑" w:eastAsia="微软雅黑" w:cs="微软雅黑"/>
          <w:kern w:val="0"/>
          <w:sz w:val="24"/>
          <w:szCs w:val="24"/>
        </w:rPr>
        <w:t>文件满足</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（一）比较与评价。按</w:t>
      </w:r>
      <w:r>
        <w:rPr>
          <w:rFonts w:hint="eastAsia" w:ascii="微软雅黑" w:hAnsi="微软雅黑" w:eastAsia="微软雅黑" w:cs="微软雅黑"/>
          <w:sz w:val="24"/>
          <w:szCs w:val="24"/>
          <w:lang w:val="en-US" w:eastAsia="zh-CN"/>
        </w:rPr>
        <w:t>比选采购</w:t>
      </w:r>
      <w:r>
        <w:rPr>
          <w:rFonts w:hint="eastAsia" w:ascii="微软雅黑" w:hAnsi="微软雅黑" w:eastAsia="微软雅黑" w:cs="微软雅黑"/>
          <w:sz w:val="24"/>
          <w:szCs w:val="24"/>
        </w:rPr>
        <w:t>文件中规定的评标方法和标准，对资格审查和符合性审查合格的</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shd w:val="clear" w:color="auto" w:fill="auto"/>
        </w:rPr>
        <w:t>提供相同品牌产品且通过资格审查、符合性审查的不同投标人参加的，按一家投标人计算</w:t>
      </w:r>
      <w:r>
        <w:rPr>
          <w:rFonts w:hint="eastAsia" w:ascii="微软雅黑" w:hAnsi="微软雅黑" w:eastAsia="微软雅黑" w:cs="微软雅黑"/>
          <w:sz w:val="24"/>
          <w:szCs w:val="24"/>
        </w:rPr>
        <w:t xml:space="preserve">。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全部实质性要求，依据</w:t>
      </w:r>
      <w:r>
        <w:rPr>
          <w:rFonts w:hint="eastAsia" w:ascii="微软雅黑" w:hAnsi="微软雅黑" w:eastAsia="微软雅黑" w:cs="微软雅黑"/>
          <w:sz w:val="24"/>
          <w:szCs w:val="24"/>
          <w:lang w:val="en-US" w:eastAsia="zh-CN"/>
        </w:rPr>
        <w:t>投标</w:t>
      </w:r>
      <w:r>
        <w:rPr>
          <w:rFonts w:hint="eastAsia" w:ascii="微软雅黑" w:hAnsi="微软雅黑" w:eastAsia="微软雅黑" w:cs="微软雅黑"/>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rPr>
      </w:pPr>
      <w:r>
        <w:rPr>
          <w:rFonts w:hint="eastAsia" w:ascii="微软雅黑" w:hAnsi="微软雅黑" w:eastAsia="微软雅黑" w:cs="微软雅黑"/>
          <w:sz w:val="24"/>
          <w:szCs w:val="24"/>
        </w:rPr>
        <w:t>评标结果按投标报价由低到高顺序排列，若投标报价相同的</w:t>
      </w:r>
      <w:r>
        <w:rPr>
          <w:rFonts w:hint="eastAsia" w:ascii="微软雅黑" w:hAnsi="微软雅黑" w:eastAsia="微软雅黑" w:cs="微软雅黑"/>
          <w:sz w:val="24"/>
          <w:szCs w:val="24"/>
          <w:lang w:val="en-US" w:eastAsia="zh-CN"/>
        </w:rPr>
        <w:t>由评标小组推荐中标候选人</w:t>
      </w:r>
      <w:r>
        <w:rPr>
          <w:rFonts w:hint="eastAsia" w:ascii="微软雅黑" w:hAnsi="微软雅黑" w:eastAsia="微软雅黑" w:cs="微软雅黑"/>
          <w:sz w:val="24"/>
          <w:szCs w:val="24"/>
        </w:rPr>
        <w:t>。</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20" w:name="_Toc11084"/>
      <w:bookmarkStart w:id="121" w:name="_Toc106030889"/>
      <w:bookmarkStart w:id="122" w:name="_Toc30944"/>
      <w:bookmarkStart w:id="123" w:name="_Toc76462334"/>
      <w:bookmarkStart w:id="124" w:name="_Toc102227320"/>
      <w:bookmarkStart w:id="125" w:name="_Toc342913394"/>
      <w:r>
        <w:rPr>
          <w:rFonts w:hint="eastAsia" w:ascii="微软雅黑" w:hAnsi="微软雅黑" w:eastAsia="微软雅黑" w:cs="微软雅黑"/>
          <w:sz w:val="24"/>
          <w:lang w:val="en-US" w:eastAsia="zh-CN"/>
        </w:rPr>
        <w:t>三、报价方式</w:t>
      </w:r>
      <w:bookmarkEnd w:id="120"/>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480" w:firstLineChars="200"/>
        <w:jc w:val="left"/>
        <w:textAlignment w:val="auto"/>
        <w:rPr>
          <w:rFonts w:hint="default" w:ascii="微软雅黑" w:hAnsi="微软雅黑" w:eastAsia="微软雅黑" w:cs="微软雅黑"/>
          <w:sz w:val="24"/>
          <w:szCs w:val="24"/>
          <w:u w:val="none"/>
          <w:lang w:val="en-US" w:eastAsia="zh-CN"/>
        </w:rPr>
      </w:pPr>
      <w:r>
        <w:rPr>
          <w:rFonts w:hint="eastAsia" w:ascii="微软雅黑" w:hAnsi="微软雅黑" w:eastAsia="微软雅黑" w:cs="微软雅黑"/>
          <w:sz w:val="24"/>
          <w:szCs w:val="24"/>
          <w:u w:val="none"/>
          <w:lang w:val="en-US" w:eastAsia="zh-CN"/>
        </w:rPr>
        <w:t>本项目可在现场进行二次报价。</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bookmarkStart w:id="126" w:name="_Toc12737"/>
      <w:r>
        <w:rPr>
          <w:rFonts w:hint="eastAsia" w:ascii="微软雅黑" w:hAnsi="微软雅黑" w:eastAsia="微软雅黑" w:cs="微软雅黑"/>
          <w:sz w:val="24"/>
          <w:lang w:val="en-US" w:eastAsia="zh-CN"/>
        </w:rPr>
        <w:t>四、评审标准</w:t>
      </w:r>
      <w:bookmarkEnd w:id="121"/>
      <w:bookmarkEnd w:id="122"/>
      <w:bookmarkEnd w:id="123"/>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106030890"/>
      <w:bookmarkStart w:id="128" w:name="_Toc31497"/>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投标应答有一条及以上不满足</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“第三篇 项目商务需求”要求的，投标人将失去成为</w:t>
      </w:r>
      <w:r>
        <w:rPr>
          <w:rFonts w:hint="eastAsia" w:ascii="微软雅黑" w:hAnsi="微软雅黑" w:eastAsia="微软雅黑" w:cs="微软雅黑"/>
          <w:sz w:val="24"/>
          <w:szCs w:val="24"/>
          <w:lang w:val="en-US" w:eastAsia="zh-CN"/>
        </w:rPr>
        <w:t>合格投标人</w:t>
      </w:r>
      <w:r>
        <w:rPr>
          <w:rFonts w:hint="eastAsia" w:ascii="微软雅黑" w:hAnsi="微软雅黑" w:eastAsia="微软雅黑" w:cs="微软雅黑"/>
          <w:sz w:val="24"/>
          <w:szCs w:val="24"/>
        </w:rPr>
        <w:t>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3878"/>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、无效响应</w:t>
      </w:r>
      <w:bookmarkEnd w:id="127"/>
      <w:bookmarkEnd w:id="128"/>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在采购人规定时间内到达开标现场进行签到及提交纸质响应文件的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（十）</w:t>
      </w:r>
      <w:r>
        <w:rPr>
          <w:rFonts w:hint="eastAsia" w:ascii="微软雅黑" w:hAnsi="微软雅黑" w:eastAsia="微软雅黑" w:cs="微软雅黑"/>
          <w:sz w:val="24"/>
          <w:szCs w:val="24"/>
          <w:lang w:val="en-US" w:eastAsia="zh-CN"/>
        </w:rPr>
        <w:t>投标人上传至医院电子招投标平台的响应文件与现场提交的纸质版响应文件在实质性内容上有偏差的；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十一</w:t>
      </w:r>
      <w:r>
        <w:rPr>
          <w:rFonts w:hint="eastAsia" w:ascii="微软雅黑" w:hAnsi="微软雅黑" w:eastAsia="微软雅黑" w:cs="微软雅黑"/>
          <w:sz w:val="24"/>
          <w:szCs w:val="24"/>
          <w:lang w:eastAsia="zh-CN"/>
        </w:rPr>
        <w:t>）法律、法规和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bookmarkStart w:id="131" w:name="_Toc10687"/>
      <w:bookmarkStart w:id="132" w:name="_Toc76462336"/>
      <w:bookmarkStart w:id="133" w:name="_Toc106030891"/>
      <w:bookmarkStart w:id="134" w:name="_Toc22602"/>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w:t>
      </w:r>
      <w:bookmarkEnd w:id="124"/>
      <w:bookmarkEnd w:id="125"/>
      <w:bookmarkEnd w:id="131"/>
      <w:bookmarkEnd w:id="132"/>
      <w:bookmarkEnd w:id="133"/>
      <w:r>
        <w:rPr>
          <w:rFonts w:hint="eastAsia" w:ascii="微软雅黑" w:hAnsi="微软雅黑" w:eastAsia="微软雅黑" w:cs="微软雅黑"/>
          <w:sz w:val="24"/>
          <w:lang w:val="en-US" w:eastAsia="zh-CN"/>
        </w:rPr>
        <w:t>废标条款</w:t>
      </w:r>
      <w:bookmarkEnd w:id="13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或者报价未超过采购预算的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不足3家的</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35" w:name="_Toc76462337"/>
      <w:bookmarkStart w:id="136" w:name="_Toc102227313"/>
      <w:bookmarkStart w:id="137" w:name="_Toc13138"/>
      <w:bookmarkStart w:id="138" w:name="_Toc29948"/>
      <w:bookmarkStart w:id="139" w:name="_Toc106030892"/>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35"/>
      <w:bookmarkEnd w:id="136"/>
      <w:bookmarkEnd w:id="137"/>
      <w:bookmarkEnd w:id="138"/>
      <w:bookmarkEnd w:id="139"/>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342913389"/>
      <w:bookmarkStart w:id="141" w:name="_Toc26717"/>
      <w:bookmarkStart w:id="142" w:name="_Toc12174"/>
      <w:bookmarkStart w:id="143" w:name="_Toc76462338"/>
      <w:bookmarkStart w:id="144" w:name="_Toc106030893"/>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40"/>
      <w:bookmarkEnd w:id="141"/>
      <w:bookmarkEnd w:id="142"/>
      <w:bookmarkEnd w:id="143"/>
      <w:bookmarkEnd w:id="144"/>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342913391"/>
      <w:bookmarkStart w:id="146" w:name="_Toc16592"/>
      <w:bookmarkStart w:id="147" w:name="_Toc15712"/>
      <w:bookmarkStart w:id="148" w:name="_Toc106030894"/>
      <w:bookmarkStart w:id="149" w:name="_Toc76462339"/>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45"/>
      <w:bookmarkEnd w:id="146"/>
      <w:bookmarkEnd w:id="147"/>
      <w:bookmarkEnd w:id="148"/>
      <w:bookmarkEnd w:id="149"/>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50" w:name="_Toc318159349"/>
      <w:bookmarkStart w:id="151" w:name="_Toc318159160"/>
      <w:bookmarkStart w:id="152" w:name="_Toc318166429"/>
      <w:bookmarkStart w:id="153" w:name="_Toc318159780"/>
    </w:p>
    <w:bookmarkEnd w:id="150"/>
    <w:bookmarkEnd w:id="151"/>
    <w:bookmarkEnd w:id="152"/>
    <w:bookmarkEnd w:id="153"/>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4" w:name="_Toc102227318"/>
      <w:bookmarkStart w:id="155" w:name="_Toc179714297"/>
      <w:bookmarkStart w:id="156" w:name="_Toc12627"/>
      <w:bookmarkStart w:id="157" w:name="_Toc76462340"/>
      <w:bookmarkStart w:id="158" w:name="_Toc106030895"/>
      <w:bookmarkStart w:id="159" w:name="_Toc342913392"/>
      <w:bookmarkStart w:id="160" w:name="_Toc26007"/>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54"/>
      <w:bookmarkEnd w:id="155"/>
      <w:bookmarkEnd w:id="156"/>
      <w:bookmarkEnd w:id="157"/>
      <w:bookmarkEnd w:id="158"/>
      <w:bookmarkEnd w:id="159"/>
      <w:bookmarkEnd w:id="16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sz w:val="24"/>
          <w:szCs w:val="24"/>
          <w:lang w:val="en-US" w:eastAsia="zh-CN"/>
        </w:rPr>
        <w:t>正本PDF版上传至电子招投标平台，无需现场提交</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1" w:name="_Toc4193"/>
      <w:bookmarkStart w:id="162" w:name="_Toc6435"/>
      <w:bookmarkStart w:id="163" w:name="_Toc106030896"/>
      <w:bookmarkStart w:id="164" w:name="_Toc76462341"/>
      <w:r>
        <w:rPr>
          <w:rFonts w:hint="eastAsia" w:ascii="微软雅黑" w:hAnsi="微软雅黑" w:eastAsia="微软雅黑" w:cs="微软雅黑"/>
          <w:sz w:val="24"/>
        </w:rPr>
        <w:t>四、</w:t>
      </w:r>
      <w:r>
        <w:rPr>
          <w:rFonts w:hint="eastAsia" w:ascii="微软雅黑" w:hAnsi="微软雅黑" w:eastAsia="微软雅黑" w:cs="微软雅黑"/>
          <w:sz w:val="24"/>
          <w:lang w:eastAsia="zh-CN"/>
        </w:rPr>
        <w:t>成交供应商</w:t>
      </w:r>
      <w:r>
        <w:rPr>
          <w:rFonts w:hint="eastAsia" w:ascii="微软雅黑" w:hAnsi="微软雅黑" w:eastAsia="微软雅黑" w:cs="微软雅黑"/>
          <w:sz w:val="24"/>
        </w:rPr>
        <w:t>的确认和变更</w:t>
      </w:r>
      <w:bookmarkEnd w:id="161"/>
      <w:bookmarkEnd w:id="162"/>
      <w:bookmarkEnd w:id="163"/>
      <w:bookmarkEnd w:id="164"/>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成交供应商</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成交供应商</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成交供应商</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5" w:name="_Toc76462342"/>
      <w:bookmarkStart w:id="166" w:name="_Toc21532"/>
      <w:bookmarkStart w:id="167" w:name="_Toc342913395"/>
      <w:bookmarkStart w:id="168" w:name="_Toc102227321"/>
      <w:bookmarkStart w:id="169" w:name="_Toc18726"/>
      <w:bookmarkStart w:id="170" w:name="_Toc106030897"/>
      <w:r>
        <w:rPr>
          <w:rFonts w:hint="eastAsia" w:ascii="微软雅黑" w:hAnsi="微软雅黑" w:eastAsia="微软雅黑" w:cs="微软雅黑"/>
          <w:sz w:val="24"/>
        </w:rPr>
        <w:t>五、成交通知</w:t>
      </w:r>
      <w:bookmarkEnd w:id="165"/>
      <w:bookmarkEnd w:id="166"/>
      <w:bookmarkEnd w:id="167"/>
      <w:bookmarkEnd w:id="168"/>
      <w:bookmarkEnd w:id="169"/>
      <w:bookmarkEnd w:id="17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成交供应商</w:t>
      </w:r>
      <w:r>
        <w:rPr>
          <w:rFonts w:hint="eastAsia" w:ascii="微软雅黑" w:hAnsi="微软雅黑" w:eastAsia="微软雅黑" w:cs="微软雅黑"/>
          <w:sz w:val="24"/>
          <w:szCs w:val="24"/>
        </w:rPr>
        <w:t>确定后，招标办将在重庆医科大学附属儿童医院电子招投标平台（zbb.chcmu.com）上发布成交结果公告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招标办公室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1" w:name="_Toc106030898"/>
      <w:bookmarkStart w:id="172" w:name="_Toc21448"/>
      <w:bookmarkStart w:id="173" w:name="_Toc9725"/>
      <w:bookmarkStart w:id="174"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71"/>
      <w:bookmarkEnd w:id="172"/>
      <w:bookmarkEnd w:id="173"/>
      <w:bookmarkEnd w:id="17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75" w:name="_Toc76462344"/>
      <w:bookmarkStart w:id="176" w:name="_Toc28334"/>
      <w:bookmarkStart w:id="177" w:name="_Toc106030899"/>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8" w:name="_Toc7987"/>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75"/>
      <w:bookmarkEnd w:id="176"/>
      <w:bookmarkEnd w:id="177"/>
      <w:bookmarkStart w:id="179" w:name="_Toc102227322"/>
      <w:bookmarkStart w:id="180" w:name="_Toc106030901"/>
      <w:bookmarkStart w:id="181" w:name="_Toc76462346"/>
      <w:bookmarkStart w:id="182" w:name="_Toc342913396"/>
      <w:bookmarkStart w:id="183" w:name="_Toc3372"/>
      <w:bookmarkStart w:id="184" w:name="_Toc12789059"/>
      <w:bookmarkStart w:id="185" w:name="_Toc11641055"/>
      <w:r>
        <w:rPr>
          <w:rFonts w:hint="eastAsia" w:ascii="微软雅黑" w:hAnsi="微软雅黑" w:eastAsia="微软雅黑" w:cs="微软雅黑"/>
          <w:color w:val="auto"/>
          <w:sz w:val="24"/>
        </w:rPr>
        <w:t>签订</w:t>
      </w:r>
      <w:bookmarkEnd w:id="179"/>
      <w:r>
        <w:rPr>
          <w:rFonts w:hint="eastAsia" w:ascii="微软雅黑" w:hAnsi="微软雅黑" w:eastAsia="微软雅黑" w:cs="微软雅黑"/>
          <w:color w:val="auto"/>
          <w:sz w:val="24"/>
        </w:rPr>
        <w:t>合同</w:t>
      </w:r>
      <w:bookmarkEnd w:id="178"/>
      <w:bookmarkEnd w:id="180"/>
      <w:bookmarkEnd w:id="181"/>
      <w:bookmarkEnd w:id="182"/>
      <w:bookmarkEnd w:id="183"/>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（二）中标人未在规定时间内递交合同或放弃中标资格，则招标人将有充分的理由废除授标，将中标人纳入</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招标人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84"/>
      <w:bookmarkEnd w:id="185"/>
    </w:p>
    <w:p>
      <w:pPr>
        <w:pStyle w:val="4"/>
        <w:spacing w:before="200" w:after="200" w:line="240" w:lineRule="auto"/>
        <w:jc w:val="center"/>
        <w:rPr>
          <w:rFonts w:hint="eastAsia" w:ascii="微软雅黑" w:hAnsi="微软雅黑" w:eastAsia="微软雅黑" w:cs="微软雅黑"/>
          <w:b/>
          <w:sz w:val="44"/>
          <w:szCs w:val="20"/>
        </w:rPr>
      </w:pPr>
      <w:bookmarkStart w:id="186" w:name="_Hlt41879464"/>
      <w:bookmarkEnd w:id="186"/>
      <w:bookmarkStart w:id="187" w:name="_Toc76462349"/>
      <w:bookmarkStart w:id="188" w:name="_Toc21717"/>
      <w:bookmarkStart w:id="189" w:name="_Toc106030905"/>
      <w:bookmarkStart w:id="190" w:name="_Toc27984"/>
      <w:r>
        <w:rPr>
          <w:rFonts w:hint="eastAsia" w:ascii="微软雅黑" w:hAnsi="微软雅黑" w:eastAsia="微软雅黑" w:cs="微软雅黑"/>
          <w:b/>
          <w:sz w:val="44"/>
          <w:szCs w:val="20"/>
        </w:rPr>
        <w:t>第六篇  响应文件编制要求</w:t>
      </w:r>
      <w:bookmarkEnd w:id="187"/>
      <w:bookmarkEnd w:id="188"/>
      <w:bookmarkEnd w:id="189"/>
      <w:bookmarkEnd w:id="19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易损易耗件或配件报价表（格式自定）</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b/>
          <w:sz w:val="24"/>
          <w:szCs w:val="24"/>
        </w:rPr>
      </w:pPr>
      <w:r>
        <w:rPr>
          <w:rFonts w:hint="eastAsia" w:ascii="微软雅黑" w:hAnsi="微软雅黑" w:eastAsia="微软雅黑" w:cs="微软雅黑"/>
          <w:sz w:val="24"/>
          <w:szCs w:val="24"/>
        </w:rPr>
        <w:t>（一）中小企业声明函、监狱企业证明文件、残疾人福利性单位声明函</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（二）联合体协议或分包意向协议（格式自定）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微软雅黑" w:hAnsi="微软雅黑" w:eastAsia="微软雅黑" w:cs="微软雅黑"/>
          <w:sz w:val="24"/>
          <w:szCs w:val="24"/>
          <w:lang w:val="en-US" w:eastAsia="zh-CN"/>
        </w:rPr>
      </w:pPr>
      <w:bookmarkStart w:id="191" w:name="_Toc76462350"/>
      <w:bookmarkStart w:id="192" w:name="_Toc313008356"/>
      <w:bookmarkStart w:id="193" w:name="_Toc313888360"/>
      <w:bookmarkStart w:id="194" w:name="_Toc342913419"/>
      <w:bookmarkStart w:id="195" w:name="_Toc106030906"/>
      <w:bookmarkStart w:id="196" w:name="_Toc15994"/>
      <w:bookmarkStart w:id="197" w:name="_Toc12789073"/>
      <w:bookmarkStart w:id="198" w:name="_Toc283382454"/>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hint="eastAsia" w:ascii="微软雅黑" w:hAnsi="微软雅黑" w:eastAsia="微软雅黑" w:cs="微软雅黑"/>
          <w:sz w:val="36"/>
          <w:szCs w:val="36"/>
        </w:rPr>
        <w:t>二〇二X年X月</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99" w:name="_Toc7890"/>
      <w:r>
        <w:rPr>
          <w:rFonts w:hint="eastAsia" w:ascii="微软雅黑" w:hAnsi="微软雅黑" w:eastAsia="微软雅黑" w:cs="微软雅黑"/>
          <w:sz w:val="24"/>
        </w:rPr>
        <w:t>一、经济部分</w:t>
      </w:r>
      <w:bookmarkEnd w:id="191"/>
      <w:bookmarkEnd w:id="192"/>
      <w:bookmarkEnd w:id="193"/>
      <w:bookmarkEnd w:id="194"/>
      <w:bookmarkEnd w:id="195"/>
      <w:bookmarkEnd w:id="196"/>
      <w:bookmarkEnd w:id="199"/>
    </w:p>
    <w:bookmarkEnd w:id="197"/>
    <w:bookmarkEnd w:id="198"/>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tabs>
          <w:tab w:val="left" w:pos="2895"/>
        </w:tabs>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200" w:name="OLE_LINK1"/>
      <w:bookmarkStart w:id="201" w:name="OLE_LINK2"/>
      <w:r>
        <w:rPr>
          <w:rFonts w:hint="eastAsia" w:ascii="微软雅黑" w:hAnsi="微软雅黑" w:eastAsia="微软雅黑" w:cs="微软雅黑"/>
          <w:sz w:val="24"/>
          <w:szCs w:val="28"/>
        </w:rPr>
        <w:t>。</w:t>
      </w:r>
      <w:bookmarkEnd w:id="200"/>
      <w:bookmarkEnd w:id="201"/>
    </w:p>
    <w:p>
      <w:pPr>
        <w:pStyle w:val="37"/>
        <w:spacing w:line="360" w:lineRule="auto"/>
        <w:rPr>
          <w:rFonts w:hint="eastAsia" w:ascii="微软雅黑" w:hAnsi="微软雅黑" w:eastAsia="微软雅黑" w:cs="微软雅黑"/>
          <w:sz w:val="24"/>
          <w:szCs w:val="24"/>
        </w:rPr>
      </w:pPr>
    </w:p>
    <w:p>
      <w:pPr>
        <w:pStyle w:val="37"/>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snapToGrid w:val="0"/>
        <w:spacing w:line="360" w:lineRule="auto"/>
        <w:ind w:firstLine="480" w:firstLineChars="200"/>
        <w:rPr>
          <w:rFonts w:hint="eastAsia" w:ascii="微软雅黑" w:hAnsi="微软雅黑" w:eastAsia="微软雅黑" w:cs="微软雅黑"/>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eastAsia" w:ascii="微软雅黑" w:hAnsi="微软雅黑" w:eastAsia="微软雅黑" w:cs="微软雅黑"/>
          <w:sz w:val="24"/>
          <w:szCs w:val="24"/>
          <w:lang w:val="en-US" w:eastAsia="zh-CN"/>
        </w:rPr>
      </w:pPr>
      <w:bookmarkStart w:id="202" w:name="_Toc313008357"/>
      <w:bookmarkStart w:id="203" w:name="_Toc106030907"/>
      <w:bookmarkStart w:id="204" w:name="_Toc313888361"/>
      <w:bookmarkStart w:id="205" w:name="_Toc18669"/>
      <w:bookmarkStart w:id="206" w:name="_Toc76462351"/>
      <w:bookmarkStart w:id="207" w:name="_Toc342913420"/>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bookmarkStart w:id="208" w:name="_Toc21535"/>
      <w:r>
        <w:rPr>
          <w:rFonts w:hint="eastAsia" w:ascii="微软雅黑" w:hAnsi="微软雅黑" w:eastAsia="微软雅黑" w:cs="微软雅黑"/>
          <w:sz w:val="24"/>
          <w:szCs w:val="24"/>
          <w:lang w:val="en-US" w:eastAsia="zh-CN"/>
        </w:rPr>
        <w:t>易损易耗件或配件报价表（格式自定）</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rPr>
          <w:rFonts w:hint="eastAsia" w:ascii="微软雅黑" w:hAnsi="微软雅黑" w:eastAsia="微软雅黑" w:cs="微软雅黑"/>
          <w:sz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202"/>
      <w:bookmarkEnd w:id="203"/>
      <w:bookmarkEnd w:id="204"/>
      <w:bookmarkEnd w:id="205"/>
      <w:bookmarkEnd w:id="206"/>
      <w:bookmarkEnd w:id="207"/>
      <w:bookmarkEnd w:id="208"/>
    </w:p>
    <w:p>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提醒：请注明技术参数或具体内容以及响应文件中技术参数或具体内容的位置（页码）</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400" w:lineRule="exact"/>
        <w:ind w:firstLine="560" w:firstLineChars="200"/>
        <w:rPr>
          <w:rFonts w:hint="eastAsia" w:ascii="微软雅黑" w:hAnsi="微软雅黑" w:eastAsia="微软雅黑" w:cs="微软雅黑"/>
          <w:szCs w:val="24"/>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（二）其他资料（格式自定）</w:t>
      </w:r>
    </w:p>
    <w:p>
      <w:pPr>
        <w:pStyle w:val="4"/>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209" w:name="_Toc76462352"/>
      <w:bookmarkStart w:id="210" w:name="_Toc30639"/>
      <w:bookmarkStart w:id="211" w:name="_Toc313008358"/>
      <w:bookmarkStart w:id="212" w:name="_Toc16028"/>
      <w:bookmarkStart w:id="213" w:name="_Toc106030908"/>
      <w:bookmarkStart w:id="214" w:name="_Toc313888362"/>
      <w:bookmarkStart w:id="215" w:name="_Toc342913421"/>
      <w:r>
        <w:rPr>
          <w:rFonts w:hint="eastAsia" w:ascii="微软雅黑" w:hAnsi="微软雅黑" w:eastAsia="微软雅黑" w:cs="微软雅黑"/>
          <w:sz w:val="24"/>
        </w:rPr>
        <w:t>三、商务部分</w:t>
      </w:r>
      <w:bookmarkEnd w:id="209"/>
      <w:bookmarkEnd w:id="210"/>
      <w:bookmarkEnd w:id="211"/>
      <w:bookmarkEnd w:id="212"/>
      <w:bookmarkEnd w:id="213"/>
      <w:bookmarkEnd w:id="214"/>
      <w:bookmarkEnd w:id="21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微软雅黑" w:hAnsi="微软雅黑" w:eastAsia="微软雅黑" w:cs="微软雅黑"/>
                <w:sz w:val="21"/>
                <w:szCs w:val="24"/>
              </w:rPr>
            </w:pPr>
            <w:r>
              <w:rPr>
                <w:rFonts w:hint="eastAsia" w:ascii="微软雅黑" w:hAnsi="微软雅黑" w:eastAsia="微软雅黑" w:cs="微软雅黑"/>
                <w:sz w:val="21"/>
                <w:szCs w:val="21"/>
              </w:rPr>
              <w:t>提醒：请注明具体内容以及响应文件中具体内容的位置（页码）</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snapToGrid w:val="0"/>
        <w:spacing w:line="400" w:lineRule="exact"/>
        <w:ind w:firstLine="480" w:firstLineChars="200"/>
        <w:rPr>
          <w:rFonts w:hint="eastAsia" w:ascii="微软雅黑" w:hAnsi="微软雅黑" w:eastAsia="微软雅黑" w:cs="微软雅黑"/>
          <w:sz w:val="24"/>
          <w:szCs w:val="24"/>
        </w:rPr>
      </w:pPr>
      <w:bookmarkStart w:id="216" w:name="_Toc283382459"/>
      <w:r>
        <w:rPr>
          <w:rFonts w:hint="eastAsia" w:ascii="微软雅黑" w:hAnsi="微软雅黑" w:eastAsia="微软雅黑" w:cs="微软雅黑"/>
          <w:sz w:val="24"/>
          <w:szCs w:val="24"/>
        </w:rPr>
        <w:t>（二）其它优惠承诺（格式自定）</w:t>
      </w:r>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216"/>
      <w:bookmarkStart w:id="217" w:name="_Toc76462353"/>
      <w:bookmarkStart w:id="218" w:name="_Toc26948"/>
      <w:bookmarkStart w:id="219" w:name="_Toc313008359"/>
      <w:bookmarkStart w:id="220" w:name="_Toc106030909"/>
      <w:bookmarkStart w:id="221" w:name="_Toc313888363"/>
      <w:bookmarkStart w:id="222" w:name="_Toc21348"/>
      <w:bookmarkStart w:id="223" w:name="_Toc342913422"/>
      <w:r>
        <w:rPr>
          <w:rFonts w:hint="eastAsia" w:ascii="微软雅黑" w:hAnsi="微软雅黑" w:eastAsia="微软雅黑" w:cs="微软雅黑"/>
          <w:sz w:val="24"/>
        </w:rPr>
        <w:t>四、资格条件</w:t>
      </w:r>
      <w:bookmarkEnd w:id="217"/>
      <w:bookmarkEnd w:id="218"/>
      <w:bookmarkEnd w:id="219"/>
      <w:bookmarkEnd w:id="220"/>
      <w:bookmarkEnd w:id="221"/>
      <w:bookmarkEnd w:id="222"/>
      <w:bookmarkEnd w:id="223"/>
    </w:p>
    <w:p>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68"/>
        <w:rPr>
          <w:rFonts w:hint="eastAsia" w:ascii="微软雅黑" w:hAnsi="微软雅黑" w:eastAsia="微软雅黑" w:cs="微软雅黑"/>
        </w:rPr>
      </w:pPr>
    </w:p>
    <w:p>
      <w:pPr>
        <w:pStyle w:val="69"/>
        <w:rPr>
          <w:rFonts w:hint="eastAsia" w:ascii="微软雅黑" w:hAnsi="微软雅黑" w:eastAsia="微软雅黑" w:cs="微软雅黑"/>
        </w:rPr>
      </w:pPr>
    </w:p>
    <w:p>
      <w:pPr>
        <w:pStyle w:val="69"/>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560" w:firstLineChars="200"/>
        <w:rPr>
          <w:rFonts w:hint="eastAsia" w:ascii="微软雅黑" w:hAnsi="微软雅黑" w:eastAsia="微软雅黑" w:cs="微软雅黑"/>
          <w:sz w:val="24"/>
        </w:rPr>
      </w:pPr>
      <w:bookmarkStart w:id="224" w:name="_Toc14422"/>
      <w:r>
        <w:rPr>
          <w:rFonts w:hint="eastAsia" w:ascii="微软雅黑" w:hAnsi="微软雅黑" w:eastAsia="微软雅黑" w:cs="微软雅黑"/>
          <w:b w:val="0"/>
          <w:sz w:val="28"/>
        </w:rPr>
        <w:br w:type="page"/>
      </w:r>
      <w:bookmarkStart w:id="225" w:name="_Toc106030910"/>
      <w:bookmarkStart w:id="226" w:name="_Toc32260"/>
      <w:bookmarkStart w:id="227" w:name="_Toc76462354"/>
      <w:bookmarkStart w:id="228" w:name="_Toc8805"/>
      <w:r>
        <w:rPr>
          <w:rFonts w:hint="eastAsia" w:ascii="微软雅黑" w:hAnsi="微软雅黑" w:eastAsia="微软雅黑" w:cs="微软雅黑"/>
          <w:sz w:val="24"/>
        </w:rPr>
        <w:t>五、其他资料</w:t>
      </w:r>
      <w:bookmarkEnd w:id="224"/>
      <w:bookmarkEnd w:id="225"/>
      <w:bookmarkEnd w:id="226"/>
      <w:bookmarkEnd w:id="227"/>
      <w:bookmarkEnd w:id="2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一</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2780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5C078C"/>
    <w:rsid w:val="026C7369"/>
    <w:rsid w:val="030620E3"/>
    <w:rsid w:val="04634BCE"/>
    <w:rsid w:val="079B568B"/>
    <w:rsid w:val="07F103E0"/>
    <w:rsid w:val="092E6FC0"/>
    <w:rsid w:val="0BB87E47"/>
    <w:rsid w:val="0D1F249B"/>
    <w:rsid w:val="147A5E14"/>
    <w:rsid w:val="15935DB5"/>
    <w:rsid w:val="15BB3449"/>
    <w:rsid w:val="17A1211B"/>
    <w:rsid w:val="18ED7A84"/>
    <w:rsid w:val="19255AF5"/>
    <w:rsid w:val="192E668F"/>
    <w:rsid w:val="19943D26"/>
    <w:rsid w:val="1A7E6296"/>
    <w:rsid w:val="1D77434B"/>
    <w:rsid w:val="1F0D01CA"/>
    <w:rsid w:val="21864056"/>
    <w:rsid w:val="21F27144"/>
    <w:rsid w:val="22F860AB"/>
    <w:rsid w:val="2486441F"/>
    <w:rsid w:val="28B20E90"/>
    <w:rsid w:val="297D580F"/>
    <w:rsid w:val="2AA01F44"/>
    <w:rsid w:val="2DB02B6B"/>
    <w:rsid w:val="2F5C2A3B"/>
    <w:rsid w:val="300C58E0"/>
    <w:rsid w:val="30607DAE"/>
    <w:rsid w:val="332D1E43"/>
    <w:rsid w:val="34446508"/>
    <w:rsid w:val="35476FB9"/>
    <w:rsid w:val="37556B60"/>
    <w:rsid w:val="38CD7FDC"/>
    <w:rsid w:val="3ACE5D4F"/>
    <w:rsid w:val="3C55524B"/>
    <w:rsid w:val="3D3B4299"/>
    <w:rsid w:val="3DF6488D"/>
    <w:rsid w:val="3F1C71CA"/>
    <w:rsid w:val="40283F82"/>
    <w:rsid w:val="406334F2"/>
    <w:rsid w:val="409F14A1"/>
    <w:rsid w:val="415F6EA3"/>
    <w:rsid w:val="452C7897"/>
    <w:rsid w:val="457671C4"/>
    <w:rsid w:val="474A3DE0"/>
    <w:rsid w:val="48B67FD6"/>
    <w:rsid w:val="48DB4D9B"/>
    <w:rsid w:val="494C6B8D"/>
    <w:rsid w:val="497B7CB3"/>
    <w:rsid w:val="4A8845CE"/>
    <w:rsid w:val="4B2D12E0"/>
    <w:rsid w:val="4BEB6B31"/>
    <w:rsid w:val="4DD36371"/>
    <w:rsid w:val="4F070047"/>
    <w:rsid w:val="4F3C244F"/>
    <w:rsid w:val="5115115D"/>
    <w:rsid w:val="521E4A24"/>
    <w:rsid w:val="52696888"/>
    <w:rsid w:val="52D92ACB"/>
    <w:rsid w:val="53B4776F"/>
    <w:rsid w:val="53DF1E3A"/>
    <w:rsid w:val="558E730F"/>
    <w:rsid w:val="57857077"/>
    <w:rsid w:val="5CA67F0E"/>
    <w:rsid w:val="60CA1FBB"/>
    <w:rsid w:val="670A099E"/>
    <w:rsid w:val="68BD663A"/>
    <w:rsid w:val="692F74C0"/>
    <w:rsid w:val="696405DD"/>
    <w:rsid w:val="6B8A6E9B"/>
    <w:rsid w:val="6BB66A3C"/>
    <w:rsid w:val="6FE969BF"/>
    <w:rsid w:val="701245F9"/>
    <w:rsid w:val="70A202D6"/>
    <w:rsid w:val="71175C34"/>
    <w:rsid w:val="74D70DF7"/>
    <w:rsid w:val="750950F5"/>
    <w:rsid w:val="750D16CF"/>
    <w:rsid w:val="789F3DA6"/>
    <w:rsid w:val="78A52377"/>
    <w:rsid w:val="79082185"/>
    <w:rsid w:val="7A6F77AB"/>
    <w:rsid w:val="7B5B7497"/>
    <w:rsid w:val="7BEF5F10"/>
    <w:rsid w:val="7C7768CA"/>
    <w:rsid w:val="7DFF39F8"/>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Administrator</cp:lastModifiedBy>
  <cp:lastPrinted>2015-03-25T02:14:00Z</cp:lastPrinted>
  <dcterms:modified xsi:type="dcterms:W3CDTF">2024-10-24T00:24:35Z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32943F6E616B4652B44D06FFA42AA410</vt:lpwstr>
  </property>
</Properties>
</file>