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lang w:eastAsia="zh-CN"/>
        </w:rPr>
      </w:pPr>
      <w:r>
        <w:rPr>
          <w:rFonts w:hint="eastAsia" w:ascii="微软雅黑" w:hAnsi="微软雅黑" w:eastAsia="微软雅黑" w:cs="微软雅黑"/>
          <w:sz w:val="130"/>
          <w:szCs w:val="130"/>
          <w:lang w:eastAsia="zh-CN"/>
        </w:rPr>
        <w:t>耗材遴选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YSB</w:t>
      </w:r>
      <w:r>
        <w:rPr>
          <w:rFonts w:hint="eastAsia" w:ascii="微软雅黑" w:hAnsi="微软雅黑" w:eastAsia="微软雅黑" w:cs="微软雅黑"/>
          <w:sz w:val="36"/>
          <w:szCs w:val="36"/>
          <w:u w:val="single"/>
          <w:lang w:val="en-US" w:eastAsia="zh-CN"/>
        </w:rPr>
        <w:t>250523</w:t>
      </w:r>
    </w:p>
    <w:p>
      <w:pPr>
        <w:spacing w:line="360" w:lineRule="auto"/>
        <w:ind w:left="3592" w:leftChars="640" w:hanging="1800" w:hanging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lang w:val="en-US" w:eastAsia="zh-CN"/>
        </w:rPr>
        <w:t>高流量呼吸机管路</w:t>
      </w:r>
    </w:p>
    <w:p>
      <w:pPr>
        <w:spacing w:line="500" w:lineRule="exact"/>
        <w:outlineLvl w:val="0"/>
        <w:rPr>
          <w:rFonts w:hint="eastAsia" w:ascii="微软雅黑" w:hAnsi="微软雅黑" w:eastAsia="微软雅黑" w:cs="微软雅黑"/>
          <w:sz w:val="36"/>
          <w:szCs w:val="36"/>
        </w:rPr>
      </w:pPr>
    </w:p>
    <w:p>
      <w:pPr>
        <w:pStyle w:val="2"/>
        <w:rPr>
          <w:rFonts w:hint="eastAsia"/>
        </w:rPr>
      </w:pPr>
    </w:p>
    <w:p>
      <w:pPr>
        <w:rPr>
          <w:rFonts w:hint="eastAsia"/>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2</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_Toc7678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_Toc7678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_Toc18148 </w:instrText>
      </w:r>
      <w:r>
        <w:rPr>
          <w:rFonts w:hint="eastAsia" w:ascii="微软雅黑" w:hAnsi="微软雅黑" w:eastAsia="微软雅黑" w:cs="微软雅黑"/>
          <w:sz w:val="24"/>
          <w:szCs w:val="24"/>
        </w:rPr>
        <w:fldChar w:fldCharType="separate"/>
      </w:r>
      <w:r>
        <w:rPr>
          <w:rFonts w:hint="default"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w:t>
      </w:r>
      <w:r>
        <w:rPr>
          <w:sz w:val="24"/>
          <w:szCs w:val="24"/>
        </w:rPr>
        <w:tab/>
      </w:r>
      <w:r>
        <w:rPr>
          <w:sz w:val="24"/>
          <w:szCs w:val="24"/>
        </w:rPr>
        <w:fldChar w:fldCharType="begin"/>
      </w:r>
      <w:r>
        <w:rPr>
          <w:sz w:val="24"/>
          <w:szCs w:val="24"/>
        </w:rPr>
        <w:instrText xml:space="preserve"> PAGEREF _Toc18148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sz w:val="24"/>
          <w:szCs w:val="24"/>
        </w:rPr>
        <w:tab/>
      </w:r>
      <w:r>
        <w:rPr>
          <w:sz w:val="24"/>
          <w:szCs w:val="24"/>
        </w:rPr>
        <w:fldChar w:fldCharType="begin"/>
      </w:r>
      <w:r>
        <w:rPr>
          <w:sz w:val="24"/>
          <w:szCs w:val="24"/>
        </w:rPr>
        <w:instrText xml:space="preserve"> PAGEREF _Toc30460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_Toc5002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sz w:val="24"/>
          <w:szCs w:val="24"/>
        </w:rPr>
        <w:tab/>
      </w:r>
      <w:r>
        <w:rPr>
          <w:sz w:val="24"/>
          <w:szCs w:val="24"/>
        </w:rPr>
        <w:fldChar w:fldCharType="begin"/>
      </w:r>
      <w:r>
        <w:rPr>
          <w:sz w:val="24"/>
          <w:szCs w:val="24"/>
        </w:rPr>
        <w:instrText xml:space="preserve"> PAGEREF _Toc5002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_Toc28629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_Toc28629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_Toc23490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五、其它</w:t>
      </w:r>
      <w:r>
        <w:rPr>
          <w:sz w:val="24"/>
          <w:szCs w:val="24"/>
        </w:rPr>
        <w:tab/>
      </w:r>
      <w:r>
        <w:rPr>
          <w:sz w:val="24"/>
          <w:szCs w:val="24"/>
        </w:rPr>
        <w:fldChar w:fldCharType="begin"/>
      </w:r>
      <w:r>
        <w:rPr>
          <w:sz w:val="24"/>
          <w:szCs w:val="24"/>
        </w:rPr>
        <w:instrText xml:space="preserve"> PAGEREF _Toc23490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_Toc20454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sz w:val="24"/>
          <w:szCs w:val="24"/>
        </w:rPr>
        <w:tab/>
      </w:r>
      <w:r>
        <w:rPr>
          <w:sz w:val="24"/>
          <w:szCs w:val="24"/>
        </w:rPr>
        <w:fldChar w:fldCharType="begin"/>
      </w:r>
      <w:r>
        <w:rPr>
          <w:sz w:val="24"/>
          <w:szCs w:val="24"/>
        </w:rPr>
        <w:instrText xml:space="preserve"> PAGEREF _Toc20454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_Toc20802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sz w:val="24"/>
          <w:szCs w:val="24"/>
        </w:rPr>
        <w:tab/>
      </w:r>
      <w:r>
        <w:rPr>
          <w:sz w:val="24"/>
          <w:szCs w:val="24"/>
        </w:rPr>
        <w:fldChar w:fldCharType="begin"/>
      </w:r>
      <w:r>
        <w:rPr>
          <w:sz w:val="24"/>
          <w:szCs w:val="24"/>
        </w:rPr>
        <w:instrText xml:space="preserve"> PAGEREF _Toc20802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_Toc17712 \h </w:instrText>
      </w:r>
      <w:r>
        <w:rPr>
          <w:sz w:val="24"/>
          <w:szCs w:val="24"/>
        </w:rPr>
        <w:fldChar w:fldCharType="separate"/>
      </w:r>
      <w:r>
        <w:rPr>
          <w:sz w:val="24"/>
          <w:szCs w:val="24"/>
        </w:rPr>
        <w:t>- 6 -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_Toc14419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采购程序及方法、评审标准、无效响应和采购终止</w:t>
      </w:r>
      <w:r>
        <w:rPr>
          <w:sz w:val="24"/>
          <w:szCs w:val="24"/>
        </w:rPr>
        <w:tab/>
      </w:r>
      <w:r>
        <w:rPr>
          <w:sz w:val="24"/>
          <w:szCs w:val="24"/>
        </w:rPr>
        <w:fldChar w:fldCharType="begin"/>
      </w:r>
      <w:r>
        <w:rPr>
          <w:sz w:val="24"/>
          <w:szCs w:val="24"/>
        </w:rPr>
        <w:instrText xml:space="preserve"> PAGEREF _Toc14419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w:t>
      </w:r>
      <w:r>
        <w:rPr>
          <w:sz w:val="24"/>
          <w:szCs w:val="24"/>
        </w:rPr>
        <w:tab/>
      </w:r>
      <w:r>
        <w:rPr>
          <w:sz w:val="24"/>
          <w:szCs w:val="24"/>
        </w:rPr>
        <w:fldChar w:fldCharType="begin"/>
      </w:r>
      <w:r>
        <w:rPr>
          <w:sz w:val="24"/>
          <w:szCs w:val="24"/>
        </w:rPr>
        <w:instrText xml:space="preserve"> PAGEREF _Toc3410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_Toc29068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二、评标方法</w:t>
      </w:r>
      <w:r>
        <w:rPr>
          <w:sz w:val="24"/>
          <w:szCs w:val="24"/>
        </w:rPr>
        <w:tab/>
      </w:r>
      <w:r>
        <w:rPr>
          <w:sz w:val="24"/>
          <w:szCs w:val="24"/>
        </w:rPr>
        <w:fldChar w:fldCharType="begin"/>
      </w:r>
      <w:r>
        <w:rPr>
          <w:sz w:val="24"/>
          <w:szCs w:val="24"/>
        </w:rPr>
        <w:instrText xml:space="preserve"> PAGEREF _Toc29068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_Toc4078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三、报价方式</w:t>
      </w:r>
      <w:r>
        <w:rPr>
          <w:sz w:val="24"/>
          <w:szCs w:val="24"/>
        </w:rPr>
        <w:tab/>
      </w:r>
      <w:r>
        <w:rPr>
          <w:sz w:val="24"/>
          <w:szCs w:val="24"/>
        </w:rPr>
        <w:fldChar w:fldCharType="begin"/>
      </w:r>
      <w:r>
        <w:rPr>
          <w:sz w:val="24"/>
          <w:szCs w:val="24"/>
        </w:rPr>
        <w:instrText xml:space="preserve"> PAGEREF _Toc4078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_Toc13703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sz w:val="24"/>
          <w:szCs w:val="24"/>
        </w:rPr>
        <w:t>本项目投标人可在投标现场进行第二次报价。</w:t>
      </w:r>
      <w:r>
        <w:rPr>
          <w:sz w:val="24"/>
          <w:szCs w:val="24"/>
        </w:rPr>
        <w:tab/>
      </w:r>
      <w:r>
        <w:rPr>
          <w:sz w:val="24"/>
          <w:szCs w:val="24"/>
        </w:rPr>
        <w:fldChar w:fldCharType="begin"/>
      </w:r>
      <w:r>
        <w:rPr>
          <w:sz w:val="24"/>
          <w:szCs w:val="24"/>
        </w:rPr>
        <w:instrText xml:space="preserve"> PAGEREF _Toc13703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_Toc23723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四、评审标准</w:t>
      </w:r>
      <w:r>
        <w:rPr>
          <w:sz w:val="24"/>
          <w:szCs w:val="24"/>
        </w:rPr>
        <w:tab/>
      </w:r>
      <w:r>
        <w:rPr>
          <w:sz w:val="24"/>
          <w:szCs w:val="24"/>
        </w:rPr>
        <w:fldChar w:fldCharType="begin"/>
      </w:r>
      <w:r>
        <w:rPr>
          <w:sz w:val="24"/>
          <w:szCs w:val="24"/>
        </w:rPr>
        <w:instrText xml:space="preserve"> PAGEREF _Toc23723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_Toc4326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五、无效响应</w:t>
      </w:r>
      <w:r>
        <w:rPr>
          <w:sz w:val="24"/>
          <w:szCs w:val="24"/>
        </w:rPr>
        <w:tab/>
      </w:r>
      <w:r>
        <w:rPr>
          <w:sz w:val="24"/>
          <w:szCs w:val="24"/>
        </w:rPr>
        <w:fldChar w:fldCharType="begin"/>
      </w:r>
      <w:r>
        <w:rPr>
          <w:sz w:val="24"/>
          <w:szCs w:val="24"/>
        </w:rPr>
        <w:instrText xml:space="preserve"> PAGEREF _Toc4326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_Toc25327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六、废标条款</w:t>
      </w:r>
      <w:r>
        <w:rPr>
          <w:sz w:val="24"/>
          <w:szCs w:val="24"/>
        </w:rPr>
        <w:tab/>
      </w:r>
      <w:r>
        <w:rPr>
          <w:sz w:val="24"/>
          <w:szCs w:val="24"/>
        </w:rPr>
        <w:fldChar w:fldCharType="begin"/>
      </w:r>
      <w:r>
        <w:rPr>
          <w:sz w:val="24"/>
          <w:szCs w:val="24"/>
        </w:rPr>
        <w:instrText xml:space="preserve"> PAGEREF _Toc25327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_Toc7572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投标人须知</w:t>
      </w:r>
      <w:r>
        <w:rPr>
          <w:sz w:val="24"/>
          <w:szCs w:val="24"/>
        </w:rPr>
        <w:tab/>
      </w:r>
      <w:r>
        <w:rPr>
          <w:sz w:val="24"/>
          <w:szCs w:val="24"/>
        </w:rPr>
        <w:fldChar w:fldCharType="begin"/>
      </w:r>
      <w:r>
        <w:rPr>
          <w:sz w:val="24"/>
          <w:szCs w:val="24"/>
        </w:rPr>
        <w:instrText xml:space="preserve"> PAGEREF _Toc7572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_Toc9364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费用</w:t>
      </w:r>
      <w:r>
        <w:rPr>
          <w:sz w:val="24"/>
          <w:szCs w:val="24"/>
        </w:rPr>
        <w:tab/>
      </w:r>
      <w:r>
        <w:rPr>
          <w:sz w:val="24"/>
          <w:szCs w:val="24"/>
        </w:rPr>
        <w:fldChar w:fldCharType="begin"/>
      </w:r>
      <w:r>
        <w:rPr>
          <w:sz w:val="24"/>
          <w:szCs w:val="24"/>
        </w:rPr>
        <w:instrText xml:space="preserve"> PAGEREF _Toc9364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_Toc20281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w:t>
      </w:r>
      <w:r>
        <w:rPr>
          <w:sz w:val="24"/>
          <w:szCs w:val="24"/>
        </w:rPr>
        <w:tab/>
      </w:r>
      <w:r>
        <w:rPr>
          <w:sz w:val="24"/>
          <w:szCs w:val="24"/>
        </w:rPr>
        <w:fldChar w:fldCharType="begin"/>
      </w:r>
      <w:r>
        <w:rPr>
          <w:sz w:val="24"/>
          <w:szCs w:val="24"/>
        </w:rPr>
        <w:instrText xml:space="preserve"> PAGEREF _Toc20281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_Toc8971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三、比选要求</w:t>
      </w:r>
      <w:r>
        <w:rPr>
          <w:sz w:val="24"/>
          <w:szCs w:val="24"/>
        </w:rPr>
        <w:tab/>
      </w:r>
      <w:r>
        <w:rPr>
          <w:sz w:val="24"/>
          <w:szCs w:val="24"/>
        </w:rPr>
        <w:fldChar w:fldCharType="begin"/>
      </w:r>
      <w:r>
        <w:rPr>
          <w:sz w:val="24"/>
          <w:szCs w:val="24"/>
        </w:rPr>
        <w:instrText xml:space="preserve"> PAGEREF _Toc8971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_Toc13378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四、成交供应商的确认和变更</w:t>
      </w:r>
      <w:r>
        <w:rPr>
          <w:sz w:val="24"/>
          <w:szCs w:val="24"/>
        </w:rPr>
        <w:tab/>
      </w:r>
      <w:r>
        <w:rPr>
          <w:sz w:val="24"/>
          <w:szCs w:val="24"/>
        </w:rPr>
        <w:fldChar w:fldCharType="begin"/>
      </w:r>
      <w:r>
        <w:rPr>
          <w:sz w:val="24"/>
          <w:szCs w:val="24"/>
        </w:rPr>
        <w:instrText xml:space="preserve"> PAGEREF _Toc13378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_Toc712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sz w:val="24"/>
          <w:szCs w:val="24"/>
        </w:rPr>
        <w:tab/>
      </w:r>
      <w:r>
        <w:rPr>
          <w:sz w:val="24"/>
          <w:szCs w:val="24"/>
        </w:rPr>
        <w:fldChar w:fldCharType="begin"/>
      </w:r>
      <w:r>
        <w:rPr>
          <w:sz w:val="24"/>
          <w:szCs w:val="24"/>
        </w:rPr>
        <w:instrText xml:space="preserve"> PAGEREF _Toc22564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_Toc32500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_Toc32500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_Toc6345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_Toc6345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_Toc22447 \h </w:instrText>
      </w:r>
      <w:r>
        <w:rPr>
          <w:sz w:val="24"/>
          <w:szCs w:val="24"/>
        </w:rPr>
        <w:fldChar w:fldCharType="separate"/>
      </w:r>
      <w:r>
        <w:rPr>
          <w:sz w:val="24"/>
          <w:szCs w:val="24"/>
        </w:rPr>
        <w:t>- 15 -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_Toc4162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sz w:val="24"/>
          <w:szCs w:val="24"/>
        </w:rPr>
        <w:tab/>
      </w:r>
      <w:r>
        <w:rPr>
          <w:sz w:val="24"/>
          <w:szCs w:val="24"/>
        </w:rPr>
        <w:fldChar w:fldCharType="begin"/>
      </w:r>
      <w:r>
        <w:rPr>
          <w:sz w:val="24"/>
          <w:szCs w:val="24"/>
        </w:rPr>
        <w:instrText xml:space="preserve"> PAGEREF _Toc4162 \h </w:instrText>
      </w:r>
      <w:r>
        <w:rPr>
          <w:sz w:val="24"/>
          <w:szCs w:val="24"/>
        </w:rPr>
        <w:fldChar w:fldCharType="separate"/>
      </w:r>
      <w:r>
        <w:rPr>
          <w:sz w:val="24"/>
          <w:szCs w:val="24"/>
        </w:rPr>
        <w:t>- 17 -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_Toc30571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_Toc30571 \h </w:instrText>
      </w:r>
      <w:r>
        <w:rPr>
          <w:sz w:val="24"/>
          <w:szCs w:val="24"/>
        </w:rPr>
        <w:fldChar w:fldCharType="separate"/>
      </w:r>
      <w:r>
        <w:rPr>
          <w:sz w:val="24"/>
          <w:szCs w:val="24"/>
        </w:rPr>
        <w:t>- 19 -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_Toc32054 \h </w:instrText>
      </w:r>
      <w:r>
        <w:rPr>
          <w:sz w:val="24"/>
          <w:szCs w:val="24"/>
        </w:rPr>
        <w:fldChar w:fldCharType="separate"/>
      </w:r>
      <w:r>
        <w:rPr>
          <w:sz w:val="24"/>
          <w:szCs w:val="24"/>
        </w:rPr>
        <w:t>- 21 -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_Toc12335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_Toc12335 \h </w:instrText>
      </w:r>
      <w:r>
        <w:rPr>
          <w:sz w:val="24"/>
          <w:szCs w:val="24"/>
        </w:rPr>
        <w:fldChar w:fldCharType="separate"/>
      </w:r>
      <w:r>
        <w:rPr>
          <w:sz w:val="24"/>
          <w:szCs w:val="24"/>
        </w:rPr>
        <w:t>- 27 -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7678"/>
      <w:bookmarkStart w:id="1" w:name="_Toc11641050"/>
      <w:bookmarkStart w:id="2" w:name="_Toc76462316"/>
      <w:bookmarkStart w:id="3" w:name="_Toc12789052"/>
      <w:bookmarkStart w:id="4" w:name="_Toc106030870"/>
      <w:bookmarkStart w:id="5" w:name="_Toc24037"/>
      <w:r>
        <w:rPr>
          <w:rFonts w:hint="eastAsia" w:ascii="微软雅黑" w:hAnsi="微软雅黑" w:eastAsia="微软雅黑" w:cs="微软雅黑"/>
          <w:sz w:val="44"/>
        </w:rPr>
        <w:t>第一篇  采购邀请书</w:t>
      </w:r>
      <w:bookmarkEnd w:id="0"/>
      <w:bookmarkEnd w:id="1"/>
      <w:bookmarkEnd w:id="2"/>
      <w:bookmarkEnd w:id="3"/>
      <w:bookmarkEnd w:id="4"/>
      <w:bookmarkEnd w:id="5"/>
    </w:p>
    <w:p>
      <w:pPr>
        <w:spacing w:line="360" w:lineRule="auto"/>
        <w:ind w:firstLine="480" w:firstLineChars="200"/>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重庆医科大学附属儿童医院对</w:t>
      </w:r>
      <w:r>
        <w:rPr>
          <w:rFonts w:hint="eastAsia" w:ascii="微软雅黑" w:hAnsi="微软雅黑" w:eastAsia="微软雅黑" w:cs="微软雅黑"/>
          <w:sz w:val="24"/>
          <w:szCs w:val="24"/>
          <w:u w:val="single"/>
          <w:lang w:val="en-US" w:eastAsia="zh-CN"/>
        </w:rPr>
        <w:t>高流量呼吸机管路</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106030871"/>
      <w:bookmarkStart w:id="7" w:name="_Toc313893526"/>
      <w:bookmarkStart w:id="8" w:name="_Toc3856"/>
      <w:bookmarkStart w:id="9" w:name="_Toc76462317"/>
      <w:bookmarkStart w:id="10" w:name="_Toc18148"/>
      <w:bookmarkStart w:id="11" w:name="_Toc317775175"/>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采购内容</w:t>
      </w:r>
      <w:bookmarkEnd w:id="6"/>
      <w:bookmarkEnd w:id="7"/>
      <w:bookmarkEnd w:id="8"/>
      <w:bookmarkEnd w:id="9"/>
      <w:bookmarkEnd w:id="10"/>
      <w:bookmarkEnd w:id="11"/>
    </w:p>
    <w:tbl>
      <w:tblPr>
        <w:tblStyle w:val="58"/>
        <w:tblW w:w="42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2911"/>
        <w:gridCol w:w="1486"/>
        <w:gridCol w:w="2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81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92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299"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中标单位数量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64"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kern w:val="0"/>
                <w:sz w:val="21"/>
                <w:szCs w:val="21"/>
                <w:lang w:val="en-US" w:eastAsia="zh-CN"/>
              </w:rPr>
            </w:pPr>
            <w:r>
              <w:rPr>
                <w:rFonts w:hint="eastAsia" w:ascii="微软雅黑" w:hAnsi="微软雅黑" w:eastAsia="微软雅黑" w:cs="微软雅黑"/>
                <w:b w:val="0"/>
                <w:bCs/>
                <w:color w:val="333333"/>
                <w:kern w:val="0"/>
                <w:sz w:val="21"/>
                <w:szCs w:val="21"/>
                <w:lang w:val="en-US" w:eastAsia="zh-CN"/>
              </w:rPr>
              <w:t>YSB250523</w:t>
            </w:r>
          </w:p>
        </w:tc>
        <w:tc>
          <w:tcPr>
            <w:tcW w:w="181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eastAsia="zh-CN"/>
              </w:rPr>
            </w:pPr>
            <w:r>
              <w:rPr>
                <w:rFonts w:hint="eastAsia" w:ascii="微软雅黑" w:hAnsi="微软雅黑" w:eastAsia="微软雅黑" w:cs="微软雅黑"/>
                <w:b w:val="0"/>
                <w:bCs/>
                <w:color w:val="333333"/>
                <w:kern w:val="0"/>
                <w:sz w:val="21"/>
                <w:szCs w:val="21"/>
                <w:lang w:val="en-US" w:eastAsia="zh-CN"/>
              </w:rPr>
              <w:t>高流量呼吸机管路</w:t>
            </w:r>
          </w:p>
        </w:tc>
        <w:tc>
          <w:tcPr>
            <w:tcW w:w="92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b w:val="0"/>
                <w:bCs/>
                <w:color w:val="333333"/>
                <w:kern w:val="0"/>
                <w:sz w:val="21"/>
                <w:szCs w:val="21"/>
                <w:lang w:val="en-US" w:eastAsia="zh-CN"/>
              </w:rPr>
              <w:t>2000</w:t>
            </w:r>
          </w:p>
        </w:tc>
        <w:tc>
          <w:tcPr>
            <w:tcW w:w="129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b w:val="0"/>
                <w:bCs w:val="0"/>
                <w:color w:val="333333"/>
                <w:kern w:val="0"/>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30460"/>
      <w:r>
        <w:rPr>
          <w:rFonts w:hint="eastAsia" w:ascii="微软雅黑" w:hAnsi="微软雅黑" w:eastAsia="微软雅黑" w:cs="微软雅黑"/>
          <w:sz w:val="24"/>
        </w:rPr>
        <w:t>二、</w:t>
      </w:r>
      <w:bookmarkEnd w:id="12"/>
      <w:bookmarkEnd w:id="13"/>
      <w:bookmarkEnd w:id="16"/>
      <w:bookmarkStart w:id="18" w:name="_Toc76462319"/>
      <w:bookmarkStart w:id="19" w:name="_Toc4480"/>
      <w:bookmarkStart w:id="20" w:name="_Toc106030873"/>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106030874"/>
      <w:bookmarkStart w:id="22" w:name="_Toc27954"/>
      <w:bookmarkStart w:id="23" w:name="_Toc76462320"/>
    </w:p>
    <w:p>
      <w:pPr>
        <w:spacing w:line="400" w:lineRule="exact"/>
        <w:ind w:firstLine="480" w:firstLineChars="200"/>
        <w:rPr>
          <w:rFonts w:hint="eastAsia" w:ascii="微软雅黑" w:hAnsi="微软雅黑" w:eastAsia="微软雅黑" w:cs="微软雅黑"/>
          <w:sz w:val="24"/>
          <w:szCs w:val="24"/>
        </w:rPr>
      </w:pPr>
      <w:bookmarkStart w:id="24" w:name="_Toc5002"/>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8.投标人须提供投标产品的说明书；</w:t>
      </w:r>
    </w:p>
    <w:p>
      <w:pPr>
        <w:pStyle w:val="4"/>
        <w:adjustRightInd w:val="0"/>
        <w:snapToGrid w:val="0"/>
        <w:spacing w:before="0" w:after="0" w:line="400" w:lineRule="exact"/>
        <w:ind w:firstLine="480" w:firstLineChars="200"/>
        <w:rPr>
          <w:rFonts w:hint="eastAsia" w:ascii="微软雅黑" w:hAnsi="微软雅黑" w:eastAsia="微软雅黑" w:cs="微软雅黑"/>
          <w:sz w:val="24"/>
          <w:lang w:eastAsia="zh-CN"/>
        </w:rPr>
      </w:pPr>
      <w:r>
        <w:rPr>
          <w:rFonts w:hint="eastAsia" w:ascii="微软雅黑" w:hAnsi="微软雅黑" w:eastAsia="微软雅黑" w:cs="微软雅黑"/>
          <w:sz w:val="24"/>
          <w:lang w:eastAsia="zh-CN"/>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采购的投标人，请在重庆医科大学附属儿童医院电子招投标平台下载本项目</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采购文件以及其他所有项目资料，无论投标人下载与否，均视为已知晓所有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521053053"/>
      <w:bookmarkStart w:id="26" w:name="_Toc65660334"/>
      <w:bookmarkStart w:id="27" w:name="_Toc6178"/>
      <w:bookmarkStart w:id="28" w:name="_Toc11956"/>
      <w:bookmarkStart w:id="29" w:name="_Toc12841"/>
      <w:bookmarkStart w:id="30" w:name="_Toc106034625"/>
      <w:bookmarkStart w:id="31" w:name="_Toc28629"/>
      <w:bookmarkStart w:id="32" w:name="_Toc525047161"/>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1.未成交供应商的保证金，在中标通知书发放后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u w:val="single"/>
        </w:rPr>
        <w:t>2.成交供应商的保证金，将在与我院完成签订本项目合同并提交</w:t>
      </w:r>
      <w:r>
        <w:rPr>
          <w:rFonts w:hint="eastAsia" w:ascii="微软雅黑" w:hAnsi="微软雅黑" w:eastAsia="微软雅黑" w:cs="微软雅黑"/>
          <w:color w:val="auto"/>
          <w:sz w:val="24"/>
          <w:szCs w:val="24"/>
          <w:u w:val="single"/>
          <w:lang w:eastAsia="zh-CN"/>
        </w:rPr>
        <w:t>采购管理处</w:t>
      </w:r>
      <w:r>
        <w:rPr>
          <w:rFonts w:hint="eastAsia" w:ascii="微软雅黑" w:hAnsi="微软雅黑" w:eastAsia="微软雅黑" w:cs="微软雅黑"/>
          <w:color w:val="auto"/>
          <w:sz w:val="24"/>
          <w:szCs w:val="24"/>
          <w:u w:val="single"/>
        </w:rPr>
        <w:t>（将合同扫描文件发送至zbb63632469@qq.com）之后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2945"/>
      <w:bookmarkStart w:id="34" w:name="_Toc65660335"/>
      <w:bookmarkStart w:id="35" w:name="_Toc4355"/>
      <w:bookmarkStart w:id="36" w:name="_Toc525047162"/>
      <w:bookmarkStart w:id="37" w:name="_Toc521053054"/>
      <w:bookmarkStart w:id="38" w:name="_Toc106034626"/>
      <w:bookmarkStart w:id="39" w:name="_Toc1546"/>
      <w:bookmarkStart w:id="40" w:name="_Toc23490"/>
      <w:r>
        <w:rPr>
          <w:rFonts w:hint="eastAsia" w:ascii="微软雅黑" w:hAnsi="微软雅黑" w:eastAsia="微软雅黑" w:cs="微软雅黑"/>
          <w:sz w:val="24"/>
        </w:rPr>
        <w:t>五、</w:t>
      </w:r>
      <w:bookmarkEnd w:id="33"/>
      <w:bookmarkEnd w:id="34"/>
      <w:bookmarkEnd w:id="35"/>
      <w:bookmarkEnd w:id="36"/>
      <w:bookmarkEnd w:id="37"/>
      <w:bookmarkEnd w:id="38"/>
      <w:bookmarkStart w:id="41" w:name="_Toc106034627"/>
      <w:bookmarkStart w:id="42" w:name="_Toc16269"/>
      <w:bookmarkStart w:id="43" w:name="_Toc6563"/>
      <w:bookmarkStart w:id="44" w:name="_Toc525047163"/>
      <w:bookmarkStart w:id="45" w:name="_Toc521053055"/>
      <w:bookmarkStart w:id="46" w:name="_Toc65660336"/>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采购文件有任何实质性疑问，应当以书面形式向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10415"/>
      <w:bookmarkStart w:id="48" w:name="_Toc106034628"/>
      <w:bookmarkStart w:id="49" w:name="_Toc20454"/>
      <w:bookmarkStart w:id="50" w:name="_Toc521053056"/>
      <w:bookmarkStart w:id="51" w:name="_Toc65660337"/>
      <w:bookmarkStart w:id="52" w:name="_Toc1733"/>
      <w:bookmarkStart w:id="53" w:name="_Toc24901"/>
      <w:bookmarkStart w:id="54" w:name="_Toc525047164"/>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箱：zbb63632469@qq.com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sz w:val="24"/>
          <w:szCs w:val="24"/>
        </w:rPr>
      </w:pPr>
      <w:bookmarkStart w:id="55" w:name="_Toc12789058"/>
    </w:p>
    <w:p>
      <w:pPr>
        <w:pStyle w:val="3"/>
        <w:tabs>
          <w:tab w:val="left" w:pos="3360"/>
        </w:tabs>
        <w:spacing w:line="360" w:lineRule="auto"/>
        <w:jc w:val="center"/>
        <w:rPr>
          <w:rFonts w:hint="eastAsia" w:ascii="微软雅黑" w:hAnsi="微软雅黑" w:eastAsia="微软雅黑" w:cs="微软雅黑"/>
          <w:b/>
          <w:sz w:val="44"/>
        </w:rPr>
      </w:pPr>
      <w:bookmarkStart w:id="56" w:name="_Toc23143"/>
      <w:bookmarkStart w:id="57" w:name="_Toc75793504"/>
      <w:bookmarkStart w:id="58" w:name="_Toc32686"/>
      <w:bookmarkStart w:id="59" w:name="_Toc25639"/>
      <w:bookmarkStart w:id="60" w:name="_Toc19886"/>
      <w:bookmarkStart w:id="61" w:name="_Toc1625"/>
      <w:bookmarkStart w:id="62" w:name="_Toc1492"/>
      <w:bookmarkStart w:id="63" w:name="_Toc26176"/>
      <w:bookmarkStart w:id="64" w:name="_Toc725"/>
      <w:bookmarkStart w:id="65" w:name="_Toc5461"/>
      <w:bookmarkStart w:id="66" w:name="_Toc2070"/>
      <w:bookmarkStart w:id="67" w:name="_Toc2422"/>
      <w:bookmarkStart w:id="68" w:name="_Toc8649"/>
      <w:bookmarkStart w:id="69" w:name="_Toc11017"/>
      <w:bookmarkStart w:id="70" w:name="_Toc12959"/>
      <w:bookmarkStart w:id="71" w:name="_Toc106030380"/>
      <w:bookmarkStart w:id="72" w:name="_Toc20802"/>
      <w:r>
        <w:rPr>
          <w:rFonts w:hint="eastAsia" w:ascii="微软雅黑" w:hAnsi="微软雅黑" w:eastAsia="微软雅黑" w:cs="微软雅黑"/>
          <w:b/>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微软雅黑" w:hAnsi="微软雅黑" w:eastAsia="微软雅黑" w:cs="微软雅黑"/>
          <w:b/>
          <w:sz w:val="44"/>
        </w:rPr>
        <w:t>项目技术（质量）需求</w:t>
      </w:r>
      <w:bookmarkEnd w:id="71"/>
      <w:bookmarkEnd w:id="72"/>
    </w:p>
    <w:p>
      <w:pPr>
        <w:ind w:firstLine="480" w:firstLineChars="200"/>
        <w:rPr>
          <w:rFonts w:hint="eastAsia" w:ascii="微软雅黑" w:hAnsi="微软雅黑" w:eastAsia="微软雅黑" w:cs="微软雅黑"/>
          <w:b/>
          <w:bCs/>
          <w:sz w:val="24"/>
          <w:szCs w:val="24"/>
        </w:rPr>
      </w:pPr>
      <w:bookmarkStart w:id="73" w:name="_Toc4913"/>
      <w:bookmarkStart w:id="74" w:name="_Toc20979"/>
      <w:bookmarkStart w:id="75" w:name="_Toc22910"/>
      <w:bookmarkStart w:id="76" w:name="_Toc23656"/>
      <w:bookmarkStart w:id="77" w:name="_Toc11703"/>
      <w:bookmarkStart w:id="78" w:name="_Toc29985"/>
      <w:bookmarkStart w:id="79" w:name="_Toc106030381"/>
      <w:bookmarkStart w:id="80" w:name="_Toc75793505"/>
      <w:bookmarkStart w:id="81" w:name="_Toc9261"/>
      <w:bookmarkStart w:id="82" w:name="_Toc8370"/>
      <w:bookmarkStart w:id="83" w:name="_Toc4531"/>
      <w:bookmarkStart w:id="84" w:name="_Toc7027"/>
      <w:bookmarkStart w:id="85" w:name="_Toc19238"/>
      <w:bookmarkStart w:id="86" w:name="_Toc4519"/>
      <w:bookmarkStart w:id="87" w:name="_Toc23504"/>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4474"/>
        <w:gridCol w:w="1905"/>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447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905"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275"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b w:val="0"/>
                <w:bCs/>
                <w:color w:val="333333"/>
                <w:kern w:val="0"/>
                <w:sz w:val="21"/>
                <w:szCs w:val="21"/>
                <w:lang w:val="en-US" w:eastAsia="zh-CN" w:bidi="ar-SA"/>
              </w:rPr>
              <w:t>1</w:t>
            </w:r>
          </w:p>
        </w:tc>
        <w:tc>
          <w:tcPr>
            <w:tcW w:w="4474"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高流量呼吸机管路</w:t>
            </w:r>
          </w:p>
        </w:tc>
        <w:tc>
          <w:tcPr>
            <w:tcW w:w="1905"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按实结算</w:t>
            </w:r>
          </w:p>
        </w:tc>
        <w:tc>
          <w:tcPr>
            <w:tcW w:w="1275" w:type="dxa"/>
            <w:vAlign w:val="center"/>
          </w:tcPr>
          <w:p>
            <w:pPr>
              <w:jc w:val="center"/>
              <w:rPr>
                <w:rFonts w:hint="eastAsia" w:ascii="微软雅黑" w:hAnsi="微软雅黑" w:eastAsia="微软雅黑" w:cs="微软雅黑"/>
                <w:sz w:val="21"/>
                <w:szCs w:val="21"/>
              </w:rPr>
            </w:pPr>
          </w:p>
        </w:tc>
      </w:tr>
    </w:tbl>
    <w:p>
      <w:pPr>
        <w:numPr>
          <w:ilvl w:val="0"/>
          <w:numId w:val="14"/>
        </w:numPr>
        <w:ind w:left="1200" w:leftChars="0" w:hanging="720" w:firstLineChars="0"/>
        <w:rPr>
          <w:rFonts w:hint="eastAsia" w:ascii="微软雅黑" w:hAnsi="微软雅黑" w:eastAsia="微软雅黑" w:cs="微软雅黑"/>
          <w:b/>
          <w:bCs/>
          <w:sz w:val="24"/>
          <w:szCs w:val="24"/>
        </w:rPr>
      </w:pPr>
      <w:bookmarkStart w:id="88" w:name="_Toc18903"/>
      <w:bookmarkStart w:id="89" w:name="_Toc27067"/>
      <w:bookmarkStart w:id="90" w:name="_Toc5751"/>
      <w:bookmarkStart w:id="91" w:name="_Toc26453"/>
      <w:bookmarkStart w:id="92" w:name="_Toc7792"/>
      <w:bookmarkStart w:id="93" w:name="_Toc18800"/>
      <w:bookmarkStart w:id="94" w:name="_Toc15696"/>
      <w:bookmarkStart w:id="95" w:name="_Toc23975"/>
      <w:bookmarkStart w:id="96" w:name="_Toc106030382"/>
      <w:bookmarkStart w:id="97" w:name="_Toc695"/>
      <w:bookmarkStart w:id="98" w:name="_Toc21817"/>
      <w:bookmarkStart w:id="99" w:name="_Toc32262"/>
      <w:bookmarkStart w:id="100" w:name="_Toc12568"/>
      <w:bookmarkStart w:id="101" w:name="_Toc75793506"/>
      <w:bookmarkStart w:id="102" w:name="_Toc10143"/>
      <w:bookmarkStart w:id="103" w:name="_Toc28205"/>
      <w:r>
        <w:rPr>
          <w:rFonts w:hint="eastAsia" w:ascii="微软雅黑" w:hAnsi="微软雅黑" w:eastAsia="微软雅黑" w:cs="微软雅黑"/>
          <w:b/>
          <w:bCs/>
          <w:sz w:val="24"/>
          <w:szCs w:val="24"/>
        </w:rPr>
        <w:t>项目技术需求</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pPr>
        <w:snapToGrid w:val="0"/>
        <w:spacing w:line="400" w:lineRule="exact"/>
        <w:ind w:firstLine="480" w:firstLineChars="200"/>
        <w:rPr>
          <w:rFonts w:hint="eastAsia" w:ascii="微软雅黑" w:hAnsi="微软雅黑" w:eastAsia="微软雅黑" w:cs="微软雅黑"/>
          <w:sz w:val="24"/>
          <w:szCs w:val="24"/>
          <w:lang w:val="en-US" w:eastAsia="zh-CN"/>
        </w:rPr>
      </w:pPr>
      <w:bookmarkStart w:id="104" w:name="_Toc17712"/>
      <w:bookmarkStart w:id="105" w:name="_Toc106030882"/>
      <w:bookmarkStart w:id="106" w:name="_Toc7791"/>
      <w:bookmarkStart w:id="107" w:name="_Toc76462327"/>
      <w:r>
        <w:rPr>
          <w:rFonts w:hint="eastAsia" w:ascii="微软雅黑" w:hAnsi="微软雅黑" w:eastAsia="微软雅黑" w:cs="微软雅黑"/>
          <w:sz w:val="24"/>
          <w:szCs w:val="24"/>
          <w:lang w:val="en-US" w:eastAsia="zh-CN"/>
        </w:rPr>
        <w:t>高流量呼吸机管路</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（一）</w:t>
      </w:r>
      <w:r>
        <w:rPr>
          <w:rFonts w:hint="default" w:ascii="微软雅黑" w:hAnsi="微软雅黑" w:eastAsia="微软雅黑" w:cs="微软雅黑"/>
          <w:sz w:val="24"/>
          <w:szCs w:val="24"/>
          <w:lang w:val="en-US" w:eastAsia="zh-CN"/>
        </w:rPr>
        <w:t>适用机型：兼容主流品牌</w:t>
      </w:r>
      <w:r>
        <w:rPr>
          <w:rFonts w:hint="eastAsia" w:ascii="微软雅黑" w:hAnsi="微软雅黑" w:eastAsia="微软雅黑" w:cs="微软雅黑"/>
          <w:sz w:val="24"/>
          <w:szCs w:val="24"/>
          <w:lang w:val="en-US" w:eastAsia="zh-CN"/>
        </w:rPr>
        <w:t>高流量</w:t>
      </w:r>
      <w:r>
        <w:rPr>
          <w:rFonts w:hint="default" w:ascii="微软雅黑" w:hAnsi="微软雅黑" w:eastAsia="微软雅黑" w:cs="微软雅黑"/>
          <w:sz w:val="24"/>
          <w:szCs w:val="24"/>
          <w:lang w:val="en-US" w:eastAsia="zh-CN"/>
        </w:rPr>
        <w:t>呼吸机（</w:t>
      </w:r>
      <w:r>
        <w:rPr>
          <w:rFonts w:hint="eastAsia" w:ascii="微软雅黑" w:hAnsi="微软雅黑" w:eastAsia="微软雅黑" w:cs="微软雅黑"/>
          <w:sz w:val="24"/>
          <w:szCs w:val="24"/>
          <w:lang w:val="en-US" w:eastAsia="zh-CN"/>
        </w:rPr>
        <w:t>如迈思、费雪派克等</w:t>
      </w:r>
      <w:r>
        <w:rPr>
          <w:rFonts w:hint="default" w:ascii="微软雅黑" w:hAnsi="微软雅黑" w:eastAsia="微软雅黑" w:cs="微软雅黑"/>
          <w:sz w:val="24"/>
          <w:szCs w:val="24"/>
          <w:lang w:val="en-US" w:eastAsia="zh-CN"/>
        </w:rPr>
        <w:t>）</w:t>
      </w:r>
      <w:r>
        <w:rPr>
          <w:rFonts w:hint="eastAsia" w:ascii="微软雅黑" w:hAnsi="微软雅黑" w:eastAsia="微软雅黑" w:cs="微软雅黑"/>
          <w:sz w:val="24"/>
          <w:szCs w:val="24"/>
          <w:lang w:val="en-US" w:eastAsia="zh-CN"/>
        </w:rPr>
        <w:t>；</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（二）规格型号：适配新生儿、儿童及年长儿患者；</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（三）管路材质：医用级高分子材料；</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（四）连接接口：机器端：22mm外锥接头；患者端：适用于标准鼻塞或面罩接口；</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（五）</w:t>
      </w:r>
      <w:r>
        <w:rPr>
          <w:rFonts w:hint="default" w:ascii="微软雅黑" w:hAnsi="微软雅黑" w:eastAsia="微软雅黑" w:cs="微软雅黑"/>
          <w:sz w:val="24"/>
          <w:szCs w:val="24"/>
          <w:lang w:val="en-US" w:eastAsia="zh-CN"/>
        </w:rPr>
        <w:t>功能要求：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1.管路长度：包含但不限于标准1.5米；</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2.管路内径：15mm ± 0.5mm，确保低气流阻力；</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3.管路标识：管路有清晰的颜色标识，便于区分气体类型（如氧气为绿色）；</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4.配套高流量鼻导管：具有柔软衬垫防压伤，导管透明，且无冷凝水集聚。</w:t>
      </w:r>
    </w:p>
    <w:p>
      <w:pPr>
        <w:snapToGrid w:val="0"/>
        <w:spacing w:line="400" w:lineRule="exact"/>
        <w:ind w:firstLine="480" w:firstLineChars="200"/>
        <w:rPr>
          <w:rFonts w:hint="eastAsia" w:ascii="微软雅黑" w:hAnsi="微软雅黑" w:eastAsia="微软雅黑" w:cs="微软雅黑"/>
          <w:sz w:val="24"/>
          <w:szCs w:val="24"/>
          <w:lang w:val="en-US" w:eastAsia="zh-CN"/>
        </w:rPr>
      </w:pPr>
      <w:bookmarkStart w:id="108" w:name="OLE_LINK2"/>
      <w:r>
        <w:rPr>
          <w:rFonts w:hint="eastAsia" w:ascii="微软雅黑" w:hAnsi="微软雅黑" w:eastAsia="微软雅黑" w:cs="微软雅黑"/>
          <w:sz w:val="24"/>
          <w:szCs w:val="24"/>
          <w:lang w:val="en-US" w:eastAsia="zh-CN"/>
        </w:rPr>
        <w:t>（六）</w:t>
      </w:r>
      <w:bookmarkEnd w:id="108"/>
      <w:r>
        <w:rPr>
          <w:rFonts w:hint="eastAsia" w:ascii="微软雅黑" w:hAnsi="微软雅黑" w:eastAsia="微软雅黑" w:cs="微软雅黑"/>
          <w:sz w:val="24"/>
          <w:szCs w:val="24"/>
          <w:lang w:val="en-US" w:eastAsia="zh-CN"/>
        </w:rPr>
        <w:t>性能要求：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1.流量范围：支持2~60 L/min的高流量气体输送；</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2.抗扭曲性：管路在180度弯曲后仍能保持通畅，无塌陷；</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3.抗冷凝性能：管路内壁应具备抗冷凝设计，减少冷凝水积聚；</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4.耐压性能：能承受至少50 cmH₂O的压力，无泄漏或破裂；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5.温度耐受性：耐受气体温度范围10°C~40°C；</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（七）安全要求：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1.抗静电性能：管路具备抗静电设计，防止静电积聚；</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2.透明度：管路透明，便于观察内部气体流动及冷凝水情况；</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3.标识清晰：管路有清晰的流量范围、氧浓度范围及使用说明标识。</w:t>
      </w:r>
    </w:p>
    <w:p>
      <w:pPr>
        <w:snapToGrid w:val="0"/>
        <w:spacing w:line="400" w:lineRule="exact"/>
        <w:ind w:firstLine="480" w:firstLineChars="200"/>
        <w:rPr>
          <w:rFonts w:hint="eastAsia" w:ascii="微软雅黑" w:hAnsi="微软雅黑" w:eastAsia="微软雅黑" w:cs="微软雅黑"/>
          <w:sz w:val="24"/>
          <w:szCs w:val="24"/>
          <w:lang w:val="en-US" w:eastAsia="zh-CN"/>
        </w:rPr>
      </w:pP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注：</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1.请提供产品说明书以及相关权威资质作为以下参数的证明材料。</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2.开标现场必须提供所投产品带包装的样品，包装需与供货包装一致。</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3.线下报价产品需在药交所上备案。</w:t>
      </w:r>
    </w:p>
    <w:p>
      <w:pPr>
        <w:pStyle w:val="2"/>
        <w:rPr>
          <w:rFonts w:hint="eastAsia"/>
          <w:lang w:val="en-US" w:eastAsia="zh-CN"/>
        </w:rPr>
      </w:pPr>
    </w:p>
    <w:p>
      <w:pP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br w:type="page"/>
      </w:r>
    </w:p>
    <w:p>
      <w:pPr>
        <w:snapToGrid w:val="0"/>
        <w:spacing w:line="400" w:lineRule="exact"/>
        <w:ind w:firstLine="480" w:firstLineChars="200"/>
        <w:rPr>
          <w:rFonts w:hint="eastAsia" w:ascii="微软雅黑" w:hAnsi="微软雅黑" w:eastAsia="微软雅黑" w:cs="微软雅黑"/>
          <w:sz w:val="44"/>
        </w:rPr>
      </w:pPr>
      <w:r>
        <w:rPr>
          <w:rFonts w:hint="eastAsia" w:ascii="宋体" w:hAnsi="宋体" w:eastAsia="宋体" w:cs="宋体"/>
          <w:color w:val="000000"/>
          <w:kern w:val="0"/>
          <w:sz w:val="24"/>
          <w:szCs w:val="24"/>
          <w:lang w:val="en-US" w:eastAsia="zh-CN"/>
        </w:rPr>
        <w:t xml:space="preserve">                    </w:t>
      </w:r>
      <w:r>
        <w:rPr>
          <w:rFonts w:hint="eastAsia" w:ascii="微软雅黑" w:hAnsi="微软雅黑" w:eastAsia="微软雅黑" w:cs="微软雅黑"/>
          <w:sz w:val="44"/>
        </w:rPr>
        <w:t xml:space="preserve">第三篇  </w:t>
      </w:r>
      <w:bookmarkEnd w:id="55"/>
      <w:r>
        <w:rPr>
          <w:rFonts w:hint="eastAsia" w:ascii="微软雅黑" w:hAnsi="微软雅黑" w:eastAsia="微软雅黑" w:cs="微软雅黑"/>
          <w:sz w:val="44"/>
        </w:rPr>
        <w:t>项目商务需求</w:t>
      </w:r>
      <w:bookmarkEnd w:id="104"/>
      <w:bookmarkEnd w:id="105"/>
      <w:bookmarkEnd w:id="106"/>
      <w:bookmarkEnd w:id="107"/>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sz w:val="24"/>
                <w:szCs w:val="24"/>
              </w:rPr>
            </w:pPr>
            <w:r>
              <w:rPr>
                <w:rFonts w:hint="eastAsia" w:ascii="微软雅黑" w:hAnsi="微软雅黑" w:eastAsia="微软雅黑" w:cs="微软雅黑"/>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合同、</w:t>
            </w:r>
            <w:r>
              <w:rPr>
                <w:rFonts w:hint="eastAsia" w:ascii="微软雅黑" w:hAnsi="微软雅黑" w:eastAsia="微软雅黑" w:cs="微软雅黑"/>
                <w:b/>
                <w:bCs/>
                <w:sz w:val="24"/>
                <w:szCs w:val="24"/>
              </w:rPr>
              <w:t>交货时间、交货地点及验收方式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服务期：三年</w:t>
            </w:r>
          </w:p>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交货期：接到通知后7个日历日内送到指定地点</w:t>
            </w:r>
          </w:p>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交货地点：重庆医科大学附属儿童医院设备处</w:t>
            </w:r>
          </w:p>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验收方式：现场抽样开箱验收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质量保证及售后服务</w:t>
            </w:r>
          </w:p>
        </w:tc>
        <w:tc>
          <w:tcPr>
            <w:tcW w:w="4277" w:type="pct"/>
            <w:vAlign w:val="center"/>
          </w:tcPr>
          <w:p>
            <w:pPr>
              <w:pStyle w:val="242"/>
              <w:keepNext w:val="0"/>
              <w:keepLines w:val="0"/>
              <w:pageBreakBefore w:val="0"/>
              <w:numPr>
                <w:ilvl w:val="0"/>
                <w:numId w:val="0"/>
              </w:numPr>
              <w:kinsoku/>
              <w:wordWrap/>
              <w:overflowPunct/>
              <w:topLinePunct w:val="0"/>
              <w:autoSpaceDE/>
              <w:autoSpaceDN/>
              <w:bidi w:val="0"/>
              <w:spacing w:after="0" w:line="240" w:lineRule="auto"/>
              <w:ind w:leftChars="0"/>
              <w:jc w:val="left"/>
              <w:textAlignment w:val="auto"/>
              <w:rPr>
                <w:rFonts w:hint="eastAsia" w:ascii="微软雅黑" w:hAnsi="微软雅黑" w:eastAsia="微软雅黑" w:cs="微软雅黑"/>
                <w:color w:val="auto"/>
                <w:kern w:val="2"/>
                <w:sz w:val="21"/>
                <w:szCs w:val="21"/>
                <w:lang w:val="en-US" w:eastAsia="zh-CN" w:bidi="ar-SA"/>
              </w:rPr>
            </w:pPr>
            <w:r>
              <w:rPr>
                <w:rFonts w:hint="eastAsia" w:ascii="微软雅黑" w:hAnsi="微软雅黑" w:cs="微软雅黑"/>
                <w:color w:val="auto"/>
                <w:kern w:val="2"/>
                <w:sz w:val="21"/>
                <w:szCs w:val="21"/>
                <w:lang w:val="en-US" w:eastAsia="zh-CN" w:bidi="ar-SA"/>
              </w:rPr>
              <w:t>1.</w:t>
            </w:r>
            <w:r>
              <w:rPr>
                <w:rFonts w:hint="eastAsia" w:ascii="微软雅黑" w:hAnsi="微软雅黑" w:eastAsia="微软雅黑" w:cs="微软雅黑"/>
                <w:color w:val="auto"/>
                <w:kern w:val="2"/>
                <w:sz w:val="21"/>
                <w:szCs w:val="21"/>
                <w:lang w:val="en-US" w:eastAsia="zh-CN" w:bidi="ar-SA"/>
              </w:rPr>
              <w:t>中标后若出现断供或发生Ⅱ级不良事件，自动取消该产品的供货资格；</w:t>
            </w:r>
          </w:p>
          <w:p>
            <w:pPr>
              <w:pStyle w:val="242"/>
              <w:keepNext w:val="0"/>
              <w:keepLines w:val="0"/>
              <w:pageBreakBefore w:val="0"/>
              <w:numPr>
                <w:ilvl w:val="0"/>
                <w:numId w:val="0"/>
              </w:numPr>
              <w:kinsoku/>
              <w:wordWrap/>
              <w:overflowPunct/>
              <w:topLinePunct w:val="0"/>
              <w:autoSpaceDE/>
              <w:autoSpaceDN/>
              <w:bidi w:val="0"/>
              <w:spacing w:after="0" w:line="240" w:lineRule="auto"/>
              <w:ind w:leftChars="0"/>
              <w:jc w:val="left"/>
              <w:textAlignment w:val="auto"/>
              <w:rPr>
                <w:rFonts w:hint="eastAsia" w:ascii="微软雅黑" w:hAnsi="微软雅黑" w:eastAsia="微软雅黑" w:cs="微软雅黑"/>
                <w:sz w:val="21"/>
                <w:szCs w:val="21"/>
                <w:lang w:val="en-US" w:eastAsia="zh-CN"/>
              </w:rPr>
            </w:pPr>
            <w:r>
              <w:rPr>
                <w:rFonts w:hint="eastAsia" w:ascii="微软雅黑" w:hAnsi="微软雅黑" w:cs="微软雅黑"/>
                <w:color w:val="auto"/>
                <w:kern w:val="2"/>
                <w:sz w:val="21"/>
                <w:szCs w:val="21"/>
                <w:lang w:val="en-US" w:eastAsia="zh-CN" w:bidi="ar-SA"/>
              </w:rPr>
              <w:t>2.</w:t>
            </w:r>
            <w:r>
              <w:rPr>
                <w:rFonts w:hint="eastAsia" w:ascii="微软雅黑" w:hAnsi="微软雅黑" w:eastAsia="微软雅黑" w:cs="微软雅黑"/>
                <w:color w:val="auto"/>
                <w:kern w:val="2"/>
                <w:sz w:val="21"/>
                <w:szCs w:val="21"/>
                <w:lang w:val="en-US" w:eastAsia="zh-CN" w:bidi="ar-SA"/>
              </w:rPr>
              <w:t>售后及时(24小时到现场提供解决方案)，收到供应宝订单须三日之内响应订单；</w:t>
            </w:r>
            <w:bookmarkStart w:id="230" w:name="_GoBack"/>
            <w:bookmarkEnd w:id="23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报价要求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1.该项目可在投标现场进行二次报价；</w:t>
            </w:r>
          </w:p>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2.该项目须对线上及备案价格分别报价，所有报价均包括完成货物、运输、验收及其他本项目所需的所有费用及各种应纳的税费。因投标人自身原因造成漏报、少报皆由其自行承担责任，采购人不再补偿。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付款方式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每月结算一次，成交供应商每月向采购人开具上月采购金额发票，采购人收到发票后2个月内以转账方式向成交供应商支付。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培训要求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投标人对其提供产品的使用和操作应尽培训义务。投标人应提供对采购人的基本免费培训，能保证使用人员能正常操作。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附件、图纸及包装要求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所有产品按照制造商规定的产品包装和随机标准附件为准。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知识产权</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其他</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eastAsia="zh-CN"/>
              </w:rPr>
            </w:pPr>
            <w:bookmarkStart w:id="109" w:name="OLE_LINK1"/>
            <w:r>
              <w:rPr>
                <w:rFonts w:hint="eastAsia" w:ascii="微软雅黑" w:hAnsi="微软雅黑" w:eastAsia="微软雅黑" w:cs="微软雅黑"/>
                <w:sz w:val="21"/>
                <w:szCs w:val="21"/>
                <w:lang w:val="en-US" w:eastAsia="zh-CN"/>
              </w:rPr>
              <w:t>1.</w:t>
            </w:r>
            <w:r>
              <w:rPr>
                <w:rFonts w:hint="eastAsia" w:ascii="微软雅黑" w:hAnsi="微软雅黑" w:eastAsia="微软雅黑" w:cs="微软雅黑"/>
                <w:sz w:val="21"/>
                <w:szCs w:val="21"/>
              </w:rPr>
              <w:t>投标人必须在响应文件中对以上条款和服务承诺明确列出，承诺内容必须达到本篇及协商文件其他条款的要求</w:t>
            </w:r>
            <w:r>
              <w:rPr>
                <w:rFonts w:hint="eastAsia" w:ascii="微软雅黑" w:hAnsi="微软雅黑" w:eastAsia="微软雅黑" w:cs="微软雅黑"/>
                <w:sz w:val="21"/>
                <w:szCs w:val="21"/>
                <w:lang w:eastAsia="zh-CN"/>
              </w:rPr>
              <w:t>；</w:t>
            </w:r>
          </w:p>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w:t>
            </w:r>
            <w:r>
              <w:rPr>
                <w:rFonts w:hint="eastAsia" w:ascii="微软雅黑" w:hAnsi="微软雅黑" w:eastAsia="微软雅黑" w:cs="微软雅黑"/>
                <w:sz w:val="21"/>
                <w:szCs w:val="21"/>
              </w:rPr>
              <w:t>其他未尽事宜由供需双方在采购合同中详细约定</w:t>
            </w:r>
            <w:bookmarkEnd w:id="109"/>
            <w:r>
              <w:rPr>
                <w:rFonts w:hint="eastAsia" w:ascii="微软雅黑" w:hAnsi="微软雅黑" w:eastAsia="微软雅黑" w:cs="微软雅黑"/>
                <w:sz w:val="21"/>
                <w:szCs w:val="21"/>
                <w:lang w:eastAsia="zh-CN"/>
              </w:rPr>
              <w:t>。</w:t>
            </w:r>
          </w:p>
        </w:tc>
      </w:tr>
    </w:tbl>
    <w:p>
      <w:pPr>
        <w:rPr>
          <w:rFonts w:hint="eastAsia" w:ascii="微软雅黑" w:hAnsi="微软雅黑" w:eastAsia="微软雅黑" w:cs="微软雅黑"/>
          <w:b/>
          <w:sz w:val="44"/>
        </w:rPr>
      </w:pPr>
      <w:bookmarkStart w:id="110" w:name="_Toc76462332"/>
      <w:bookmarkStart w:id="111" w:name="_Toc106030887"/>
      <w:bookmarkStart w:id="112" w:name="_Toc6692"/>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13" w:name="_Toc14419"/>
      <w:r>
        <w:rPr>
          <w:rFonts w:hint="eastAsia" w:ascii="微软雅黑" w:hAnsi="微软雅黑" w:eastAsia="微软雅黑" w:cs="微软雅黑"/>
          <w:sz w:val="44"/>
        </w:rPr>
        <w:t xml:space="preserve">第四篇  </w:t>
      </w:r>
      <w:r>
        <w:rPr>
          <w:rFonts w:hint="eastAsia" w:ascii="微软雅黑" w:hAnsi="微软雅黑" w:eastAsia="微软雅黑" w:cs="微软雅黑"/>
          <w:sz w:val="44"/>
          <w:lang w:eastAsia="zh-CN"/>
        </w:rPr>
        <w:t>耗材遴选</w:t>
      </w:r>
      <w:r>
        <w:rPr>
          <w:rFonts w:hint="eastAsia" w:ascii="微软雅黑" w:hAnsi="微软雅黑" w:eastAsia="微软雅黑" w:cs="微软雅黑"/>
          <w:sz w:val="44"/>
        </w:rPr>
        <w:t>采购程序及方法、评审标准、无效响应和采购终止</w:t>
      </w:r>
      <w:bookmarkEnd w:id="110"/>
      <w:bookmarkEnd w:id="111"/>
      <w:bookmarkEnd w:id="112"/>
      <w:bookmarkEnd w:id="113"/>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4" w:name="_Toc106030888"/>
      <w:bookmarkStart w:id="115" w:name="_Toc14958"/>
      <w:bookmarkStart w:id="116" w:name="_Toc76462333"/>
      <w:bookmarkStart w:id="117" w:name="_Toc3410"/>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采购程序</w:t>
      </w:r>
      <w:bookmarkEnd w:id="114"/>
      <w:bookmarkEnd w:id="115"/>
      <w:bookmarkEnd w:id="116"/>
      <w:bookmarkEnd w:id="11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eastAsia="zh-CN"/>
        </w:rPr>
        <w:t>耗材遴选</w:t>
      </w:r>
      <w:r>
        <w:rPr>
          <w:rFonts w:hint="eastAsia" w:ascii="微软雅黑" w:hAnsi="微软雅黑" w:eastAsia="微软雅黑" w:cs="微软雅黑"/>
          <w:kern w:val="0"/>
          <w:sz w:val="24"/>
          <w:szCs w:val="24"/>
        </w:rPr>
        <w:t>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8" w:name="_Toc29068"/>
      <w:r>
        <w:rPr>
          <w:rFonts w:hint="eastAsia" w:ascii="微软雅黑" w:hAnsi="微软雅黑" w:eastAsia="微软雅黑" w:cs="微软雅黑"/>
          <w:sz w:val="24"/>
        </w:rPr>
        <w:t>二、评标方法</w:t>
      </w:r>
      <w:bookmarkEnd w:id="118"/>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19" w:name="_Toc30944"/>
      <w:bookmarkStart w:id="120" w:name="_Toc106030889"/>
      <w:bookmarkStart w:id="121" w:name="_Toc76462334"/>
      <w:bookmarkStart w:id="122" w:name="_Toc342913394"/>
      <w:bookmarkStart w:id="123" w:name="_Toc102227320"/>
      <w:r>
        <w:rPr>
          <w:rFonts w:hint="eastAsia" w:ascii="微软雅黑" w:hAnsi="微软雅黑" w:eastAsia="微软雅黑" w:cs="微软雅黑"/>
          <w:kern w:val="0"/>
          <w:sz w:val="24"/>
          <w:szCs w:val="24"/>
          <w:lang w:val="en-US" w:eastAsia="zh-CN"/>
        </w:rPr>
        <w:t>1.评审小组选取满足参数及性能要求的品牌定为入围品牌。</w:t>
      </w:r>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r>
        <w:rPr>
          <w:rFonts w:hint="eastAsia" w:ascii="微软雅黑" w:hAnsi="微软雅黑" w:eastAsia="微软雅黑" w:cs="微软雅黑"/>
          <w:kern w:val="0"/>
          <w:sz w:val="24"/>
          <w:szCs w:val="24"/>
          <w:lang w:val="en-US" w:eastAsia="zh-CN"/>
        </w:rPr>
        <w:t>2.对入围品牌进行价格谈判并排序，同等条件下，低价中标。</w:t>
      </w:r>
      <w:bookmarkStart w:id="124" w:name="_Toc4078"/>
    </w:p>
    <w:p>
      <w:pPr>
        <w:pStyle w:val="4"/>
        <w:adjustRightInd w:val="0"/>
        <w:snapToGrid w:val="0"/>
        <w:spacing w:before="0" w:after="0"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三、报价方式</w:t>
      </w:r>
      <w:bookmarkEnd w:id="124"/>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25" w:name="_Toc13703"/>
      <w:bookmarkStart w:id="126" w:name="_Toc5837"/>
      <w:r>
        <w:rPr>
          <w:rFonts w:hint="eastAsia" w:ascii="微软雅黑" w:hAnsi="微软雅黑" w:eastAsia="微软雅黑" w:cs="微软雅黑"/>
          <w:kern w:val="0"/>
          <w:sz w:val="24"/>
          <w:szCs w:val="24"/>
          <w:lang w:val="en-US" w:eastAsia="zh-CN"/>
        </w:rPr>
        <w:t>本项目投标人可在投标现场进行第二次报价。</w:t>
      </w:r>
      <w:bookmarkEnd w:id="125"/>
      <w:bookmarkEnd w:id="126"/>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7" w:name="_Toc23723"/>
      <w:r>
        <w:rPr>
          <w:rFonts w:hint="eastAsia" w:ascii="微软雅黑" w:hAnsi="微软雅黑" w:eastAsia="微软雅黑" w:cs="微软雅黑"/>
          <w:sz w:val="24"/>
        </w:rPr>
        <w:t>四、评审标准</w:t>
      </w:r>
      <w:bookmarkEnd w:id="119"/>
      <w:bookmarkEnd w:id="120"/>
      <w:bookmarkEnd w:id="121"/>
      <w:bookmarkEnd w:id="127"/>
    </w:p>
    <w:p>
      <w:pPr>
        <w:snapToGrid w:val="0"/>
        <w:spacing w:line="400" w:lineRule="exact"/>
        <w:ind w:firstLine="480" w:firstLineChars="200"/>
        <w:rPr>
          <w:rFonts w:hint="eastAsia" w:ascii="微软雅黑" w:hAnsi="微软雅黑" w:eastAsia="微软雅黑" w:cs="微软雅黑"/>
          <w:sz w:val="24"/>
          <w:szCs w:val="24"/>
        </w:rPr>
      </w:pPr>
      <w:bookmarkStart w:id="128" w:name="_Toc106030890"/>
      <w:bookmarkStart w:id="129" w:name="_Toc76462335"/>
      <w:bookmarkStart w:id="130" w:name="_Toc31497"/>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22"/>
    <w:bookmarkEnd w:id="123"/>
    <w:bookmarkEnd w:id="128"/>
    <w:bookmarkEnd w:id="129"/>
    <w:bookmarkEnd w:id="130"/>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1" w:name="_Toc4326"/>
      <w:bookmarkStart w:id="132" w:name="_Toc3878"/>
      <w:r>
        <w:rPr>
          <w:rFonts w:hint="eastAsia" w:ascii="微软雅黑" w:hAnsi="微软雅黑" w:eastAsia="微软雅黑" w:cs="微软雅黑"/>
          <w:sz w:val="24"/>
        </w:rPr>
        <w:t>五、无效响应</w:t>
      </w:r>
      <w:bookmarkEnd w:id="131"/>
      <w:bookmarkEnd w:id="132"/>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（二）投标人的法定代表人（或其授权代表）或自然人未在采购人规定时间内到达开标现场进行签到及提交纸质响应文件的；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（三）投标人所提交的响应文件不按“第六篇响应文件编制要求”要求签署或盖章；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（七）为采购项目提供整体设计、规范编制或者项目管理、监理、检测等服务的投标人，再参加该采购项目的其他采购活动；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（八）投标人</w:t>
      </w:r>
      <w:r>
        <w:rPr>
          <w:rFonts w:hint="eastAsia" w:ascii="微软雅黑" w:hAnsi="微软雅黑" w:eastAsia="微软雅黑" w:cs="微软雅黑"/>
          <w:sz w:val="24"/>
          <w:szCs w:val="24"/>
          <w:lang w:val="en-US" w:eastAsia="zh-CN"/>
        </w:rPr>
        <w:t>响应文件</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（十）法律、法规和遴选文件规定的其他无效情形。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3" w:name="_Toc76462336"/>
      <w:bookmarkStart w:id="134" w:name="_Toc106030891"/>
      <w:bookmarkStart w:id="135" w:name="_Toc10687"/>
      <w:bookmarkStart w:id="136" w:name="_Toc22602"/>
      <w:bookmarkStart w:id="137" w:name="_Toc25327"/>
      <w:r>
        <w:rPr>
          <w:rFonts w:hint="eastAsia" w:ascii="微软雅黑" w:hAnsi="微软雅黑" w:eastAsia="微软雅黑" w:cs="微软雅黑"/>
          <w:sz w:val="24"/>
        </w:rPr>
        <w:t>六、</w:t>
      </w:r>
      <w:bookmarkEnd w:id="133"/>
      <w:bookmarkEnd w:id="134"/>
      <w:bookmarkEnd w:id="135"/>
      <w:r>
        <w:rPr>
          <w:rFonts w:hint="eastAsia" w:ascii="微软雅黑" w:hAnsi="微软雅黑" w:eastAsia="微软雅黑" w:cs="微软雅黑"/>
          <w:sz w:val="24"/>
        </w:rPr>
        <w:t>废标条款</w:t>
      </w:r>
      <w:bookmarkEnd w:id="136"/>
      <w:bookmarkEnd w:id="137"/>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（三）符合</w:t>
      </w:r>
      <w:r>
        <w:rPr>
          <w:rFonts w:hint="eastAsia" w:ascii="微软雅黑" w:hAnsi="微软雅黑" w:eastAsia="微软雅黑" w:cs="微软雅黑"/>
          <w:sz w:val="24"/>
          <w:szCs w:val="24"/>
          <w:lang w:val="en-US" w:eastAsia="zh-CN"/>
        </w:rPr>
        <w:t>遴选入围</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lang w:val="en-US" w:eastAsia="zh-CN"/>
        </w:rPr>
        <w:t>的投标人不足两家的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077"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8" w:name="_Toc7572"/>
      <w:bookmarkStart w:id="139" w:name="_Toc29948"/>
      <w:bookmarkStart w:id="140" w:name="_Toc102227313"/>
      <w:bookmarkStart w:id="141" w:name="_Toc106030892"/>
      <w:bookmarkStart w:id="142" w:name="_Toc76462337"/>
      <w:r>
        <w:rPr>
          <w:rFonts w:hint="eastAsia" w:ascii="微软雅黑" w:hAnsi="微软雅黑" w:eastAsia="微软雅黑" w:cs="微软雅黑"/>
          <w:sz w:val="44"/>
        </w:rPr>
        <w:t>第五篇  投标人须知</w:t>
      </w:r>
      <w:bookmarkEnd w:id="138"/>
      <w:bookmarkEnd w:id="139"/>
      <w:bookmarkEnd w:id="140"/>
      <w:bookmarkEnd w:id="141"/>
      <w:bookmarkEnd w:id="142"/>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3" w:name="_Toc9364"/>
      <w:bookmarkStart w:id="144" w:name="_Toc106030893"/>
      <w:bookmarkStart w:id="145" w:name="_Toc76462338"/>
      <w:bookmarkStart w:id="146" w:name="_Toc26717"/>
      <w:bookmarkStart w:id="147" w:name="_Toc342913389"/>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费用</w:t>
      </w:r>
      <w:bookmarkEnd w:id="143"/>
      <w:bookmarkEnd w:id="144"/>
      <w:bookmarkEnd w:id="145"/>
      <w:bookmarkEnd w:id="146"/>
      <w:bookmarkEnd w:id="147"/>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8" w:name="_Toc106030894"/>
      <w:bookmarkStart w:id="149" w:name="_Toc342913391"/>
      <w:bookmarkStart w:id="150" w:name="_Toc76462339"/>
      <w:bookmarkStart w:id="151" w:name="_Toc20281"/>
      <w:bookmarkStart w:id="152" w:name="_Toc15712"/>
      <w:r>
        <w:rPr>
          <w:rFonts w:hint="eastAsia" w:ascii="微软雅黑" w:hAnsi="微软雅黑" w:eastAsia="微软雅黑" w:cs="微软雅黑"/>
          <w:sz w:val="24"/>
        </w:rPr>
        <w:t>二、</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w:t>
      </w:r>
      <w:bookmarkEnd w:id="148"/>
      <w:bookmarkEnd w:id="149"/>
      <w:bookmarkEnd w:id="150"/>
      <w:bookmarkEnd w:id="151"/>
      <w:bookmarkEnd w:id="152"/>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采购文件有疑问，必须以书面形式在提交响应文件截止时间2个工作日前向采购人要求澄清，采购人可视具体情况做出处理或答复。如投标人未提出疑问，视为完全理解并同意本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采购文件。一经进入比选程序，即视为投标人已详细阅读全部文件资料，完全理解</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采购文件所有条款内容并同意放弃对这方面有不明白及误解的权利。</w:t>
      </w:r>
      <w:bookmarkStart w:id="153" w:name="_Toc318159780"/>
      <w:bookmarkStart w:id="154" w:name="_Toc318166429"/>
      <w:bookmarkStart w:id="155" w:name="_Toc318159349"/>
      <w:bookmarkStart w:id="156" w:name="_Toc318159160"/>
    </w:p>
    <w:bookmarkEnd w:id="153"/>
    <w:bookmarkEnd w:id="154"/>
    <w:bookmarkEnd w:id="155"/>
    <w:bookmarkEnd w:id="156"/>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7" w:name="_Toc26007"/>
      <w:bookmarkStart w:id="158" w:name="_Toc76462340"/>
      <w:bookmarkStart w:id="159" w:name="_Toc179714297"/>
      <w:bookmarkStart w:id="160" w:name="_Toc8971"/>
      <w:bookmarkStart w:id="161" w:name="_Toc102227318"/>
      <w:bookmarkStart w:id="162" w:name="_Toc342913392"/>
      <w:bookmarkStart w:id="163" w:name="_Toc106030895"/>
      <w:r>
        <w:rPr>
          <w:rFonts w:hint="eastAsia" w:ascii="微软雅黑" w:hAnsi="微软雅黑" w:eastAsia="微软雅黑" w:cs="微软雅黑"/>
          <w:sz w:val="24"/>
        </w:rPr>
        <w:t>三、比选要求</w:t>
      </w:r>
      <w:bookmarkEnd w:id="157"/>
      <w:bookmarkEnd w:id="158"/>
      <w:bookmarkEnd w:id="159"/>
      <w:bookmarkEnd w:id="160"/>
      <w:bookmarkEnd w:id="161"/>
      <w:bookmarkEnd w:id="162"/>
      <w:bookmarkEnd w:id="16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采购文件的要求编制响应文件，并对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b w:val="0"/>
          <w:bCs w:val="0"/>
          <w:color w:val="auto"/>
          <w:sz w:val="24"/>
          <w:szCs w:val="24"/>
          <w:u w:val="single"/>
        </w:rPr>
        <w:t>1.响应文件一式</w:t>
      </w:r>
      <w:r>
        <w:rPr>
          <w:rFonts w:hint="eastAsia" w:ascii="微软雅黑" w:hAnsi="微软雅黑" w:eastAsia="微软雅黑" w:cs="微软雅黑"/>
          <w:b w:val="0"/>
          <w:bCs w:val="0"/>
          <w:color w:val="auto"/>
          <w:sz w:val="24"/>
          <w:szCs w:val="24"/>
          <w:u w:val="single"/>
          <w:lang w:eastAsia="zh-CN"/>
        </w:rPr>
        <w:t>七</w:t>
      </w:r>
      <w:r>
        <w:rPr>
          <w:rFonts w:hint="eastAsia" w:ascii="微软雅黑" w:hAnsi="微软雅黑" w:eastAsia="微软雅黑" w:cs="微软雅黑"/>
          <w:b w:val="0"/>
          <w:bCs w:val="0"/>
          <w:color w:val="auto"/>
          <w:sz w:val="24"/>
          <w:szCs w:val="24"/>
          <w:u w:val="single"/>
        </w:rPr>
        <w:t>份，其中正本一份，副本</w:t>
      </w:r>
      <w:r>
        <w:rPr>
          <w:rFonts w:hint="eastAsia" w:ascii="微软雅黑" w:hAnsi="微软雅黑" w:eastAsia="微软雅黑" w:cs="微软雅黑"/>
          <w:b w:val="0"/>
          <w:bCs w:val="0"/>
          <w:color w:val="auto"/>
          <w:sz w:val="24"/>
          <w:szCs w:val="24"/>
          <w:u w:val="single"/>
          <w:lang w:eastAsia="zh-CN"/>
        </w:rPr>
        <w:t>六</w:t>
      </w:r>
      <w:r>
        <w:rPr>
          <w:rFonts w:hint="eastAsia" w:ascii="微软雅黑" w:hAnsi="微软雅黑" w:eastAsia="微软雅黑" w:cs="微软雅黑"/>
          <w:b w:val="0"/>
          <w:bCs w:val="0"/>
          <w:color w:val="auto"/>
          <w:sz w:val="24"/>
          <w:szCs w:val="24"/>
          <w:u w:val="single"/>
        </w:rPr>
        <w:t>份，电子文档一份（</w:t>
      </w:r>
      <w:r>
        <w:rPr>
          <w:rFonts w:hint="eastAsia" w:ascii="微软雅黑" w:hAnsi="微软雅黑" w:eastAsia="微软雅黑" w:cs="微软雅黑"/>
          <w:b w:val="0"/>
          <w:bCs w:val="0"/>
          <w:color w:val="auto"/>
          <w:sz w:val="24"/>
          <w:szCs w:val="24"/>
          <w:u w:val="single"/>
          <w:lang w:val="en-US" w:eastAsia="zh-CN"/>
        </w:rPr>
        <w:t>电子文档为完整的响应文件正本PDF版，须上传至</w:t>
      </w:r>
      <w:r>
        <w:rPr>
          <w:rFonts w:hint="eastAsia" w:ascii="微软雅黑" w:hAnsi="微软雅黑" w:eastAsia="微软雅黑" w:cs="微软雅黑"/>
          <w:b w:val="0"/>
          <w:bCs w:val="0"/>
          <w:color w:val="auto"/>
          <w:sz w:val="24"/>
          <w:szCs w:val="24"/>
          <w:u w:val="single"/>
        </w:rPr>
        <w:t>电子招投标平台）</w:t>
      </w:r>
      <w:r>
        <w:rPr>
          <w:rFonts w:hint="eastAsia" w:ascii="微软雅黑" w:hAnsi="微软雅黑" w:eastAsia="微软雅黑" w:cs="微软雅黑"/>
          <w:color w:val="auto"/>
          <w:sz w:val="24"/>
          <w:szCs w:val="24"/>
        </w:rPr>
        <w:t>；副本可为正本的复印件，应与正本一致，如出现不一致情况以正本为准。</w:t>
      </w:r>
      <w:r>
        <w:rPr>
          <w:rFonts w:hint="eastAsia" w:ascii="微软雅黑" w:hAnsi="微软雅黑" w:eastAsia="微软雅黑" w:cs="微软雅黑"/>
          <w:color w:val="auto"/>
          <w:sz w:val="24"/>
          <w:szCs w:val="24"/>
          <w:u w:val="single"/>
          <w:lang w:val="en-US" w:eastAsia="zh-CN"/>
        </w:rPr>
        <w:t>若电子文档与纸质响应文件内容存在实质性偏差，视为未报名成功。</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4" w:name="_Toc6435"/>
      <w:bookmarkStart w:id="165" w:name="_Toc13378"/>
      <w:bookmarkStart w:id="166" w:name="_Toc76462341"/>
      <w:bookmarkStart w:id="167" w:name="_Toc106030896"/>
      <w:r>
        <w:rPr>
          <w:rFonts w:hint="eastAsia" w:ascii="微软雅黑" w:hAnsi="微软雅黑" w:eastAsia="微软雅黑" w:cs="微软雅黑"/>
          <w:sz w:val="24"/>
        </w:rPr>
        <w:t>四、成交供应商的确认和变更</w:t>
      </w:r>
      <w:bookmarkEnd w:id="164"/>
      <w:bookmarkEnd w:id="165"/>
      <w:bookmarkEnd w:id="166"/>
      <w:bookmarkEnd w:id="167"/>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采购人从评审报告提出的成交候选投标人中，按照排序由高到低的原则确定成交供应商。</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（二）成交供应商的变更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rPr>
        <w:t>成交供应商拒绝与采购人签订合同的，采购人可以按照评标报告推荐的成交候选投标人顺序，确定排名下一位的候选人为成交供应商，也可以重新开展采购活动。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8" w:name="_Toc76462342"/>
      <w:bookmarkStart w:id="169" w:name="_Toc712"/>
      <w:bookmarkStart w:id="170" w:name="_Toc342913395"/>
      <w:bookmarkStart w:id="171" w:name="_Toc21532"/>
      <w:bookmarkStart w:id="172" w:name="_Toc102227321"/>
      <w:bookmarkStart w:id="173" w:name="_Toc106030897"/>
      <w:r>
        <w:rPr>
          <w:rFonts w:hint="eastAsia" w:ascii="微软雅黑" w:hAnsi="微软雅黑" w:eastAsia="微软雅黑" w:cs="微软雅黑"/>
          <w:sz w:val="24"/>
        </w:rPr>
        <w:t>五、成交通知</w:t>
      </w:r>
      <w:bookmarkEnd w:id="168"/>
      <w:bookmarkEnd w:id="169"/>
      <w:bookmarkEnd w:id="170"/>
      <w:bookmarkEnd w:id="171"/>
      <w:bookmarkEnd w:id="172"/>
      <w:bookmarkEnd w:id="17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4" w:name="_Toc22564"/>
      <w:bookmarkStart w:id="175" w:name="_Toc21448"/>
      <w:bookmarkStart w:id="176" w:name="_Toc106030898"/>
      <w:bookmarkStart w:id="177" w:name="_Toc76462343"/>
      <w:r>
        <w:rPr>
          <w:rFonts w:hint="eastAsia" w:ascii="微软雅黑" w:hAnsi="微软雅黑" w:eastAsia="微软雅黑" w:cs="微软雅黑"/>
          <w:sz w:val="24"/>
        </w:rPr>
        <w:t>六、质疑处理</w:t>
      </w:r>
      <w:bookmarkEnd w:id="174"/>
      <w:bookmarkEnd w:id="175"/>
      <w:bookmarkEnd w:id="176"/>
      <w:bookmarkEnd w:id="17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纸质文件</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提出质疑</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8" w:name="_Toc28334"/>
      <w:bookmarkStart w:id="179" w:name="_Toc76462344"/>
      <w:bookmarkStart w:id="180" w:name="_Toc106030899"/>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81" w:name="_Toc32500"/>
      <w:r>
        <w:rPr>
          <w:rFonts w:hint="eastAsia" w:ascii="微软雅黑" w:hAnsi="微软雅黑" w:eastAsia="微软雅黑" w:cs="微软雅黑"/>
          <w:sz w:val="24"/>
        </w:rPr>
        <w:t>七、</w:t>
      </w:r>
      <w:bookmarkEnd w:id="178"/>
      <w:bookmarkEnd w:id="179"/>
      <w:bookmarkEnd w:id="180"/>
      <w:bookmarkStart w:id="182" w:name="_Toc102227322"/>
      <w:bookmarkStart w:id="183" w:name="_Toc3372"/>
      <w:bookmarkStart w:id="184" w:name="_Toc106030901"/>
      <w:bookmarkStart w:id="185" w:name="_Toc342913396"/>
      <w:bookmarkStart w:id="186" w:name="_Toc76462346"/>
      <w:bookmarkStart w:id="187" w:name="_Toc12789059"/>
      <w:bookmarkStart w:id="188" w:name="_Toc11641055"/>
      <w:r>
        <w:rPr>
          <w:rFonts w:hint="eastAsia" w:ascii="微软雅黑" w:hAnsi="微软雅黑" w:eastAsia="微软雅黑" w:cs="微软雅黑"/>
          <w:sz w:val="24"/>
        </w:rPr>
        <w:t>签订</w:t>
      </w:r>
      <w:bookmarkEnd w:id="182"/>
      <w:r>
        <w:rPr>
          <w:rFonts w:hint="eastAsia" w:ascii="微软雅黑" w:hAnsi="微软雅黑" w:eastAsia="微软雅黑" w:cs="微软雅黑"/>
          <w:sz w:val="24"/>
        </w:rPr>
        <w:t>合同</w:t>
      </w:r>
      <w:bookmarkEnd w:id="181"/>
      <w:bookmarkEnd w:id="183"/>
      <w:bookmarkEnd w:id="184"/>
      <w:bookmarkEnd w:id="185"/>
      <w:bookmarkEnd w:id="186"/>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7"/>
      <w:bookmarkEnd w:id="188"/>
    </w:p>
    <w:p>
      <w:pPr>
        <w:pStyle w:val="4"/>
        <w:spacing w:before="200" w:after="200" w:line="240" w:lineRule="auto"/>
        <w:jc w:val="center"/>
        <w:rPr>
          <w:rFonts w:hint="eastAsia" w:ascii="微软雅黑" w:hAnsi="微软雅黑" w:eastAsia="微软雅黑" w:cs="微软雅黑"/>
          <w:sz w:val="44"/>
        </w:rPr>
      </w:pPr>
      <w:bookmarkStart w:id="189" w:name="_Hlt41879464"/>
      <w:bookmarkEnd w:id="189"/>
      <w:bookmarkStart w:id="190" w:name="_Toc106030905"/>
      <w:bookmarkStart w:id="191" w:name="_Toc6345"/>
      <w:bookmarkStart w:id="192" w:name="_Toc27984"/>
      <w:bookmarkStart w:id="193" w:name="_Toc76462349"/>
      <w:r>
        <w:rPr>
          <w:rFonts w:hint="eastAsia" w:ascii="微软雅黑" w:hAnsi="微软雅黑" w:eastAsia="微软雅黑" w:cs="微软雅黑"/>
          <w:sz w:val="44"/>
        </w:rPr>
        <w:t>第六篇  响应文件编制要求</w:t>
      </w:r>
      <w:bookmarkEnd w:id="190"/>
      <w:bookmarkEnd w:id="191"/>
      <w:bookmarkEnd w:id="192"/>
      <w:bookmarkEnd w:id="19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（一）耗材专用报价表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二、技术部分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outlineLvl w:val="0"/>
        <w:rPr>
          <w:rFonts w:hint="eastAsia" w:ascii="微软雅黑" w:hAnsi="微软雅黑" w:eastAsia="微软雅黑" w:cs="微软雅黑"/>
          <w:sz w:val="24"/>
          <w:szCs w:val="24"/>
        </w:rPr>
      </w:pPr>
      <w:bookmarkStart w:id="194" w:name="_Toc313008356"/>
      <w:bookmarkStart w:id="195" w:name="_Toc342913419"/>
      <w:bookmarkStart w:id="196" w:name="_Toc76462350"/>
      <w:bookmarkStart w:id="197" w:name="_Toc283382454"/>
      <w:bookmarkStart w:id="198" w:name="_Toc313888360"/>
      <w:bookmarkStart w:id="199" w:name="_Toc106030906"/>
      <w:bookmarkStart w:id="200" w:name="_Toc15994"/>
      <w:bookmarkStart w:id="201" w:name="_Toc12789073"/>
      <w:r>
        <w:rPr>
          <w:rFonts w:hint="eastAsia" w:ascii="微软雅黑" w:hAnsi="微软雅黑" w:eastAsia="微软雅黑" w:cs="微软雅黑"/>
          <w:sz w:val="24"/>
          <w:szCs w:val="24"/>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eastAsia="zh-CN"/>
        </w:rPr>
        <w:t>耗材遴选</w:t>
      </w:r>
      <w:r>
        <w:rPr>
          <w:rFonts w:hint="eastAsia" w:ascii="微软雅黑" w:hAnsi="微软雅黑" w:eastAsia="微软雅黑" w:cs="微软雅黑"/>
          <w:sz w:val="130"/>
          <w:szCs w:val="130"/>
        </w:rPr>
        <w:t>采购</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响应文件</w:t>
      </w:r>
    </w:p>
    <w:p>
      <w:pPr>
        <w:spacing w:line="600" w:lineRule="exact"/>
        <w:jc w:val="center"/>
        <w:outlineLvl w:val="0"/>
        <w:rPr>
          <w:rFonts w:hint="eastAsia" w:ascii="微软雅黑" w:hAnsi="微软雅黑" w:eastAsia="微软雅黑" w:cs="微软雅黑"/>
          <w:sz w:val="44"/>
          <w:szCs w:val="44"/>
        </w:rPr>
      </w:pPr>
      <w:r>
        <w:rPr>
          <w:rFonts w:hint="eastAsia" w:ascii="微软雅黑" w:hAnsi="微软雅黑" w:eastAsia="微软雅黑" w:cs="微软雅黑"/>
          <w:sz w:val="44"/>
          <w:szCs w:val="44"/>
        </w:rPr>
        <w:t>（正本/副本）</w:t>
      </w:r>
    </w:p>
    <w:p>
      <w:pPr>
        <w:spacing w:line="700" w:lineRule="exact"/>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投标人名称：</w:t>
      </w:r>
      <w:r>
        <w:rPr>
          <w:rFonts w:hint="eastAsia" w:ascii="微软雅黑" w:hAnsi="微软雅黑" w:eastAsia="微软雅黑" w:cs="微软雅黑"/>
          <w:sz w:val="36"/>
          <w:szCs w:val="36"/>
          <w:u w:val="single"/>
        </w:rPr>
        <w:t xml:space="preserve">                         </w:t>
      </w:r>
    </w:p>
    <w:p>
      <w:pPr>
        <w:spacing w:line="360" w:lineRule="auto"/>
        <w:ind w:firstLine="1120" w:firstLineChars="4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Cs w:val="28"/>
        </w:rPr>
        <w:t xml:space="preserve">投标人法定代表人（或授权代理人）： </w:t>
      </w:r>
      <w:r>
        <w:rPr>
          <w:rFonts w:hint="eastAsia" w:ascii="微软雅黑" w:hAnsi="微软雅黑" w:eastAsia="微软雅黑" w:cs="微软雅黑"/>
          <w:szCs w:val="28"/>
          <w:u w:val="single"/>
        </w:rPr>
        <w:t xml:space="preserve">         </w:t>
      </w:r>
      <w:r>
        <w:rPr>
          <w:rFonts w:hint="eastAsia" w:ascii="微软雅黑" w:hAnsi="微软雅黑" w:eastAsia="微软雅黑" w:cs="微软雅黑"/>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sz w:val="36"/>
          <w:szCs w:val="36"/>
        </w:rPr>
      </w:pPr>
      <w:r>
        <w:rPr>
          <w:rFonts w:hint="eastAsia" w:ascii="微软雅黑" w:hAnsi="微软雅黑" w:eastAsia="微软雅黑" w:cs="微软雅黑"/>
          <w:sz w:val="36"/>
          <w:szCs w:val="36"/>
        </w:rPr>
        <w:t>联系电话：</w:t>
      </w:r>
      <w:r>
        <w:rPr>
          <w:rFonts w:hint="eastAsia" w:ascii="微软雅黑" w:hAnsi="微软雅黑" w:eastAsia="微软雅黑" w:cs="微软雅黑"/>
          <w:sz w:val="36"/>
          <w:szCs w:val="36"/>
          <w:u w:val="single"/>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jc w:val="center"/>
        <w:outlineLvl w:val="0"/>
        <w:rPr>
          <w:rFonts w:hint="eastAsia" w:ascii="微软雅黑" w:hAnsi="微软雅黑" w:eastAsia="微软雅黑" w:cs="微软雅黑"/>
          <w:sz w:val="36"/>
          <w:szCs w:val="36"/>
        </w:rPr>
        <w:sectPr>
          <w:headerReference r:id="rId12" w:type="first"/>
          <w:footerReference r:id="rId15" w:type="first"/>
          <w:headerReference r:id="rId11" w:type="default"/>
          <w:footerReference r:id="rId13" w:type="default"/>
          <w:footerReference r:id="rId14" w:type="even"/>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36"/>
          <w:szCs w:val="36"/>
        </w:rPr>
        <w:t>二〇二X年X月</w:t>
      </w:r>
    </w:p>
    <w:bookmarkEnd w:id="194"/>
    <w:bookmarkEnd w:id="195"/>
    <w:bookmarkEnd w:id="196"/>
    <w:bookmarkEnd w:id="197"/>
    <w:bookmarkEnd w:id="198"/>
    <w:bookmarkEnd w:id="199"/>
    <w:bookmarkEnd w:id="200"/>
    <w:bookmarkEnd w:id="201"/>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02" w:name="_Toc22447"/>
      <w:r>
        <w:rPr>
          <w:rFonts w:hint="eastAsia" w:ascii="微软雅黑" w:hAnsi="微软雅黑" w:eastAsia="微软雅黑" w:cs="微软雅黑"/>
          <w:sz w:val="24"/>
        </w:rPr>
        <w:t>一、经济部分</w:t>
      </w:r>
      <w:bookmarkEnd w:id="202"/>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（一）耗材专用报价表</w:t>
      </w:r>
    </w:p>
    <w:p>
      <w:pPr>
        <w:jc w:val="center"/>
        <w:rPr>
          <w:rFonts w:hint="eastAsia" w:ascii="微软雅黑" w:hAnsi="微软雅黑" w:eastAsia="微软雅黑" w:cs="微软雅黑"/>
          <w:b/>
          <w:szCs w:val="28"/>
        </w:rPr>
      </w:pPr>
      <w:r>
        <w:rPr>
          <w:rFonts w:hint="eastAsia" w:ascii="微软雅黑" w:hAnsi="微软雅黑" w:eastAsia="微软雅黑" w:cs="微软雅黑"/>
          <w:b/>
          <w:szCs w:val="28"/>
        </w:rPr>
        <w:t>耗材专用报价表</w:t>
      </w:r>
    </w:p>
    <w:p>
      <w:pPr>
        <w:tabs>
          <w:tab w:val="left" w:pos="6300"/>
        </w:tabs>
        <w:snapToGrid w:val="0"/>
        <w:spacing w:line="312" w:lineRule="auto"/>
        <w:ind w:firstLine="1200" w:firstLineChars="500"/>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684"/>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27 位国家医保编码</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           注：备案价格指非药交所挂网价格（原线下价格），备案价格不会在药交所平台公示，采购人需向上级部门备案。</w:t>
      </w:r>
    </w:p>
    <w:p>
      <w:pPr>
        <w:tabs>
          <w:tab w:val="left" w:pos="6300"/>
        </w:tabs>
        <w:snapToGrid w:val="0"/>
        <w:spacing w:line="312" w:lineRule="auto"/>
        <w:ind w:firstLine="4320" w:firstLineChars="18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tabs>
          <w:tab w:val="left" w:pos="2895"/>
        </w:tabs>
        <w:spacing w:line="400" w:lineRule="exact"/>
        <w:ind w:firstLine="480" w:firstLineChars="200"/>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bookmarkStart w:id="203" w:name="_Toc18669"/>
      <w:bookmarkStart w:id="204" w:name="_Toc342913420"/>
      <w:bookmarkStart w:id="205" w:name="_Toc313888361"/>
      <w:bookmarkStart w:id="206" w:name="_Toc106030907"/>
      <w:bookmarkStart w:id="207" w:name="_Toc76462351"/>
      <w:bookmarkStart w:id="208" w:name="_Toc313008357"/>
      <w:r>
        <w:rPr>
          <w:rFonts w:hint="eastAsia" w:ascii="微软雅黑" w:hAnsi="微软雅黑" w:eastAsia="微软雅黑" w:cs="微软雅黑"/>
          <w:sz w:val="24"/>
          <w:szCs w:val="24"/>
        </w:rPr>
        <w:t>开标现场最终报价表</w:t>
      </w:r>
    </w:p>
    <w:p>
      <w:pPr>
        <w:jc w:val="center"/>
        <w:rPr>
          <w:rFonts w:hint="eastAsia" w:ascii="微软雅黑" w:hAnsi="微软雅黑" w:eastAsia="微软雅黑" w:cs="微软雅黑"/>
          <w:b/>
          <w:szCs w:val="28"/>
        </w:rPr>
      </w:pPr>
      <w:r>
        <w:rPr>
          <w:rFonts w:hint="eastAsia" w:ascii="微软雅黑" w:hAnsi="微软雅黑" w:eastAsia="微软雅黑" w:cs="微软雅黑"/>
          <w:b/>
          <w:szCs w:val="28"/>
        </w:rPr>
        <w:t>开标现场最终报价表</w:t>
      </w:r>
    </w:p>
    <w:p>
      <w:pPr>
        <w:tabs>
          <w:tab w:val="left" w:pos="6300"/>
        </w:tabs>
        <w:snapToGrid w:val="0"/>
        <w:spacing w:line="312" w:lineRule="auto"/>
        <w:ind w:firstLine="480" w:firstLineChars="200"/>
        <w:jc w:val="left"/>
        <w:rPr>
          <w:rFonts w:hint="eastAsia" w:ascii="微软雅黑" w:hAnsi="微软雅黑" w:eastAsia="微软雅黑" w:cs="微软雅黑"/>
          <w:sz w:val="24"/>
          <w:szCs w:val="24"/>
        </w:rPr>
      </w:pPr>
    </w:p>
    <w:p>
      <w:pPr>
        <w:tabs>
          <w:tab w:val="left" w:pos="6300"/>
        </w:tabs>
        <w:snapToGrid w:val="0"/>
        <w:spacing w:line="312" w:lineRule="auto"/>
        <w:ind w:firstLine="1440" w:firstLineChars="600"/>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1888"/>
        <w:gridCol w:w="1509"/>
        <w:gridCol w:w="1091"/>
        <w:gridCol w:w="709"/>
        <w:gridCol w:w="776"/>
        <w:gridCol w:w="1529"/>
        <w:gridCol w:w="1560"/>
        <w:gridCol w:w="684"/>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1888"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509"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27 位国家医保编码</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1888" w:type="dxa"/>
            <w:vAlign w:val="center"/>
          </w:tcPr>
          <w:p>
            <w:pPr>
              <w:spacing w:line="480" w:lineRule="auto"/>
              <w:jc w:val="center"/>
              <w:rPr>
                <w:rFonts w:hint="eastAsia" w:ascii="微软雅黑" w:hAnsi="微软雅黑" w:eastAsia="微软雅黑" w:cs="微软雅黑"/>
                <w:color w:val="000000"/>
                <w:sz w:val="21"/>
                <w:szCs w:val="21"/>
              </w:rPr>
            </w:pPr>
          </w:p>
        </w:tc>
        <w:tc>
          <w:tcPr>
            <w:tcW w:w="1509"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1888" w:type="dxa"/>
            <w:vAlign w:val="center"/>
          </w:tcPr>
          <w:p>
            <w:pPr>
              <w:spacing w:line="480" w:lineRule="auto"/>
              <w:jc w:val="center"/>
              <w:rPr>
                <w:rFonts w:hint="eastAsia" w:ascii="微软雅黑" w:hAnsi="微软雅黑" w:eastAsia="微软雅黑" w:cs="微软雅黑"/>
                <w:color w:val="000000"/>
                <w:sz w:val="21"/>
                <w:szCs w:val="21"/>
              </w:rPr>
            </w:pPr>
          </w:p>
        </w:tc>
        <w:tc>
          <w:tcPr>
            <w:tcW w:w="1509"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1888" w:type="dxa"/>
            <w:vAlign w:val="center"/>
          </w:tcPr>
          <w:p>
            <w:pPr>
              <w:spacing w:line="480" w:lineRule="auto"/>
              <w:jc w:val="center"/>
              <w:rPr>
                <w:rFonts w:hint="eastAsia" w:ascii="微软雅黑" w:hAnsi="微软雅黑" w:eastAsia="微软雅黑" w:cs="微软雅黑"/>
                <w:color w:val="000000"/>
                <w:sz w:val="21"/>
                <w:szCs w:val="21"/>
              </w:rPr>
            </w:pPr>
          </w:p>
        </w:tc>
        <w:tc>
          <w:tcPr>
            <w:tcW w:w="1509"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           注：备案价格指非药交所挂网价格（原线下价格），备案价格不会在药交所平台公示，采购人需向上级部门备案。</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3840" w:firstLineChars="16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rPr>
          <w:rFonts w:hint="eastAsia" w:ascii="微软雅黑" w:hAnsi="微软雅黑" w:eastAsia="微软雅黑" w:cs="微软雅黑"/>
          <w:b/>
          <w:bCs/>
          <w:color w:val="FF0000"/>
          <w:sz w:val="24"/>
          <w:szCs w:val="24"/>
        </w:rPr>
        <w:sectPr>
          <w:headerReference r:id="rId16" w:type="default"/>
          <w:pgSz w:w="16840" w:h="11907" w:orient="landscape"/>
          <w:pgMar w:top="1304" w:right="1134" w:bottom="1191" w:left="1134" w:header="851" w:footer="992" w:gutter="0"/>
          <w:pgNumType w:fmt="numberInDash"/>
          <w:cols w:space="720" w:num="1"/>
          <w:docGrid w:linePitch="380" w:charSpace="-5735"/>
        </w:sectPr>
      </w:pP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09" w:name="_Toc4162"/>
      <w:r>
        <w:rPr>
          <w:rFonts w:hint="eastAsia" w:ascii="微软雅黑" w:hAnsi="微软雅黑" w:eastAsia="微软雅黑" w:cs="微软雅黑"/>
          <w:sz w:val="24"/>
        </w:rPr>
        <w:t>二、技术部分</w:t>
      </w:r>
      <w:bookmarkEnd w:id="203"/>
      <w:bookmarkEnd w:id="204"/>
      <w:bookmarkEnd w:id="205"/>
      <w:bookmarkEnd w:id="206"/>
      <w:bookmarkEnd w:id="207"/>
      <w:bookmarkEnd w:id="208"/>
      <w:bookmarkEnd w:id="209"/>
    </w:p>
    <w:p>
      <w:pPr>
        <w:tabs>
          <w:tab w:val="left" w:pos="6300"/>
        </w:tabs>
        <w:snapToGrid w:val="0"/>
        <w:spacing w:line="400" w:lineRule="exact"/>
        <w:ind w:firstLine="480" w:firstLineChars="200"/>
        <w:rPr>
          <w:rFonts w:hint="eastAsia" w:ascii="微软雅黑" w:hAnsi="微软雅黑" w:eastAsia="微软雅黑" w:cs="微软雅黑"/>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提醒：请注明技术参数或具体内容以及响应文件中技术参数或具体内容的位置（页码）</w:t>
            </w: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项目技术（质量）需求”中所列条款进行逐条响应；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tabs>
          <w:tab w:val="left" w:pos="6300"/>
        </w:tabs>
        <w:snapToGrid w:val="0"/>
        <w:spacing w:line="400" w:lineRule="exact"/>
        <w:ind w:firstLine="560" w:firstLineChars="200"/>
        <w:rPr>
          <w:rFonts w:hint="eastAsia" w:ascii="微软雅黑" w:hAnsi="微软雅黑" w:eastAsia="微软雅黑" w:cs="微软雅黑"/>
          <w:szCs w:val="24"/>
        </w:rPr>
      </w:pPr>
      <w:r>
        <w:rPr>
          <w:rFonts w:hint="eastAsia" w:ascii="微软雅黑" w:hAnsi="微软雅黑" w:eastAsia="微软雅黑" w:cs="微软雅黑"/>
          <w:szCs w:val="24"/>
        </w:rPr>
        <w:br w:type="pag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pStyle w:val="4"/>
        <w:adjustRightInd w:val="0"/>
        <w:snapToGrid w:val="0"/>
        <w:spacing w:before="0" w:after="0" w:line="400" w:lineRule="exact"/>
        <w:ind w:firstLine="640" w:firstLineChars="20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210" w:name="_Toc106030908"/>
      <w:bookmarkStart w:id="211" w:name="_Toc342913421"/>
      <w:bookmarkStart w:id="212" w:name="_Toc76462352"/>
      <w:bookmarkStart w:id="213" w:name="_Toc30571"/>
      <w:bookmarkStart w:id="214" w:name="_Toc313888362"/>
      <w:bookmarkStart w:id="215" w:name="_Toc30639"/>
      <w:bookmarkStart w:id="216" w:name="_Toc313008358"/>
      <w:r>
        <w:rPr>
          <w:rFonts w:hint="eastAsia" w:ascii="微软雅黑" w:hAnsi="微软雅黑" w:eastAsia="微软雅黑" w:cs="微软雅黑"/>
          <w:sz w:val="24"/>
        </w:rPr>
        <w:t>三、商务部分</w:t>
      </w:r>
      <w:bookmarkEnd w:id="210"/>
      <w:bookmarkEnd w:id="211"/>
      <w:bookmarkEnd w:id="212"/>
      <w:bookmarkEnd w:id="213"/>
      <w:bookmarkEnd w:id="214"/>
      <w:bookmarkEnd w:id="215"/>
      <w:bookmarkEnd w:id="21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项目名称： </w:t>
      </w:r>
    </w:p>
    <w:tbl>
      <w:tblPr>
        <w:tblStyle w:val="5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sz w:val="21"/>
                <w:szCs w:val="24"/>
              </w:rPr>
            </w:pPr>
            <w:r>
              <w:rPr>
                <w:rFonts w:hint="eastAsia" w:ascii="微软雅黑" w:hAnsi="微软雅黑" w:eastAsia="微软雅黑" w:cs="微软雅黑"/>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项目商务需求</w:t>
            </w: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响应情况</w:t>
            </w: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1"/>
              </w:rPr>
              <w:t>提醒：请注明具体内容以及响应文件中具体内容的位置（页码）</w:t>
            </w: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bl>
    <w:p>
      <w:pPr>
        <w:snapToGrid w:val="0"/>
        <w:spacing w:line="360" w:lineRule="auto"/>
        <w:ind w:firstLine="465"/>
        <w:rPr>
          <w:rFonts w:hint="eastAsia" w:ascii="微软雅黑" w:hAnsi="微软雅黑" w:eastAsia="微软雅黑" w:cs="微软雅黑"/>
          <w:sz w:val="24"/>
          <w:szCs w:val="24"/>
        </w:rPr>
      </w:pPr>
    </w:p>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360" w:firstLineChars="15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本表即为对本项目“第三篇  项目商务需求”中所列条款进行逐条响应；</w:t>
      </w:r>
    </w:p>
    <w:p>
      <w:pPr>
        <w:snapToGrid w:val="0"/>
        <w:spacing w:line="400" w:lineRule="exact"/>
        <w:ind w:firstLine="480" w:firstLineChars="200"/>
        <w:rPr>
          <w:rFonts w:hint="eastAsia" w:ascii="微软雅黑" w:hAnsi="微软雅黑" w:eastAsia="微软雅黑" w:cs="微软雅黑"/>
          <w:b/>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rPr>
        <w:t>2.本表可扩展。</w:t>
      </w:r>
    </w:p>
    <w:p>
      <w:pPr>
        <w:snapToGrid w:val="0"/>
        <w:spacing w:line="400" w:lineRule="exact"/>
        <w:ind w:firstLine="480" w:firstLineChars="200"/>
        <w:rPr>
          <w:rFonts w:hint="eastAsia" w:ascii="微软雅黑" w:hAnsi="微软雅黑" w:eastAsia="微软雅黑" w:cs="微软雅黑"/>
          <w:sz w:val="24"/>
          <w:szCs w:val="24"/>
        </w:rPr>
      </w:pPr>
      <w:bookmarkStart w:id="217" w:name="_Toc283382459"/>
      <w:r>
        <w:rPr>
          <w:rFonts w:hint="eastAsia" w:ascii="微软雅黑" w:hAnsi="微软雅黑" w:eastAsia="微软雅黑" w:cs="微软雅黑"/>
          <w:sz w:val="24"/>
          <w:szCs w:val="24"/>
        </w:rPr>
        <w:t>（二）其它优惠承诺（格式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217"/>
      <w:bookmarkStart w:id="218" w:name="_Toc106030909"/>
      <w:bookmarkStart w:id="219" w:name="_Toc313008359"/>
      <w:bookmarkStart w:id="220" w:name="_Toc26948"/>
      <w:bookmarkStart w:id="221" w:name="_Toc32054"/>
      <w:bookmarkStart w:id="222" w:name="_Toc313888363"/>
      <w:bookmarkStart w:id="223" w:name="_Toc76462353"/>
      <w:bookmarkStart w:id="224" w:name="_Toc342913422"/>
      <w:r>
        <w:rPr>
          <w:rFonts w:hint="eastAsia" w:ascii="微软雅黑" w:hAnsi="微软雅黑" w:eastAsia="微软雅黑" w:cs="微软雅黑"/>
          <w:sz w:val="24"/>
        </w:rPr>
        <w:t>四、资格条件</w:t>
      </w:r>
      <w:bookmarkEnd w:id="218"/>
      <w:bookmarkEnd w:id="219"/>
      <w:bookmarkEnd w:id="220"/>
      <w:bookmarkEnd w:id="221"/>
      <w:bookmarkEnd w:id="222"/>
      <w:bookmarkEnd w:id="223"/>
      <w:bookmarkEnd w:id="224"/>
    </w:p>
    <w:p>
      <w:pPr>
        <w:tabs>
          <w:tab w:val="left" w:pos="6300"/>
        </w:tabs>
        <w:snapToGrid w:val="0"/>
        <w:spacing w:line="4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（二）法定代表人身份证明书（格式）</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（职务名称）职务，是（投标人名称）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（投标人公章）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widowControl/>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（四）投标函（格式）</w:t>
      </w:r>
    </w:p>
    <w:p>
      <w:pPr>
        <w:tabs>
          <w:tab w:val="left" w:pos="6300"/>
        </w:tabs>
        <w:snapToGrid w:val="0"/>
        <w:spacing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（投标单位名称）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采购文件所有要求。</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采购文件要求提交的响应文件为：响应文件正本1份，副本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69"/>
        <w:rPr>
          <w:rFonts w:hint="eastAsia" w:ascii="微软雅黑" w:hAnsi="微软雅黑" w:eastAsia="微软雅黑" w:cs="微软雅黑"/>
        </w:rPr>
      </w:pPr>
    </w:p>
    <w:p>
      <w:pPr>
        <w:pStyle w:val="70"/>
        <w:rPr>
          <w:rFonts w:hint="eastAsia" w:ascii="微软雅黑" w:hAnsi="微软雅黑" w:eastAsia="微软雅黑" w:cs="微软雅黑"/>
        </w:rPr>
      </w:pPr>
    </w:p>
    <w:p>
      <w:pPr>
        <w:pStyle w:val="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8"/>
        </w:rPr>
        <w:t>基本资格条件承诺函</w:t>
      </w: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（六）特定资格条件证明文件</w:t>
      </w:r>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560" w:firstLineChars="200"/>
        <w:rPr>
          <w:rFonts w:hint="eastAsia" w:ascii="微软雅黑" w:hAnsi="微软雅黑" w:eastAsia="微软雅黑" w:cs="微软雅黑"/>
          <w:sz w:val="24"/>
        </w:rPr>
      </w:pPr>
      <w:bookmarkStart w:id="225" w:name="_Toc14422"/>
      <w:r>
        <w:rPr>
          <w:rFonts w:hint="eastAsia" w:ascii="微软雅黑" w:hAnsi="微软雅黑" w:eastAsia="微软雅黑" w:cs="微软雅黑"/>
          <w:b w:val="0"/>
          <w:sz w:val="28"/>
        </w:rPr>
        <w:br w:type="page"/>
      </w:r>
      <w:bookmarkStart w:id="226" w:name="_Toc106030910"/>
      <w:bookmarkStart w:id="227" w:name="_Toc12335"/>
      <w:bookmarkStart w:id="228" w:name="_Toc8805"/>
      <w:bookmarkStart w:id="229" w:name="_Toc76462354"/>
      <w:r>
        <w:rPr>
          <w:rFonts w:hint="eastAsia" w:ascii="微软雅黑" w:hAnsi="微软雅黑" w:eastAsia="微软雅黑" w:cs="微软雅黑"/>
          <w:sz w:val="24"/>
        </w:rPr>
        <w:t>五、其他资料</w:t>
      </w:r>
      <w:bookmarkEnd w:id="225"/>
      <w:bookmarkEnd w:id="226"/>
      <w:bookmarkEnd w:id="227"/>
      <w:bookmarkEnd w:id="228"/>
      <w:bookmarkEnd w:id="229"/>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（一）其他与项目有关的资料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其他与项目有关的资料（自附）：投标人总体情况介绍、其他与本项目有关的资料等。</w:t>
      </w:r>
    </w:p>
    <w:p>
      <w:pPr>
        <w:spacing w:line="360" w:lineRule="auto"/>
        <w:ind w:firstLine="480" w:firstLineChars="200"/>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r>
        <w:rPr>
          <w:rFonts w:hint="eastAsia" w:ascii="微软雅黑" w:hAnsi="微软雅黑" w:eastAsia="微软雅黑" w:cs="微软雅黑"/>
          <w:sz w:val="24"/>
          <w:szCs w:val="24"/>
        </w:rPr>
        <w:t>（结束）</w:t>
      </w:r>
    </w:p>
    <w:p>
      <w:pPr>
        <w:spacing w:line="360" w:lineRule="auto"/>
        <w:ind w:firstLine="560" w:firstLineChars="200"/>
        <w:jc w:val="center"/>
        <w:outlineLvl w:val="0"/>
        <w:rPr>
          <w:rFonts w:hint="eastAsia" w:ascii="微软雅黑" w:hAnsi="微软雅黑" w:eastAsia="微软雅黑" w:cs="微软雅黑"/>
        </w:rPr>
      </w:pP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18</w:t>
                    </w:r>
                    <w:r>
                      <w:fldChar w:fldCharType="end"/>
                    </w:r>
                  </w:p>
                </w:txbxContent>
              </v:textbox>
            </v:shape>
          </w:pict>
        </mc:Fallback>
      </mc:AlternateContent>
    </w:r>
  </w:p>
  <w:p>
    <w:pPr>
      <w:pStyle w:val="3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rPr>
    </w:pPr>
    <w:r>
      <w:rPr>
        <w:rFonts w:hint="eastAsia" w:ascii="方正仿宋_GBK" w:eastAsia="方正仿宋_GBK"/>
        <w:sz w:val="21"/>
      </w:rPr>
      <w:t xml:space="preserve">                                                                      竞争性谈判文件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3"/>
  </w:num>
  <w:num w:numId="3">
    <w:abstractNumId w:val="9"/>
  </w:num>
  <w:num w:numId="4">
    <w:abstractNumId w:val="12"/>
  </w:num>
  <w:num w:numId="5">
    <w:abstractNumId w:val="0"/>
  </w:num>
  <w:num w:numId="6">
    <w:abstractNumId w:val="6"/>
  </w:num>
  <w:num w:numId="7">
    <w:abstractNumId w:val="11"/>
  </w:num>
  <w:num w:numId="8">
    <w:abstractNumId w:val="1"/>
  </w:num>
  <w:num w:numId="9">
    <w:abstractNumId w:val="2"/>
  </w:num>
  <w:num w:numId="10">
    <w:abstractNumId w:val="5"/>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2D29"/>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6175"/>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394384B"/>
    <w:rsid w:val="043B13F3"/>
    <w:rsid w:val="04EC2E74"/>
    <w:rsid w:val="0501052E"/>
    <w:rsid w:val="05B83278"/>
    <w:rsid w:val="067530C0"/>
    <w:rsid w:val="079B568B"/>
    <w:rsid w:val="07F103E0"/>
    <w:rsid w:val="08257811"/>
    <w:rsid w:val="092E6FC0"/>
    <w:rsid w:val="0A010D6F"/>
    <w:rsid w:val="0A362FD0"/>
    <w:rsid w:val="0A9D4FA8"/>
    <w:rsid w:val="0AED6133"/>
    <w:rsid w:val="0BB87E47"/>
    <w:rsid w:val="0C994BB4"/>
    <w:rsid w:val="0CF75B4D"/>
    <w:rsid w:val="0D0C7689"/>
    <w:rsid w:val="0D1F249B"/>
    <w:rsid w:val="0D26388C"/>
    <w:rsid w:val="0D2D45FA"/>
    <w:rsid w:val="0D9D537B"/>
    <w:rsid w:val="0DAE5F1C"/>
    <w:rsid w:val="0F4F0F37"/>
    <w:rsid w:val="1009316D"/>
    <w:rsid w:val="112E1BB3"/>
    <w:rsid w:val="115C3EAF"/>
    <w:rsid w:val="11E97BB4"/>
    <w:rsid w:val="12D87969"/>
    <w:rsid w:val="14093EF5"/>
    <w:rsid w:val="140E691A"/>
    <w:rsid w:val="147A5E14"/>
    <w:rsid w:val="148D1984"/>
    <w:rsid w:val="14D11CFB"/>
    <w:rsid w:val="153901DE"/>
    <w:rsid w:val="15935DB5"/>
    <w:rsid w:val="15BB3449"/>
    <w:rsid w:val="171C1EE4"/>
    <w:rsid w:val="17324323"/>
    <w:rsid w:val="17A1211B"/>
    <w:rsid w:val="18ED7A84"/>
    <w:rsid w:val="19255AF5"/>
    <w:rsid w:val="19401112"/>
    <w:rsid w:val="19740A13"/>
    <w:rsid w:val="1A5915C0"/>
    <w:rsid w:val="1A7E6296"/>
    <w:rsid w:val="1B5937A3"/>
    <w:rsid w:val="1E2C5A53"/>
    <w:rsid w:val="1F0D01CA"/>
    <w:rsid w:val="20C90477"/>
    <w:rsid w:val="21226BB2"/>
    <w:rsid w:val="21864056"/>
    <w:rsid w:val="222348FC"/>
    <w:rsid w:val="22F860AB"/>
    <w:rsid w:val="23366F63"/>
    <w:rsid w:val="2486441F"/>
    <w:rsid w:val="24A97106"/>
    <w:rsid w:val="2550440C"/>
    <w:rsid w:val="263535D3"/>
    <w:rsid w:val="286153F5"/>
    <w:rsid w:val="2895673E"/>
    <w:rsid w:val="29601F8B"/>
    <w:rsid w:val="296F02CD"/>
    <w:rsid w:val="2AA01F44"/>
    <w:rsid w:val="2C43216E"/>
    <w:rsid w:val="2CD472B8"/>
    <w:rsid w:val="2DB02B6B"/>
    <w:rsid w:val="2FD2000A"/>
    <w:rsid w:val="300C58E0"/>
    <w:rsid w:val="30607DAE"/>
    <w:rsid w:val="312C1210"/>
    <w:rsid w:val="31DA5A58"/>
    <w:rsid w:val="32FD7152"/>
    <w:rsid w:val="32FE4017"/>
    <w:rsid w:val="332D1E43"/>
    <w:rsid w:val="361F2D7D"/>
    <w:rsid w:val="37556B60"/>
    <w:rsid w:val="37660142"/>
    <w:rsid w:val="38CD7FDC"/>
    <w:rsid w:val="39F10582"/>
    <w:rsid w:val="3ACE5D4F"/>
    <w:rsid w:val="3B89534D"/>
    <w:rsid w:val="3C55524B"/>
    <w:rsid w:val="3CCE1388"/>
    <w:rsid w:val="3CED5AB6"/>
    <w:rsid w:val="3DC14F27"/>
    <w:rsid w:val="3DDD46D4"/>
    <w:rsid w:val="3DF6488D"/>
    <w:rsid w:val="3E2734A9"/>
    <w:rsid w:val="3E2D176B"/>
    <w:rsid w:val="3E5E05BF"/>
    <w:rsid w:val="3F1C71CA"/>
    <w:rsid w:val="3F464493"/>
    <w:rsid w:val="3F5929D1"/>
    <w:rsid w:val="3FD67934"/>
    <w:rsid w:val="406334F2"/>
    <w:rsid w:val="409F14A1"/>
    <w:rsid w:val="41031861"/>
    <w:rsid w:val="415F6EA3"/>
    <w:rsid w:val="42E4764C"/>
    <w:rsid w:val="43291680"/>
    <w:rsid w:val="44256EDB"/>
    <w:rsid w:val="452C7897"/>
    <w:rsid w:val="46151D23"/>
    <w:rsid w:val="46D026EE"/>
    <w:rsid w:val="476B30BF"/>
    <w:rsid w:val="48783FC8"/>
    <w:rsid w:val="494C6B8D"/>
    <w:rsid w:val="497B7CB3"/>
    <w:rsid w:val="4A286398"/>
    <w:rsid w:val="4A8845CE"/>
    <w:rsid w:val="4B2D12E0"/>
    <w:rsid w:val="4BEB6B31"/>
    <w:rsid w:val="4D1D2982"/>
    <w:rsid w:val="4DD36371"/>
    <w:rsid w:val="4E5B7C6F"/>
    <w:rsid w:val="4E854372"/>
    <w:rsid w:val="4EEC1F3B"/>
    <w:rsid w:val="4F070047"/>
    <w:rsid w:val="4F3C244F"/>
    <w:rsid w:val="4FCD30B4"/>
    <w:rsid w:val="5115115D"/>
    <w:rsid w:val="521E4A24"/>
    <w:rsid w:val="52306CBC"/>
    <w:rsid w:val="5232269F"/>
    <w:rsid w:val="52D92ACB"/>
    <w:rsid w:val="53B4776F"/>
    <w:rsid w:val="53B7194F"/>
    <w:rsid w:val="53DF1E3A"/>
    <w:rsid w:val="540F25CE"/>
    <w:rsid w:val="545B425C"/>
    <w:rsid w:val="558E730F"/>
    <w:rsid w:val="56583A35"/>
    <w:rsid w:val="573C43EC"/>
    <w:rsid w:val="57857077"/>
    <w:rsid w:val="57F70492"/>
    <w:rsid w:val="58513831"/>
    <w:rsid w:val="58B9495B"/>
    <w:rsid w:val="58BB5504"/>
    <w:rsid w:val="58EA1C45"/>
    <w:rsid w:val="59E545C2"/>
    <w:rsid w:val="5AC343F0"/>
    <w:rsid w:val="5CA67F0E"/>
    <w:rsid w:val="5CC4593C"/>
    <w:rsid w:val="5CE0669B"/>
    <w:rsid w:val="5DAD4E7C"/>
    <w:rsid w:val="5DC6466B"/>
    <w:rsid w:val="5ED10334"/>
    <w:rsid w:val="5F0271B4"/>
    <w:rsid w:val="60B01C37"/>
    <w:rsid w:val="60CB5C8F"/>
    <w:rsid w:val="61A33550"/>
    <w:rsid w:val="62164EC7"/>
    <w:rsid w:val="633157F8"/>
    <w:rsid w:val="648E3C9A"/>
    <w:rsid w:val="64DA4767"/>
    <w:rsid w:val="65170F5B"/>
    <w:rsid w:val="65215328"/>
    <w:rsid w:val="657811AE"/>
    <w:rsid w:val="658B38AE"/>
    <w:rsid w:val="660232D5"/>
    <w:rsid w:val="663C214A"/>
    <w:rsid w:val="665B2E8B"/>
    <w:rsid w:val="670A099E"/>
    <w:rsid w:val="688B0082"/>
    <w:rsid w:val="68BD663A"/>
    <w:rsid w:val="692F74C0"/>
    <w:rsid w:val="696405DD"/>
    <w:rsid w:val="69BE2355"/>
    <w:rsid w:val="6B75107A"/>
    <w:rsid w:val="6BFE1706"/>
    <w:rsid w:val="6C55768A"/>
    <w:rsid w:val="6D5236ED"/>
    <w:rsid w:val="6E123B42"/>
    <w:rsid w:val="6E2B5D12"/>
    <w:rsid w:val="6F8C51FC"/>
    <w:rsid w:val="6FE969BF"/>
    <w:rsid w:val="701245F9"/>
    <w:rsid w:val="71175C34"/>
    <w:rsid w:val="71A31538"/>
    <w:rsid w:val="74D70DF7"/>
    <w:rsid w:val="74DA5656"/>
    <w:rsid w:val="75043B07"/>
    <w:rsid w:val="750950F5"/>
    <w:rsid w:val="750D16CF"/>
    <w:rsid w:val="763F7532"/>
    <w:rsid w:val="7682047B"/>
    <w:rsid w:val="773622B4"/>
    <w:rsid w:val="77D50611"/>
    <w:rsid w:val="78334D0D"/>
    <w:rsid w:val="789F3DA6"/>
    <w:rsid w:val="78A52377"/>
    <w:rsid w:val="79036C35"/>
    <w:rsid w:val="79082185"/>
    <w:rsid w:val="796075AF"/>
    <w:rsid w:val="79FB3E99"/>
    <w:rsid w:val="7A6F77AB"/>
    <w:rsid w:val="7ABA3FBA"/>
    <w:rsid w:val="7B3D56DA"/>
    <w:rsid w:val="7B5B7497"/>
    <w:rsid w:val="7BEF5F10"/>
    <w:rsid w:val="7D9563F1"/>
    <w:rsid w:val="7DF569B3"/>
    <w:rsid w:val="7EB03BCE"/>
    <w:rsid w:val="7EDF2436"/>
    <w:rsid w:val="7EE54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next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basedOn w:val="60"/>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10"/>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1</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李薛龙</cp:lastModifiedBy>
  <cp:lastPrinted>2015-03-25T02:14:00Z</cp:lastPrinted>
  <dcterms:modified xsi:type="dcterms:W3CDTF">2026-02-25T00:47:40Z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3CA2D64E2BE64F45B7FB39423EA8C96C</vt:lpwstr>
  </property>
</Properties>
</file>