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5</w:t>
      </w:r>
      <w:r>
        <w:rPr>
          <w:rFonts w:hint="eastAsia" w:ascii="微软雅黑" w:hAnsi="微软雅黑" w:eastAsia="微软雅黑" w:cs="微软雅黑"/>
          <w:sz w:val="36"/>
          <w:szCs w:val="36"/>
          <w:u w:val="single"/>
        </w:rPr>
        <w:t>0</w:t>
      </w:r>
      <w:r>
        <w:rPr>
          <w:rFonts w:hint="eastAsia" w:ascii="微软雅黑" w:hAnsi="微软雅黑" w:eastAsia="微软雅黑" w:cs="微软雅黑"/>
          <w:sz w:val="36"/>
          <w:szCs w:val="36"/>
          <w:u w:val="single"/>
          <w:lang w:val="en-US" w:eastAsia="zh-CN"/>
        </w:rPr>
        <w:t>613</w:t>
      </w:r>
    </w:p>
    <w:p>
      <w:pPr>
        <w:spacing w:line="360" w:lineRule="auto"/>
        <w:ind w:firstLine="1800" w:firstLineChars="5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微生物抽滤机</w:t>
      </w:r>
    </w:p>
    <w:p>
      <w:pPr>
        <w:spacing w:line="360" w:lineRule="auto"/>
        <w:ind w:firstLine="1800" w:firstLineChars="500"/>
        <w:outlineLvl w:val="0"/>
        <w:rPr>
          <w:rFonts w:hint="eastAsia" w:ascii="微软雅黑" w:hAnsi="微软雅黑" w:eastAsia="微软雅黑" w:cs="微软雅黑"/>
          <w:sz w:val="36"/>
          <w:szCs w:val="36"/>
          <w:u w:val="single"/>
        </w:rPr>
      </w:pPr>
    </w:p>
    <w:p>
      <w:pPr>
        <w:spacing w:line="360" w:lineRule="auto"/>
        <w:ind w:firstLine="1800" w:firstLineChars="500"/>
        <w:outlineLvl w:val="0"/>
        <w:rPr>
          <w:rFonts w:hint="eastAsia" w:ascii="微软雅黑" w:hAnsi="微软雅黑" w:eastAsia="微软雅黑" w:cs="微软雅黑"/>
          <w:sz w:val="36"/>
          <w:szCs w:val="36"/>
          <w:u w:val="single"/>
        </w:rPr>
      </w:pPr>
    </w:p>
    <w:p>
      <w:pPr>
        <w:pStyle w:val="24"/>
        <w:rPr>
          <w:rFonts w:hint="eastAsia"/>
        </w:rPr>
      </w:pPr>
    </w:p>
    <w:p>
      <w:pPr>
        <w:spacing w:line="360" w:lineRule="auto"/>
        <w:jc w:val="center"/>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u w:val="single"/>
        </w:rPr>
        <w:t>重庆医科大学附属儿童医院</w:t>
      </w:r>
    </w:p>
    <w:p>
      <w:pPr>
        <w:spacing w:line="360" w:lineRule="auto"/>
        <w:jc w:val="center"/>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u w:val="single"/>
        </w:rPr>
        <w:t>202</w:t>
      </w:r>
      <w:r>
        <w:rPr>
          <w:rFonts w:hint="eastAsia" w:ascii="微软雅黑" w:hAnsi="微软雅黑" w:eastAsia="微软雅黑" w:cs="微软雅黑"/>
          <w:sz w:val="36"/>
          <w:szCs w:val="36"/>
          <w:u w:val="single"/>
          <w:lang w:val="en-US" w:eastAsia="zh-CN"/>
        </w:rPr>
        <w:t>6</w:t>
      </w:r>
      <w:r>
        <w:rPr>
          <w:rFonts w:hint="eastAsia" w:ascii="微软雅黑" w:hAnsi="微软雅黑" w:eastAsia="微软雅黑" w:cs="微软雅黑"/>
          <w:sz w:val="36"/>
          <w:szCs w:val="36"/>
          <w:u w:val="single"/>
        </w:rPr>
        <w:t>年</w:t>
      </w:r>
      <w:r>
        <w:rPr>
          <w:rFonts w:hint="eastAsia" w:ascii="微软雅黑" w:hAnsi="微软雅黑" w:eastAsia="微软雅黑" w:cs="微软雅黑"/>
          <w:sz w:val="36"/>
          <w:szCs w:val="36"/>
          <w:u w:val="single"/>
          <w:lang w:val="en-US" w:eastAsia="zh-CN"/>
        </w:rPr>
        <w:t>2</w:t>
      </w:r>
      <w:r>
        <w:rPr>
          <w:rFonts w:hint="eastAsia" w:ascii="微软雅黑" w:hAnsi="微软雅黑" w:eastAsia="微软雅黑" w:cs="微软雅黑"/>
          <w:sz w:val="36"/>
          <w:szCs w:val="36"/>
          <w:u w:val="single"/>
        </w:rPr>
        <w:t>月</w:t>
      </w:r>
    </w:p>
    <w:p>
      <w:pPr>
        <w:spacing w:line="720" w:lineRule="exact"/>
        <w:jc w:val="center"/>
        <w:outlineLvl w:val="0"/>
        <w:rPr>
          <w:rFonts w:hint="eastAsia" w:ascii="微软雅黑" w:hAnsi="微软雅黑" w:eastAsia="微软雅黑" w:cs="微软雅黑"/>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Borders>
            <w:top w:val="none" w:sz="0" w:space="0"/>
            <w:left w:val="none" w:sz="0" w:space="0"/>
            <w:bottom w:val="none" w:sz="0" w:space="0"/>
            <w:right w:val="none" w:sz="0" w:space="0"/>
          </w:pgBorders>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_Toc31803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_Toc31803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_Toc29135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rPr>
        <w:t>公开比选采购内容</w:t>
      </w:r>
      <w:r>
        <w:rPr>
          <w:sz w:val="24"/>
          <w:szCs w:val="24"/>
        </w:rPr>
        <w:tab/>
      </w:r>
      <w:r>
        <w:rPr>
          <w:sz w:val="24"/>
          <w:szCs w:val="24"/>
        </w:rPr>
        <w:fldChar w:fldCharType="begin"/>
      </w:r>
      <w:r>
        <w:rPr>
          <w:sz w:val="24"/>
          <w:szCs w:val="24"/>
        </w:rPr>
        <w:instrText xml:space="preserve"> PAGEREF _Toc29135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_Toc14266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_Toc14266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_Toc21944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_Toc21944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_Toc16749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_Toc11889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_Toc11889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_Toc4969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_Toc4969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9"/>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_Toc27431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_Toc28649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_Toc7651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公开比选采购程序及方法、评审标准、无效响应和采购终止</w:t>
      </w:r>
      <w:r>
        <w:rPr>
          <w:sz w:val="24"/>
          <w:szCs w:val="24"/>
        </w:rPr>
        <w:tab/>
      </w:r>
      <w:r>
        <w:rPr>
          <w:sz w:val="24"/>
          <w:szCs w:val="24"/>
        </w:rPr>
        <w:fldChar w:fldCharType="begin"/>
      </w:r>
      <w:r>
        <w:rPr>
          <w:sz w:val="24"/>
          <w:szCs w:val="24"/>
        </w:rPr>
        <w:instrText xml:space="preserve"> PAGEREF _Toc7651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一、公开比选采购程序</w:t>
      </w:r>
      <w:r>
        <w:rPr>
          <w:sz w:val="24"/>
          <w:szCs w:val="24"/>
        </w:rPr>
        <w:tab/>
      </w:r>
      <w:r>
        <w:rPr>
          <w:sz w:val="24"/>
          <w:szCs w:val="24"/>
        </w:rPr>
        <w:fldChar w:fldCharType="begin"/>
      </w:r>
      <w:r>
        <w:rPr>
          <w:sz w:val="24"/>
          <w:szCs w:val="24"/>
        </w:rPr>
        <w:instrText xml:space="preserve"> PAGEREF _Toc32419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_Toc32269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sz w:val="24"/>
          <w:szCs w:val="24"/>
        </w:rPr>
        <w:tab/>
      </w:r>
      <w:r>
        <w:rPr>
          <w:sz w:val="24"/>
          <w:szCs w:val="24"/>
        </w:rPr>
        <w:fldChar w:fldCharType="begin"/>
      </w:r>
      <w:r>
        <w:rPr>
          <w:sz w:val="24"/>
          <w:szCs w:val="24"/>
        </w:rPr>
        <w:instrText xml:space="preserve"> PAGEREF _Toc32269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_Toc23550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_Toc23550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_Toc29611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_Toc29611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_Toc30253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_Toc6141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_Toc6141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一、公开比选费用</w:t>
      </w:r>
      <w:r>
        <w:rPr>
          <w:sz w:val="24"/>
          <w:szCs w:val="24"/>
        </w:rPr>
        <w:tab/>
      </w:r>
      <w:r>
        <w:rPr>
          <w:sz w:val="24"/>
          <w:szCs w:val="24"/>
        </w:rPr>
        <w:fldChar w:fldCharType="begin"/>
      </w:r>
      <w:r>
        <w:rPr>
          <w:sz w:val="24"/>
          <w:szCs w:val="24"/>
        </w:rPr>
        <w:instrText xml:space="preserve"> PAGEREF _Toc25787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二、公开比选采购文件</w:t>
      </w:r>
      <w:r>
        <w:rPr>
          <w:sz w:val="24"/>
          <w:szCs w:val="24"/>
        </w:rPr>
        <w:tab/>
      </w:r>
      <w:r>
        <w:rPr>
          <w:sz w:val="24"/>
          <w:szCs w:val="24"/>
        </w:rPr>
        <w:fldChar w:fldCharType="begin"/>
      </w:r>
      <w:r>
        <w:rPr>
          <w:sz w:val="24"/>
          <w:szCs w:val="24"/>
        </w:rPr>
        <w:instrText xml:space="preserve"> PAGEREF _Toc7524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_Toc13931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_Toc13931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_Toc828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_Toc29256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_Toc29256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_Toc3351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_Toc3351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_Toc2948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_Toc20383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_Toc20383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_Toc347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_Toc32113 \h </w:instrText>
      </w:r>
      <w:r>
        <w:rPr>
          <w:sz w:val="24"/>
          <w:szCs w:val="24"/>
        </w:rPr>
        <w:fldChar w:fldCharType="separate"/>
      </w:r>
      <w:r>
        <w:rPr>
          <w:sz w:val="24"/>
          <w:szCs w:val="24"/>
        </w:rPr>
        <w:t>- 20 -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_Toc29437 \h </w:instrText>
      </w:r>
      <w:r>
        <w:rPr>
          <w:sz w:val="24"/>
          <w:szCs w:val="24"/>
        </w:rPr>
        <w:fldChar w:fldCharType="separate"/>
      </w:r>
      <w:r>
        <w:rPr>
          <w:sz w:val="24"/>
          <w:szCs w:val="24"/>
        </w:rPr>
        <w:t>- 22 -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_Toc15330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_Toc15330 \h </w:instrText>
      </w:r>
      <w:r>
        <w:rPr>
          <w:sz w:val="24"/>
          <w:szCs w:val="24"/>
        </w:rPr>
        <w:fldChar w:fldCharType="separate"/>
      </w:r>
      <w:r>
        <w:rPr>
          <w:sz w:val="24"/>
          <w:szCs w:val="24"/>
        </w:rPr>
        <w:t>- 24 -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_Toc28615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_Toc28615 \h </w:instrText>
      </w:r>
      <w:r>
        <w:rPr>
          <w:sz w:val="24"/>
          <w:szCs w:val="24"/>
        </w:rPr>
        <w:fldChar w:fldCharType="separate"/>
      </w:r>
      <w:r>
        <w:rPr>
          <w:sz w:val="24"/>
          <w:szCs w:val="24"/>
        </w:rPr>
        <w:t>- 30 -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Borders>
            <w:top w:val="none" w:sz="0" w:space="0"/>
            <w:left w:val="none" w:sz="0" w:space="0"/>
            <w:bottom w:val="none" w:sz="0" w:space="0"/>
            <w:right w:val="none" w:sz="0" w:space="0"/>
          </w:pgBorders>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5"/>
        <w:spacing w:before="200" w:after="200" w:line="240" w:lineRule="auto"/>
        <w:jc w:val="center"/>
        <w:rPr>
          <w:rFonts w:hint="eastAsia" w:ascii="微软雅黑" w:hAnsi="微软雅黑" w:eastAsia="微软雅黑" w:cs="微软雅黑"/>
          <w:sz w:val="44"/>
        </w:rPr>
      </w:pPr>
      <w:bookmarkStart w:id="0" w:name="_Toc31803"/>
      <w:bookmarkStart w:id="1" w:name="_Toc106030870"/>
      <w:bookmarkStart w:id="2" w:name="_Toc11641050"/>
      <w:bookmarkStart w:id="3" w:name="_Toc12789052"/>
      <w:bookmarkStart w:id="4" w:name="_Toc76462316"/>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微生物抽滤机</w:t>
      </w:r>
      <w:r>
        <w:rPr>
          <w:rFonts w:hint="eastAsia" w:ascii="微软雅黑" w:hAnsi="微软雅黑" w:eastAsia="微软雅黑" w:cs="微软雅黑"/>
          <w:sz w:val="24"/>
          <w:szCs w:val="24"/>
        </w:rPr>
        <w:t>项目进行公开比选采购。欢迎有资格的投标人前来参与。</w:t>
      </w:r>
    </w:p>
    <w:p>
      <w:pPr>
        <w:pStyle w:val="5"/>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17775175"/>
      <w:bookmarkStart w:id="8" w:name="_Toc313893526"/>
      <w:bookmarkStart w:id="9" w:name="_Toc3856"/>
      <w:bookmarkStart w:id="10" w:name="_Toc29135"/>
      <w:bookmarkStart w:id="11" w:name="_Toc76462317"/>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8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5"/>
        <w:gridCol w:w="2364"/>
        <w:gridCol w:w="1491"/>
        <w:gridCol w:w="1678"/>
        <w:gridCol w:w="975"/>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8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27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802"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设备最高限价</w:t>
            </w:r>
          </w:p>
        </w:tc>
        <w:tc>
          <w:tcPr>
            <w:tcW w:w="90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耗材最高限价</w:t>
            </w:r>
          </w:p>
        </w:tc>
        <w:tc>
          <w:tcPr>
            <w:tcW w:w="5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tc>
        <w:tc>
          <w:tcPr>
            <w:tcW w:w="713"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8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rPr>
              <w:t>YSB2</w:t>
            </w:r>
            <w:r>
              <w:rPr>
                <w:rFonts w:hint="eastAsia" w:ascii="微软雅黑" w:hAnsi="微软雅黑" w:eastAsia="微软雅黑" w:cs="微软雅黑"/>
                <w:kern w:val="0"/>
                <w:sz w:val="21"/>
                <w:szCs w:val="24"/>
                <w:lang w:val="en-US" w:eastAsia="zh-CN"/>
              </w:rPr>
              <w:t>50613</w:t>
            </w:r>
          </w:p>
        </w:tc>
        <w:tc>
          <w:tcPr>
            <w:tcW w:w="127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微生物抽滤机</w:t>
            </w:r>
          </w:p>
        </w:tc>
        <w:tc>
          <w:tcPr>
            <w:tcW w:w="80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4万元/台</w:t>
            </w:r>
          </w:p>
        </w:tc>
        <w:tc>
          <w:tcPr>
            <w:tcW w:w="90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30元/个</w:t>
            </w:r>
          </w:p>
        </w:tc>
        <w:tc>
          <w:tcPr>
            <w:tcW w:w="5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t>2000</w:t>
            </w:r>
            <w:r>
              <w:rPr>
                <w:rFonts w:hint="eastAsia" w:ascii="微软雅黑" w:hAnsi="微软雅黑" w:eastAsia="微软雅黑" w:cs="微软雅黑"/>
                <w:sz w:val="21"/>
                <w:szCs w:val="21"/>
                <w:lang w:val="en-US" w:eastAsia="zh-CN"/>
              </w:rPr>
              <w:t>元</w:t>
            </w:r>
          </w:p>
        </w:tc>
        <w:tc>
          <w:tcPr>
            <w:tcW w:w="71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266"/>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27954"/>
      <w:bookmarkStart w:id="23" w:name="_Toc10603087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疗器械经营许可证》及产品注册证;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《第二类医疗器械经营备案凭证》及产品注册证;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须具有所提供产品《第一类医疗器械备案凭证》及《第一类医疗器械备案信息表》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及产品备案;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所提供产品不属于医疗器械的</w:t>
      </w:r>
      <w:r>
        <w:rPr>
          <w:rFonts w:hint="eastAsia" w:ascii="微软雅黑" w:hAnsi="微软雅黑" w:eastAsia="微软雅黑" w:cs="微软雅黑"/>
          <w:sz w:val="24"/>
          <w:szCs w:val="24"/>
          <w:lang w:eastAsia="zh-CN"/>
        </w:rPr>
        <w:t>无需提供上述</w:t>
      </w:r>
      <w:r>
        <w:rPr>
          <w:rFonts w:hint="eastAsia" w:ascii="微软雅黑" w:hAnsi="微软雅黑" w:eastAsia="微软雅黑" w:cs="微软雅黑"/>
          <w:sz w:val="24"/>
          <w:szCs w:val="24"/>
          <w:lang w:val="en-US" w:eastAsia="zh-CN"/>
        </w:rPr>
        <w:t>2-6条款的证明材料。</w:t>
      </w:r>
      <w:bookmarkStart w:id="24" w:name="_Toc2194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投标人所投产品必须为国内生产。</w:t>
      </w:r>
    </w:p>
    <w:p>
      <w:pPr>
        <w:numPr>
          <w:ilvl w:val="0"/>
          <w:numId w:val="0"/>
        </w:numPr>
        <w:snapToGrid w:val="0"/>
        <w:spacing w:line="400" w:lineRule="exact"/>
        <w:rPr>
          <w:rFonts w:hint="eastAsia" w:ascii="微软雅黑" w:hAnsi="微软雅黑" w:eastAsia="微软雅黑" w:cs="微软雅黑"/>
          <w:sz w:val="24"/>
        </w:rPr>
      </w:pPr>
      <w:r>
        <w:rPr>
          <w:rFonts w:hint="eastAsia" w:ascii="微软雅黑" w:hAnsi="微软雅黑" w:eastAsia="微软雅黑" w:cs="微软雅黑"/>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525047161"/>
      <w:bookmarkStart w:id="27" w:name="_Toc12841"/>
      <w:bookmarkStart w:id="28" w:name="_Toc16749"/>
      <w:bookmarkStart w:id="29" w:name="_Toc521053053"/>
      <w:bookmarkStart w:id="30" w:name="_Toc65660334"/>
      <w:bookmarkStart w:id="31" w:name="_Toc6178"/>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4355"/>
      <w:bookmarkStart w:id="35" w:name="_Toc525047162"/>
      <w:bookmarkStart w:id="36" w:name="_Toc2945"/>
      <w:bookmarkStart w:id="37" w:name="_Toc106034626"/>
      <w:bookmarkStart w:id="38" w:name="_Toc521053054"/>
      <w:bookmarkStart w:id="39" w:name="_Toc1546"/>
      <w:bookmarkStart w:id="40" w:name="_Toc11889"/>
      <w:r>
        <w:rPr>
          <w:rFonts w:hint="eastAsia" w:ascii="微软雅黑" w:hAnsi="微软雅黑" w:eastAsia="微软雅黑" w:cs="微软雅黑"/>
          <w:sz w:val="24"/>
        </w:rPr>
        <w:t>五、</w:t>
      </w:r>
      <w:bookmarkEnd w:id="33"/>
      <w:bookmarkEnd w:id="34"/>
      <w:bookmarkEnd w:id="35"/>
      <w:bookmarkEnd w:id="36"/>
      <w:bookmarkEnd w:id="37"/>
      <w:bookmarkEnd w:id="38"/>
      <w:bookmarkStart w:id="41" w:name="_Toc16269"/>
      <w:bookmarkStart w:id="42" w:name="_Toc106034627"/>
      <w:bookmarkStart w:id="43" w:name="_Toc521053055"/>
      <w:bookmarkStart w:id="44" w:name="_Toc6563"/>
      <w:bookmarkStart w:id="45" w:name="_Toc65660336"/>
      <w:bookmarkStart w:id="46" w:name="_Toc5250471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525047164"/>
      <w:bookmarkStart w:id="49" w:name="_Toc4969"/>
      <w:bookmarkStart w:id="50" w:name="_Toc24901"/>
      <w:bookmarkStart w:id="51" w:name="_Toc521053056"/>
      <w:bookmarkStart w:id="52" w:name="_Toc65660337"/>
      <w:bookmarkStart w:id="53" w:name="_Toc1733"/>
      <w:bookmarkStart w:id="54" w:name="_Toc106034628"/>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Borders>
            <w:top w:val="none" w:sz="0" w:space="0"/>
            <w:left w:val="none" w:sz="0" w:space="0"/>
            <w:bottom w:val="none" w:sz="0" w:space="0"/>
            <w:right w:val="none" w:sz="0" w:space="0"/>
          </w:pgBorders>
          <w:pgNumType w:fmt="numberInDash"/>
          <w:cols w:space="720" w:num="1"/>
          <w:docGrid w:linePitch="312" w:charSpace="0"/>
        </w:sectPr>
      </w:pPr>
    </w:p>
    <w:p>
      <w:pPr>
        <w:pStyle w:val="4"/>
        <w:tabs>
          <w:tab w:val="left" w:pos="3360"/>
        </w:tabs>
        <w:spacing w:line="240" w:lineRule="auto"/>
        <w:jc w:val="center"/>
        <w:rPr>
          <w:rFonts w:hint="eastAsia" w:ascii="微软雅黑" w:hAnsi="微软雅黑" w:eastAsia="微软雅黑" w:cs="微软雅黑"/>
          <w:b/>
          <w:sz w:val="44"/>
        </w:rPr>
      </w:pPr>
      <w:bookmarkStart w:id="55" w:name="_Toc26176"/>
      <w:bookmarkStart w:id="56" w:name="_Toc1492"/>
      <w:bookmarkStart w:id="57" w:name="_Toc19886"/>
      <w:bookmarkStart w:id="58" w:name="_Toc12959"/>
      <w:bookmarkStart w:id="59" w:name="_Toc25639"/>
      <w:bookmarkStart w:id="60" w:name="_Toc32686"/>
      <w:bookmarkStart w:id="61" w:name="_Toc2070"/>
      <w:bookmarkStart w:id="62" w:name="_Toc2422"/>
      <w:bookmarkStart w:id="63" w:name="_Toc75793504"/>
      <w:bookmarkStart w:id="64" w:name="_Toc5461"/>
      <w:bookmarkStart w:id="65" w:name="_Toc1625"/>
      <w:bookmarkStart w:id="66" w:name="_Toc11017"/>
      <w:bookmarkStart w:id="67" w:name="_Toc23143"/>
      <w:bookmarkStart w:id="68" w:name="_Toc725"/>
      <w:bookmarkStart w:id="69" w:name="_Toc8649"/>
      <w:bookmarkStart w:id="70" w:name="_Toc27431"/>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7027"/>
      <w:bookmarkStart w:id="74" w:name="_Toc19238"/>
      <w:bookmarkStart w:id="75" w:name="_Toc23656"/>
      <w:bookmarkStart w:id="76" w:name="_Toc23504"/>
      <w:bookmarkStart w:id="77" w:name="_Toc8370"/>
      <w:bookmarkStart w:id="78" w:name="_Toc75793505"/>
      <w:bookmarkStart w:id="79" w:name="_Toc4913"/>
      <w:bookmarkStart w:id="80" w:name="_Toc11703"/>
      <w:bookmarkStart w:id="81" w:name="_Toc9261"/>
      <w:bookmarkStart w:id="82" w:name="_Toc29985"/>
      <w:bookmarkStart w:id="83" w:name="_Toc106030381"/>
      <w:bookmarkStart w:id="84" w:name="_Toc20979"/>
      <w:bookmarkStart w:id="85" w:name="_Toc4519"/>
      <w:bookmarkStart w:id="86" w:name="_Toc22910"/>
      <w:bookmarkStart w:id="87" w:name="_Toc4531"/>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2023"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3"/>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3614" w:type="dxa"/>
            <w:vAlign w:val="center"/>
          </w:tcPr>
          <w:p>
            <w:pPr>
              <w:pStyle w:val="3"/>
              <w:spacing w:line="240" w:lineRule="auto"/>
              <w:ind w:left="0"/>
              <w:jc w:val="center"/>
              <w:outlineLvl w:val="0"/>
              <w:rPr>
                <w:rFonts w:hint="eastAsia" w:ascii="微软雅黑" w:hAnsi="微软雅黑" w:eastAsia="微软雅黑" w:cs="微软雅黑"/>
                <w:sz w:val="24"/>
                <w:szCs w:val="24"/>
              </w:rPr>
            </w:pPr>
            <w:r>
              <w:rPr>
                <w:rFonts w:hint="default" w:ascii="微软雅黑" w:hAnsi="微软雅黑" w:eastAsia="微软雅黑" w:cs="微软雅黑"/>
                <w:sz w:val="24"/>
                <w:szCs w:val="24"/>
                <w:lang w:val="en-US" w:eastAsia="zh-CN"/>
              </w:rPr>
              <w:t>微生物抽滤机</w:t>
            </w:r>
          </w:p>
        </w:tc>
        <w:tc>
          <w:tcPr>
            <w:tcW w:w="1462"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1台</w:t>
            </w:r>
          </w:p>
        </w:tc>
        <w:tc>
          <w:tcPr>
            <w:tcW w:w="2023" w:type="dxa"/>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3"/>
              <w:spacing w:line="240" w:lineRule="auto"/>
              <w:ind w:left="0"/>
              <w:jc w:val="center"/>
              <w:outlineLvl w:val="0"/>
              <w:rPr>
                <w:rFonts w:hint="eastAsia" w:ascii="微软雅黑" w:hAnsi="微软雅黑" w:eastAsia="微软雅黑" w:cs="微软雅黑"/>
                <w:sz w:val="24"/>
                <w:szCs w:val="24"/>
                <w:lang w:val="en-US" w:eastAsia="zh-CN"/>
              </w:rPr>
            </w:pPr>
            <w:bookmarkStart w:id="88" w:name="_Toc28205"/>
            <w:bookmarkStart w:id="89" w:name="_Toc27067"/>
            <w:bookmarkStart w:id="90" w:name="_Toc21817"/>
            <w:bookmarkStart w:id="91" w:name="_Toc26453"/>
            <w:bookmarkStart w:id="92" w:name="_Toc106030382"/>
            <w:bookmarkStart w:id="93" w:name="_Toc75793506"/>
            <w:bookmarkStart w:id="94" w:name="_Toc32262"/>
            <w:bookmarkStart w:id="95" w:name="_Toc15696"/>
            <w:bookmarkStart w:id="96" w:name="_Toc23975"/>
            <w:bookmarkStart w:id="97" w:name="_Toc5751"/>
            <w:bookmarkStart w:id="98" w:name="_Toc695"/>
            <w:bookmarkStart w:id="99" w:name="_Toc12568"/>
            <w:bookmarkStart w:id="100" w:name="_Toc7792"/>
            <w:bookmarkStart w:id="101" w:name="_Toc18903"/>
            <w:bookmarkStart w:id="102" w:name="_Toc10143"/>
            <w:bookmarkStart w:id="103" w:name="_Toc18800"/>
            <w:r>
              <w:rPr>
                <w:rFonts w:hint="eastAsia" w:ascii="微软雅黑" w:hAnsi="微软雅黑" w:eastAsia="微软雅黑" w:cs="微软雅黑"/>
                <w:sz w:val="24"/>
                <w:szCs w:val="24"/>
                <w:lang w:val="en-US" w:eastAsia="zh-CN"/>
              </w:rPr>
              <w:t>2</w:t>
            </w:r>
          </w:p>
        </w:tc>
        <w:tc>
          <w:tcPr>
            <w:tcW w:w="3614" w:type="dxa"/>
            <w:vAlign w:val="center"/>
          </w:tcPr>
          <w:p>
            <w:pPr>
              <w:pStyle w:val="3"/>
              <w:spacing w:line="240" w:lineRule="auto"/>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一次性抽滤杯（含配套滤膜）</w:t>
            </w:r>
          </w:p>
        </w:tc>
        <w:tc>
          <w:tcPr>
            <w:tcW w:w="1462"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按实结算</w:t>
            </w:r>
          </w:p>
        </w:tc>
        <w:tc>
          <w:tcPr>
            <w:tcW w:w="2023"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预计三年用量约720个（该用量仅供参考，不作为结算依据）</w:t>
            </w:r>
          </w:p>
        </w:tc>
      </w:tr>
    </w:tbl>
    <w:p>
      <w:pPr>
        <w:numPr>
          <w:ilvl w:val="0"/>
          <w:numId w:val="0"/>
        </w:numPr>
        <w:ind w:left="480" w:leftChars="0"/>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二、</w:t>
      </w:r>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1.用途：院感监测，使用薄膜过滤法，主要用于治疗用水微生物限度检测、清洁消毒后内窥镜的卫生检测、透析水的微生物限度监测等；</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2.原理：通过薄膜过滤法检测液体样本中的微生物数量，即抽滤液体样本（如内镜中和剂），将液体标本中的细菌拦截在无菌滤膜上，将无菌滤膜正面朝上贴于营养琼脂平板表面，如有细菌则培养后生长出菌落，一个菌落即为一个菌落形成单位（CFU）,然后做菌落计数，根据标准值判读细菌是否超标。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3.性能：</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①通量：≥1个独立抽滤泵，可批量处理样本且互不干扰，每个样本（50mL）抽滤完成时间在50秒内；</w:t>
      </w:r>
      <w:r>
        <w:rPr>
          <w:rFonts w:hint="eastAsia" w:ascii="微软雅黑" w:hAnsi="微软雅黑" w:eastAsia="微软雅黑" w:cs="微软雅黑"/>
          <w:sz w:val="24"/>
          <w:szCs w:val="24"/>
          <w:lang w:val="en-US" w:eastAsia="zh-CN"/>
        </w:rPr>
        <w:t>可独立进行单个样本过滤或多个样本同时过滤；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②抽滤流量：≥1000毫升/分钟；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③抽滤噪声：≤6</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分贝；</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配套：设备应明确包含主机、必要的真空泵、配套的抽滤杯（瓶）等。对于需要软件控制的设备，应要求提供终身免费软件升级服务。</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耗材：应配备可</w:t>
      </w:r>
      <w:r>
        <w:rPr>
          <w:rFonts w:hint="eastAsia" w:ascii="微软雅黑" w:hAnsi="微软雅黑" w:eastAsia="微软雅黑" w:cs="微软雅黑"/>
          <w:sz w:val="24"/>
          <w:szCs w:val="24"/>
        </w:rPr>
        <w:t>配套</w:t>
      </w:r>
      <w:r>
        <w:rPr>
          <w:rFonts w:hint="eastAsia" w:ascii="微软雅黑" w:hAnsi="微软雅黑" w:eastAsia="微软雅黑" w:cs="微软雅黑"/>
          <w:sz w:val="24"/>
          <w:szCs w:val="24"/>
          <w:lang w:val="en-US" w:eastAsia="zh-CN"/>
        </w:rPr>
        <w:t>使用</w:t>
      </w:r>
      <w:r>
        <w:rPr>
          <w:rFonts w:hint="eastAsia" w:ascii="微软雅黑" w:hAnsi="微软雅黑" w:eastAsia="微软雅黑" w:cs="微软雅黑"/>
          <w:sz w:val="24"/>
          <w:szCs w:val="24"/>
        </w:rPr>
        <w:t>的抽滤</w:t>
      </w:r>
      <w:r>
        <w:rPr>
          <w:rFonts w:hint="eastAsia" w:ascii="微软雅黑" w:hAnsi="微软雅黑" w:eastAsia="微软雅黑" w:cs="微软雅黑"/>
          <w:sz w:val="24"/>
          <w:szCs w:val="24"/>
          <w:lang w:val="en-US" w:eastAsia="zh-CN"/>
        </w:rPr>
        <w:t>杯及符合</w:t>
      </w:r>
      <w:r>
        <w:rPr>
          <w:rFonts w:hint="eastAsia" w:ascii="微软雅黑" w:hAnsi="微软雅黑" w:eastAsia="微软雅黑" w:cs="微软雅黑"/>
          <w:sz w:val="24"/>
          <w:szCs w:val="24"/>
        </w:rPr>
        <w:t>GB15982-2012《中华人民共和国国家标准——医院消毒卫生标准》</w:t>
      </w:r>
      <w:r>
        <w:rPr>
          <w:rFonts w:hint="eastAsia" w:ascii="微软雅黑" w:hAnsi="微软雅黑" w:eastAsia="微软雅黑" w:cs="微软雅黑"/>
          <w:sz w:val="24"/>
          <w:szCs w:val="24"/>
          <w:lang w:val="en-US" w:eastAsia="zh-CN"/>
        </w:rPr>
        <w:t>要求且适配的滤膜</w:t>
      </w:r>
      <w:r>
        <w:rPr>
          <w:rFonts w:hint="eastAsia" w:ascii="微软雅黑" w:hAnsi="微软雅黑" w:eastAsia="微软雅黑" w:cs="微软雅黑"/>
          <w:sz w:val="24"/>
          <w:szCs w:val="24"/>
        </w:rPr>
        <w:t>（0.45um）</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抽滤杯容量≥100ml，</w:t>
      </w:r>
      <w:r>
        <w:rPr>
          <w:rFonts w:hint="eastAsia" w:ascii="微软雅黑" w:hAnsi="微软雅黑" w:eastAsia="微软雅黑" w:cs="微软雅黑"/>
          <w:sz w:val="24"/>
          <w:szCs w:val="24"/>
        </w:rPr>
        <w:t>应为防污染设计，可在普通环境进行抽滤工作</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抽滤过程中滤膜不会破损或穿孔</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.屏幕显示仪器工作及仪器异常状态报警；</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.电池和插电源（220V）均可用。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市场占有量：西南地区三甲医院3家及以上使用</w:t>
      </w:r>
      <w:r>
        <w:rPr>
          <w:rFonts w:hint="eastAsia" w:ascii="微软雅黑" w:hAnsi="微软雅黑" w:eastAsia="微软雅黑" w:cs="微软雅黑"/>
          <w:sz w:val="24"/>
          <w:szCs w:val="24"/>
          <w:lang w:eastAsia="zh-CN"/>
        </w:rPr>
        <w:t>，提供合同或发票复印件证明</w:t>
      </w:r>
      <w:r>
        <w:rPr>
          <w:rFonts w:hint="eastAsia" w:ascii="微软雅黑" w:hAnsi="微软雅黑" w:eastAsia="微软雅黑" w:cs="微软雅黑"/>
          <w:sz w:val="24"/>
          <w:szCs w:val="24"/>
          <w:lang w:val="en-US" w:eastAsia="zh-CN"/>
        </w:rPr>
        <w:t>均可。</w:t>
      </w:r>
    </w:p>
    <w:p>
      <w:pPr>
        <w:snapToGrid w:val="0"/>
        <w:spacing w:line="400" w:lineRule="exact"/>
        <w:ind w:firstLine="480" w:firstLineChars="200"/>
        <w:rPr>
          <w:rFonts w:hint="eastAsia" w:ascii="微软雅黑" w:hAnsi="微软雅黑" w:eastAsia="微软雅黑" w:cs="微软雅黑"/>
          <w:sz w:val="24"/>
          <w:szCs w:val="24"/>
          <w:lang w:eastAsia="zh-CN"/>
        </w:rPr>
      </w:pPr>
    </w:p>
    <w:p>
      <w:pPr>
        <w:snapToGrid w:val="0"/>
        <w:spacing w:line="400" w:lineRule="exact"/>
        <w:ind w:firstLine="480" w:firstLineChars="200"/>
        <w:rPr>
          <w:rFonts w:hint="eastAsia" w:ascii="微软雅黑" w:hAnsi="微软雅黑" w:eastAsia="微软雅黑" w:cs="微软雅黑"/>
          <w:sz w:val="24"/>
          <w:szCs w:val="24"/>
          <w:lang w:eastAsia="zh-CN"/>
        </w:rPr>
        <w:sectPr>
          <w:footerReference r:id="rId8" w:type="default"/>
          <w:footerReference r:id="rId9" w:type="even"/>
          <w:pgSz w:w="11907" w:h="16840"/>
          <w:pgMar w:top="907" w:right="907" w:bottom="907" w:left="850" w:header="964" w:footer="992" w:gutter="0"/>
          <w:pgBorders>
            <w:top w:val="none" w:sz="0" w:space="0"/>
            <w:left w:val="none" w:sz="0" w:space="0"/>
            <w:bottom w:val="none" w:sz="0" w:space="0"/>
            <w:right w:val="none" w:sz="0" w:space="0"/>
          </w:pgBorders>
          <w:pgNumType w:fmt="numberInDash"/>
          <w:cols w:space="720" w:num="1"/>
          <w:docGrid w:linePitch="381" w:charSpace="0"/>
        </w:sectPr>
      </w:pPr>
      <w:r>
        <w:rPr>
          <w:rFonts w:hint="eastAsia" w:ascii="微软雅黑" w:hAnsi="微软雅黑" w:eastAsia="微软雅黑" w:cs="微软雅黑"/>
          <w:sz w:val="24"/>
          <w:szCs w:val="24"/>
          <w:lang w:val="en-US" w:eastAsia="zh-CN"/>
        </w:rPr>
        <w:t>注：</w:t>
      </w: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/产品说明书/检验报告等佐证材料（需生产厂家盖、投标人盖章）。</w:t>
      </w:r>
    </w:p>
    <w:p>
      <w:pPr>
        <w:pStyle w:val="5"/>
        <w:spacing w:before="200" w:after="200" w:line="240" w:lineRule="auto"/>
        <w:jc w:val="center"/>
        <w:rPr>
          <w:rFonts w:hint="eastAsia" w:ascii="微软雅黑" w:hAnsi="微软雅黑" w:eastAsia="微软雅黑" w:cs="微软雅黑"/>
          <w:sz w:val="44"/>
        </w:rPr>
      </w:pPr>
      <w:bookmarkStart w:id="104" w:name="_Toc7791"/>
      <w:bookmarkStart w:id="105" w:name="_Toc28649"/>
      <w:bookmarkStart w:id="106" w:name="_Toc106030882"/>
      <w:bookmarkStart w:id="107" w:name="_Toc76462327"/>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合同期限、</w:t>
            </w:r>
            <w:r>
              <w:rPr>
                <w:rFonts w:hint="eastAsia" w:ascii="微软雅黑" w:hAnsi="微软雅黑" w:eastAsia="微软雅黑" w:cs="微软雅黑"/>
                <w:b/>
                <w:bCs/>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1.交货期：中标人在收到采购人通知后在30个日历日内（或者在采购人临时具体书面指定天数内）将设备运到采购人指定交货地点。</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3.设备验收方式：需求科室与医学工程科现场验收。</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耗材：</w:t>
            </w:r>
          </w:p>
          <w:p>
            <w:pPr>
              <w:pStyle w:val="144"/>
              <w:widowControl/>
              <w:adjustRightInd w:val="0"/>
              <w:snapToGrid w:val="0"/>
              <w:spacing w:line="400" w:lineRule="exact"/>
              <w:jc w:val="left"/>
              <w:rPr>
                <w:rFonts w:hint="default"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lang w:val="en-US" w:eastAsia="zh-CN"/>
              </w:rPr>
              <w:t>1.合同期限：5</w:t>
            </w:r>
            <w:bookmarkStart w:id="225" w:name="_GoBack"/>
            <w:bookmarkEnd w:id="225"/>
            <w:r>
              <w:rPr>
                <w:rFonts w:hint="eastAsia" w:ascii="微软雅黑" w:hAnsi="微软雅黑" w:eastAsia="微软雅黑" w:cs="微软雅黑"/>
                <w:color w:val="0000FF"/>
                <w:sz w:val="24"/>
                <w:szCs w:val="24"/>
                <w:lang w:val="en-US" w:eastAsia="zh-CN"/>
              </w:rPr>
              <w:t>年。</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2.交货期：中标人在收到采购人通知后在3个日历日内（或者在采购人临时具体书面指定天数内）将物资运到采购人指定交货地点。</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1.质保期：不低于5年；</w:t>
            </w:r>
          </w:p>
          <w:p>
            <w:pPr>
              <w:pStyle w:val="144"/>
              <w:widowControl/>
              <w:adjustRightInd w:val="0"/>
              <w:snapToGrid w:val="0"/>
              <w:spacing w:line="400" w:lineRule="exact"/>
              <w:jc w:val="left"/>
              <w:rPr>
                <w:rFonts w:hint="eastAsia" w:ascii="微软雅黑" w:hAnsi="微软雅黑" w:eastAsia="微软雅黑" w:cs="微软雅黑"/>
                <w:sz w:val="24"/>
                <w:szCs w:val="24"/>
                <w:lang w:val="de-DE"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de-DE" w:eastAsia="zh-CN"/>
              </w:rPr>
              <w:t>机器故障应2</w:t>
            </w:r>
            <w:r>
              <w:rPr>
                <w:rFonts w:hint="eastAsia" w:ascii="微软雅黑" w:hAnsi="微软雅黑" w:eastAsia="微软雅黑" w:cs="微软雅黑"/>
                <w:sz w:val="24"/>
                <w:szCs w:val="24"/>
                <w:lang w:val="en-US" w:eastAsia="zh-CN"/>
              </w:rPr>
              <w:t>小时</w:t>
            </w:r>
            <w:r>
              <w:rPr>
                <w:rFonts w:hint="eastAsia" w:ascii="微软雅黑" w:hAnsi="微软雅黑" w:eastAsia="微软雅黑" w:cs="微软雅黑"/>
                <w:sz w:val="24"/>
                <w:szCs w:val="24"/>
                <w:lang w:val="de-DE" w:eastAsia="zh-CN"/>
              </w:rPr>
              <w:t>内故障响应，</w:t>
            </w:r>
            <w:r>
              <w:rPr>
                <w:rFonts w:hint="eastAsia" w:ascii="微软雅黑" w:hAnsi="微软雅黑" w:eastAsia="微软雅黑" w:cs="微软雅黑"/>
                <w:sz w:val="24"/>
                <w:szCs w:val="24"/>
                <w:lang w:val="en-US" w:eastAsia="zh-CN"/>
              </w:rPr>
              <w:t>4小时</w:t>
            </w:r>
            <w:r>
              <w:rPr>
                <w:rFonts w:hint="eastAsia" w:ascii="微软雅黑" w:hAnsi="微软雅黑" w:eastAsia="微软雅黑" w:cs="微软雅黑"/>
                <w:sz w:val="24"/>
                <w:szCs w:val="24"/>
                <w:lang w:val="de-DE" w:eastAsia="zh-CN"/>
              </w:rPr>
              <w:t>内到达现场</w:t>
            </w:r>
            <w:r>
              <w:rPr>
                <w:rFonts w:hint="eastAsia" w:ascii="微软雅黑" w:hAnsi="微软雅黑" w:eastAsia="微软雅黑" w:cs="微软雅黑"/>
                <w:sz w:val="24"/>
                <w:szCs w:val="24"/>
                <w:lang w:val="en-US" w:eastAsia="zh-CN"/>
              </w:rPr>
              <w:t>,72小时内</w:t>
            </w:r>
            <w:r>
              <w:rPr>
                <w:rFonts w:hint="eastAsia" w:ascii="微软雅黑" w:hAnsi="微软雅黑" w:eastAsia="微软雅黑" w:cs="微软雅黑"/>
                <w:sz w:val="24"/>
                <w:szCs w:val="24"/>
                <w:lang w:val="de-DE" w:eastAsia="zh-CN"/>
              </w:rPr>
              <w:t>解决故障</w:t>
            </w:r>
            <w:r>
              <w:rPr>
                <w:rFonts w:hint="eastAsia" w:ascii="微软雅黑" w:hAnsi="微软雅黑" w:eastAsia="微软雅黑" w:cs="微软雅黑"/>
                <w:sz w:val="24"/>
                <w:szCs w:val="24"/>
                <w:lang w:val="en-US" w:eastAsia="zh-CN"/>
              </w:rPr>
              <w:t>；</w:t>
            </w:r>
          </w:p>
          <w:p>
            <w:pPr>
              <w:pStyle w:val="144"/>
              <w:widowControl/>
              <w:adjustRightInd w:val="0"/>
              <w:snapToGrid w:val="0"/>
              <w:spacing w:line="400" w:lineRule="exact"/>
              <w:jc w:val="left"/>
              <w:rPr>
                <w:rFonts w:hint="eastAsia" w:ascii="微软雅黑" w:hAnsi="微软雅黑" w:eastAsia="微软雅黑" w:cs="微软雅黑"/>
                <w:sz w:val="24"/>
                <w:szCs w:val="24"/>
                <w:lang w:val="de-DE" w:eastAsia="zh-CN"/>
              </w:rPr>
            </w:pPr>
            <w:r>
              <w:rPr>
                <w:rFonts w:hint="eastAsia" w:ascii="微软雅黑" w:hAnsi="微软雅黑" w:eastAsia="微软雅黑" w:cs="微软雅黑"/>
                <w:sz w:val="24"/>
                <w:szCs w:val="24"/>
                <w:lang w:val="en-US" w:eastAsia="zh-CN"/>
              </w:rPr>
              <w:t>3.不能解决故障则48小时内提供备用机或解决方案；</w:t>
            </w:r>
          </w:p>
          <w:p>
            <w:pPr>
              <w:pStyle w:val="144"/>
              <w:widowControl/>
              <w:adjustRightInd w:val="0"/>
              <w:snapToGrid w:val="0"/>
              <w:spacing w:line="400" w:lineRule="exact"/>
              <w:jc w:val="left"/>
              <w:rPr>
                <w:rFonts w:hint="eastAsia" w:ascii="微软雅黑" w:hAnsi="微软雅黑" w:eastAsia="微软雅黑" w:cs="微软雅黑"/>
                <w:sz w:val="24"/>
                <w:szCs w:val="24"/>
                <w:lang w:val="de-DE" w:eastAsia="zh-CN"/>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lang w:val="de-DE" w:eastAsia="zh-CN"/>
              </w:rPr>
              <w:t>提供维修技术资料；</w:t>
            </w:r>
          </w:p>
          <w:p>
            <w:pPr>
              <w:pStyle w:val="144"/>
              <w:widowControl/>
              <w:adjustRightInd w:val="0"/>
              <w:snapToGrid w:val="0"/>
              <w:spacing w:line="400" w:lineRule="exact"/>
              <w:jc w:val="left"/>
              <w:rPr>
                <w:rFonts w:hint="eastAsia" w:ascii="微软雅黑" w:hAnsi="微软雅黑" w:eastAsia="微软雅黑" w:cs="微软雅黑"/>
                <w:sz w:val="24"/>
                <w:szCs w:val="24"/>
                <w:lang w:val="de-DE" w:eastAsia="zh-CN"/>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lang w:val="de-DE" w:eastAsia="zh-CN"/>
              </w:rPr>
              <w:t>维修工程师免费上门安装、培训；</w:t>
            </w:r>
            <w:r>
              <w:rPr>
                <w:rFonts w:hint="eastAsia" w:ascii="微软雅黑" w:hAnsi="微软雅黑" w:eastAsia="微软雅黑" w:cs="微软雅黑"/>
                <w:sz w:val="24"/>
                <w:szCs w:val="24"/>
                <w:lang w:val="en-US" w:eastAsia="zh-CN"/>
              </w:rPr>
              <w:t>中标人应对使用及维护人员进行必要的培训，包括异常情况处理及日常的维护操作，现场使用、维护人员能够独立完成各项操作为止。</w:t>
            </w:r>
          </w:p>
          <w:p>
            <w:pPr>
              <w:pStyle w:val="144"/>
              <w:widowControl/>
              <w:adjustRightInd w:val="0"/>
              <w:snapToGrid w:val="0"/>
              <w:spacing w:line="400" w:lineRule="exact"/>
              <w:jc w:val="left"/>
              <w:rPr>
                <w:rFonts w:hint="eastAsia" w:ascii="微软雅黑" w:hAnsi="微软雅黑" w:eastAsia="微软雅黑" w:cs="微软雅黑"/>
                <w:sz w:val="24"/>
                <w:szCs w:val="24"/>
                <w:lang w:val="de-DE" w:eastAsia="zh-CN"/>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lang w:val="de-DE" w:eastAsia="zh-CN"/>
              </w:rPr>
              <w:t>一年不低于4次定期维护保养，</w:t>
            </w:r>
            <w:r>
              <w:rPr>
                <w:rFonts w:hint="eastAsia" w:ascii="微软雅黑" w:hAnsi="微软雅黑" w:eastAsia="微软雅黑" w:cs="微软雅黑"/>
                <w:sz w:val="24"/>
                <w:szCs w:val="24"/>
                <w:lang w:val="en-US" w:eastAsia="zh-CN"/>
              </w:rPr>
              <w:t>有故障情况发生，终身免费上门维修</w:t>
            </w:r>
            <w:r>
              <w:rPr>
                <w:rFonts w:hint="eastAsia" w:ascii="微软雅黑" w:hAnsi="微软雅黑" w:eastAsia="微软雅黑" w:cs="微软雅黑"/>
                <w:sz w:val="24"/>
                <w:szCs w:val="24"/>
                <w:lang w:val="de-DE" w:eastAsia="zh-CN"/>
              </w:rPr>
              <w:t>；</w:t>
            </w:r>
          </w:p>
          <w:p>
            <w:pPr>
              <w:pStyle w:val="144"/>
              <w:widowControl/>
              <w:adjustRightInd w:val="0"/>
              <w:snapToGrid w:val="0"/>
              <w:spacing w:line="400" w:lineRule="exact"/>
              <w:jc w:val="left"/>
              <w:rPr>
                <w:rFonts w:hint="eastAsia" w:ascii="微软雅黑" w:hAnsi="微软雅黑" w:eastAsia="微软雅黑" w:cs="微软雅黑"/>
                <w:sz w:val="24"/>
                <w:szCs w:val="24"/>
                <w:lang w:val="de-DE"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val="de-DE" w:eastAsia="zh-CN"/>
              </w:rPr>
              <w:t>有西南地区本地化服务机构和服务人员证明并且能够提供证明材料（</w:t>
            </w:r>
            <w:r>
              <w:rPr>
                <w:rFonts w:hint="eastAsia" w:ascii="微软雅黑" w:hAnsi="微软雅黑" w:eastAsia="微软雅黑" w:cs="微软雅黑"/>
                <w:sz w:val="24"/>
                <w:szCs w:val="24"/>
                <w:lang w:val="en-US" w:eastAsia="zh-CN"/>
              </w:rPr>
              <w:t>公司</w:t>
            </w:r>
            <w:r>
              <w:rPr>
                <w:rFonts w:hint="eastAsia" w:ascii="微软雅黑" w:hAnsi="微软雅黑" w:eastAsia="微软雅黑" w:cs="微软雅黑"/>
                <w:sz w:val="24"/>
                <w:szCs w:val="24"/>
                <w:lang w:val="de-DE" w:eastAsia="zh-CN"/>
              </w:rPr>
              <w:t>的营业证等复印件加盖公章）</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8.中标人对自己投标产品对应参数需要满足，验收时根据投标响应文件中的技术参数一一验收，如果有一条或者多条不满足，采购人有权取消合同，所产生的损失由中标人承担。</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耗材：</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1.中标后若出现断供或发生Ⅱ级不良事件，按照合同约定条款处置；</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2.售后及时(24小时到现场提供解决方案)。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设备：该项目报价须对设备包干总价进行报价，包括完成货物、运输、验收及其他本项目所需的所有费用及各种应纳的税费。因中标人自身原因造成漏报、少报皆由其自行承担责任，采购人不再补偿。</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耗材：该项目耗材报价须对线上及备案的单价分别报价，所有报价均包括完成货物、运输、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snapToGrid w:val="0"/>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设备：中标人</w:t>
            </w:r>
            <w:r>
              <w:rPr>
                <w:rFonts w:hint="default" w:ascii="微软雅黑" w:hAnsi="微软雅黑" w:eastAsia="微软雅黑" w:cs="微软雅黑"/>
                <w:sz w:val="24"/>
                <w:szCs w:val="24"/>
                <w:lang w:val="en-US" w:eastAsia="zh-CN"/>
              </w:rPr>
              <w:t>按采购合同交货并安装调试完成，经验收合格后采购人出具项目验收报告</w:t>
            </w:r>
            <w:r>
              <w:rPr>
                <w:rFonts w:hint="eastAsia" w:ascii="微软雅黑" w:hAnsi="微软雅黑" w:eastAsia="微软雅黑" w:cs="微软雅黑"/>
                <w:sz w:val="24"/>
                <w:szCs w:val="24"/>
                <w:lang w:val="en-US" w:eastAsia="zh-CN"/>
              </w:rPr>
              <w:t>，中标人</w:t>
            </w:r>
            <w:r>
              <w:rPr>
                <w:rFonts w:hint="default" w:ascii="微软雅黑" w:hAnsi="微软雅黑" w:eastAsia="微软雅黑" w:cs="微软雅黑"/>
                <w:sz w:val="24"/>
                <w:szCs w:val="24"/>
                <w:lang w:val="en-US" w:eastAsia="zh-CN"/>
              </w:rPr>
              <w:t>向采购人开具发票，采购人于</w:t>
            </w:r>
            <w:r>
              <w:rPr>
                <w:rFonts w:hint="eastAsia" w:ascii="微软雅黑" w:hAnsi="微软雅黑" w:eastAsia="微软雅黑" w:cs="微软雅黑"/>
                <w:sz w:val="24"/>
                <w:szCs w:val="24"/>
                <w:lang w:val="en-US" w:eastAsia="zh-CN"/>
              </w:rPr>
              <w:t>2个月</w:t>
            </w:r>
            <w:r>
              <w:rPr>
                <w:rFonts w:hint="default" w:ascii="微软雅黑" w:hAnsi="微软雅黑" w:eastAsia="微软雅黑" w:cs="微软雅黑"/>
                <w:sz w:val="24"/>
                <w:szCs w:val="24"/>
                <w:lang w:val="en-US" w:eastAsia="zh-CN"/>
              </w:rPr>
              <w:t>内以转账方式向</w:t>
            </w:r>
            <w:r>
              <w:rPr>
                <w:rFonts w:hint="eastAsia" w:ascii="微软雅黑" w:hAnsi="微软雅黑" w:eastAsia="微软雅黑" w:cs="微软雅黑"/>
                <w:sz w:val="24"/>
                <w:szCs w:val="24"/>
                <w:lang w:val="en-US" w:eastAsia="zh-CN"/>
              </w:rPr>
              <w:t>中标人</w:t>
            </w:r>
            <w:r>
              <w:rPr>
                <w:rFonts w:hint="default" w:ascii="微软雅黑" w:hAnsi="微软雅黑" w:eastAsia="微软雅黑" w:cs="微软雅黑"/>
                <w:sz w:val="24"/>
                <w:szCs w:val="24"/>
                <w:lang w:val="en-US" w:eastAsia="zh-CN"/>
              </w:rPr>
              <w:t>支付合同全款</w:t>
            </w:r>
            <w:r>
              <w:rPr>
                <w:rFonts w:hint="eastAsia" w:ascii="微软雅黑" w:hAnsi="微软雅黑" w:eastAsia="微软雅黑" w:cs="微软雅黑"/>
                <w:sz w:val="24"/>
                <w:szCs w:val="24"/>
                <w:lang w:val="en-US" w:eastAsia="zh-CN"/>
              </w:rPr>
              <w:t>。</w:t>
            </w:r>
          </w:p>
          <w:p>
            <w:pPr>
              <w:pStyle w:val="144"/>
              <w:snapToGrid w:val="0"/>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耗材：每月结算一次，中标人每月向采购人开具上月采购金额发票，采购人收到发票后2个月内以转账方式向中标人支付。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snapToGrid w:val="0"/>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采购人在中国境内使用中标人提供的货物及服务时免受第三方提出的侵犯其专利权或其他知识产权的起诉。如有第三方提出侵权指控，中标人应承担由此引起的一切法律责任和费用。</w:t>
            </w:r>
          </w:p>
        </w:tc>
      </w:tr>
    </w:tbl>
    <w:p>
      <w:pPr>
        <w:rPr>
          <w:rFonts w:hint="eastAsia" w:ascii="微软雅黑" w:hAnsi="微软雅黑" w:eastAsia="微软雅黑" w:cs="微软雅黑"/>
          <w:b/>
          <w:sz w:val="44"/>
        </w:rPr>
      </w:pPr>
      <w:bookmarkStart w:id="108" w:name="_Toc6692"/>
      <w:bookmarkStart w:id="109" w:name="_Toc106030887"/>
      <w:bookmarkStart w:id="110" w:name="_Toc76462332"/>
      <w:r>
        <w:rPr>
          <w:rFonts w:hint="eastAsia" w:ascii="微软雅黑" w:hAnsi="微软雅黑" w:eastAsia="微软雅黑" w:cs="微软雅黑"/>
          <w:b/>
          <w:sz w:val="44"/>
        </w:rPr>
        <w:br w:type="page"/>
      </w:r>
    </w:p>
    <w:p>
      <w:pPr>
        <w:pStyle w:val="5"/>
        <w:spacing w:before="200" w:after="200" w:line="240" w:lineRule="auto"/>
        <w:jc w:val="center"/>
        <w:rPr>
          <w:rFonts w:hint="eastAsia" w:ascii="微软雅黑" w:hAnsi="微软雅黑" w:eastAsia="微软雅黑" w:cs="微软雅黑"/>
          <w:sz w:val="44"/>
        </w:rPr>
      </w:pPr>
      <w:bookmarkStart w:id="111" w:name="_Toc7651"/>
      <w:r>
        <w:rPr>
          <w:rFonts w:hint="eastAsia" w:ascii="微软雅黑" w:hAnsi="微软雅黑" w:eastAsia="微软雅黑" w:cs="微软雅黑"/>
          <w:sz w:val="44"/>
        </w:rPr>
        <w:t>第四篇  公开比选采购程序及方法、评审标准、无效响应和采购终止</w:t>
      </w:r>
      <w:bookmarkEnd w:id="108"/>
      <w:bookmarkEnd w:id="109"/>
      <w:bookmarkEnd w:id="110"/>
      <w:bookmarkEnd w:id="11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76462333"/>
      <w:bookmarkStart w:id="113" w:name="_Toc14958"/>
      <w:bookmarkStart w:id="114" w:name="_Toc32419"/>
      <w:bookmarkStart w:id="115" w:name="_Toc106030888"/>
      <w:r>
        <w:rPr>
          <w:rFonts w:hint="eastAsia" w:ascii="微软雅黑" w:hAnsi="微软雅黑" w:eastAsia="微软雅黑" w:cs="微软雅黑"/>
          <w:sz w:val="24"/>
        </w:rPr>
        <w:t>一、公开比选采购程序</w:t>
      </w:r>
      <w:bookmarkEnd w:id="112"/>
      <w:bookmarkEnd w:id="113"/>
      <w:bookmarkEnd w:id="114"/>
      <w:bookmarkEnd w:id="11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7374"/>
      <w:r>
        <w:rPr>
          <w:rFonts w:hint="eastAsia" w:ascii="微软雅黑" w:hAnsi="微软雅黑" w:eastAsia="微软雅黑" w:cs="微软雅黑"/>
          <w:sz w:val="24"/>
        </w:rPr>
        <w:t>二、评标方法</w:t>
      </w:r>
      <w:bookmarkEnd w:id="116"/>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default"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r>
        <w:rPr>
          <w:rFonts w:hint="eastAsia" w:ascii="微软雅黑" w:hAnsi="微软雅黑" w:eastAsia="微软雅黑" w:cs="微软雅黑"/>
          <w:color w:val="0000FF"/>
          <w:kern w:val="0"/>
          <w:sz w:val="24"/>
          <w:szCs w:val="24"/>
          <w:lang w:val="en-US" w:eastAsia="zh-CN"/>
        </w:rPr>
        <w:t>在本项目中，投标报价=设备总价+耗材单价*预计年用量。</w:t>
      </w:r>
    </w:p>
    <w:p>
      <w:pPr>
        <w:snapToGrid w:val="0"/>
        <w:spacing w:line="400" w:lineRule="exact"/>
        <w:ind w:firstLine="480" w:firstLineChars="200"/>
        <w:rPr>
          <w:rFonts w:hint="eastAsia" w:ascii="微软雅黑" w:hAnsi="微软雅黑" w:eastAsia="微软雅黑" w:cs="微软雅黑"/>
          <w:sz w:val="24"/>
          <w:szCs w:val="24"/>
        </w:rPr>
      </w:pPr>
      <w:bookmarkStart w:id="117" w:name="_Toc106030889"/>
      <w:bookmarkStart w:id="118" w:name="_Toc76462334"/>
      <w:bookmarkStart w:id="119" w:name="_Toc30944"/>
      <w:bookmarkStart w:id="120" w:name="_Toc24315"/>
      <w:bookmarkStart w:id="121" w:name="_Toc342913394"/>
      <w:bookmarkStart w:id="122" w:name="_Toc102227320"/>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u w:val="none"/>
          <w:lang w:val="en-US" w:eastAsia="zh-CN"/>
        </w:rPr>
        <w:t>该项目可在开标现场进行二次报价。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7"/>
      <w:bookmarkEnd w:id="118"/>
      <w:bookmarkEnd w:id="119"/>
      <w:bookmarkEnd w:id="120"/>
    </w:p>
    <w:p>
      <w:pPr>
        <w:snapToGrid w:val="0"/>
        <w:spacing w:line="400" w:lineRule="exact"/>
        <w:ind w:firstLine="480" w:firstLineChars="200"/>
        <w:rPr>
          <w:rFonts w:hint="eastAsia" w:ascii="微软雅黑" w:hAnsi="微软雅黑" w:eastAsia="微软雅黑" w:cs="微软雅黑"/>
          <w:sz w:val="24"/>
          <w:szCs w:val="24"/>
        </w:rPr>
      </w:pPr>
      <w:bookmarkStart w:id="123" w:name="_Toc106030890"/>
      <w:bookmarkStart w:id="124" w:name="_Toc76462335"/>
      <w:bookmarkStart w:id="125"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17606"/>
      <w:r>
        <w:rPr>
          <w:rFonts w:hint="eastAsia" w:ascii="微软雅黑" w:hAnsi="微软雅黑" w:eastAsia="微软雅黑" w:cs="微软雅黑"/>
          <w:sz w:val="24"/>
        </w:rPr>
        <w:t>四、无效响应</w:t>
      </w:r>
      <w:bookmarkEnd w:id="123"/>
      <w:bookmarkEnd w:id="124"/>
      <w:bookmarkEnd w:id="125"/>
      <w:bookmarkEnd w:id="12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7" w:name="_Toc106030891"/>
      <w:bookmarkStart w:id="128" w:name="_Toc10687"/>
      <w:bookmarkStart w:id="129" w:name="_Toc12222"/>
      <w:bookmarkStart w:id="130" w:name="_Toc76462336"/>
      <w:r>
        <w:rPr>
          <w:rFonts w:hint="eastAsia" w:ascii="微软雅黑" w:hAnsi="微软雅黑" w:eastAsia="微软雅黑" w:cs="微软雅黑"/>
          <w:sz w:val="24"/>
        </w:rPr>
        <w:t>五、</w:t>
      </w:r>
      <w:bookmarkEnd w:id="121"/>
      <w:bookmarkEnd w:id="122"/>
      <w:bookmarkEnd w:id="127"/>
      <w:bookmarkEnd w:id="128"/>
      <w:bookmarkEnd w:id="129"/>
      <w:bookmarkEnd w:id="130"/>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w:t>
      </w:r>
      <w:r>
        <w:rPr>
          <w:rFonts w:hint="eastAsia" w:ascii="微软雅黑" w:hAnsi="微软雅黑" w:eastAsia="微软雅黑" w:cs="微软雅黑"/>
          <w:sz w:val="24"/>
          <w:szCs w:val="24"/>
          <w:lang w:val="en-US" w:eastAsia="zh-CN"/>
        </w:rPr>
        <w:t>有效投标人</w:t>
      </w:r>
      <w:r>
        <w:rPr>
          <w:rFonts w:hint="eastAsia" w:ascii="微软雅黑" w:hAnsi="微软雅黑" w:eastAsia="微软雅黑" w:cs="微软雅黑"/>
          <w:sz w:val="24"/>
          <w:szCs w:val="24"/>
        </w:rPr>
        <w:t>不足3家的；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10" w:type="default"/>
          <w:pgSz w:w="11907" w:h="16840"/>
          <w:pgMar w:top="1134" w:right="1191" w:bottom="1134" w:left="1304" w:header="964" w:footer="992" w:gutter="0"/>
          <w:pgBorders>
            <w:top w:val="none" w:sz="0" w:space="0"/>
            <w:left w:val="none" w:sz="0" w:space="0"/>
            <w:bottom w:val="none" w:sz="0" w:space="0"/>
            <w:right w:val="none" w:sz="0" w:space="0"/>
          </w:pgBorders>
          <w:pgNumType w:fmt="numberInDash"/>
          <w:cols w:space="720" w:num="1"/>
          <w:docGrid w:linePitch="312" w:charSpace="0"/>
        </w:sectPr>
      </w:pPr>
    </w:p>
    <w:p>
      <w:pPr>
        <w:pStyle w:val="5"/>
        <w:spacing w:before="200" w:after="200" w:line="240" w:lineRule="auto"/>
        <w:jc w:val="center"/>
        <w:rPr>
          <w:rFonts w:hint="eastAsia" w:ascii="微软雅黑" w:hAnsi="微软雅黑" w:eastAsia="微软雅黑" w:cs="微软雅黑"/>
          <w:sz w:val="44"/>
        </w:rPr>
      </w:pPr>
      <w:bookmarkStart w:id="131" w:name="_Toc106030892"/>
      <w:bookmarkStart w:id="132" w:name="_Toc6141"/>
      <w:bookmarkStart w:id="133" w:name="_Toc76462337"/>
      <w:bookmarkStart w:id="134" w:name="_Toc29948"/>
      <w:bookmarkStart w:id="135" w:name="_Toc102227313"/>
      <w:r>
        <w:rPr>
          <w:rFonts w:hint="eastAsia" w:ascii="微软雅黑" w:hAnsi="微软雅黑" w:eastAsia="微软雅黑" w:cs="微软雅黑"/>
          <w:sz w:val="44"/>
        </w:rPr>
        <w:t>第五篇  投标人须知</w:t>
      </w:r>
      <w:bookmarkEnd w:id="131"/>
      <w:bookmarkEnd w:id="132"/>
      <w:bookmarkEnd w:id="133"/>
      <w:bookmarkEnd w:id="134"/>
      <w:bookmarkEnd w:id="135"/>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6" w:name="_Toc106030893"/>
      <w:bookmarkStart w:id="137" w:name="_Toc76462338"/>
      <w:bookmarkStart w:id="138" w:name="_Toc26717"/>
      <w:bookmarkStart w:id="139" w:name="_Toc25787"/>
      <w:bookmarkStart w:id="140" w:name="_Toc342913389"/>
      <w:r>
        <w:rPr>
          <w:rFonts w:hint="eastAsia" w:ascii="微软雅黑" w:hAnsi="微软雅黑" w:eastAsia="微软雅黑" w:cs="微软雅黑"/>
          <w:sz w:val="24"/>
        </w:rPr>
        <w:t>一、公开比选费用</w:t>
      </w:r>
      <w:bookmarkEnd w:id="136"/>
      <w:bookmarkEnd w:id="137"/>
      <w:bookmarkEnd w:id="138"/>
      <w:bookmarkEnd w:id="139"/>
      <w:bookmarkEnd w:id="140"/>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76462339"/>
      <w:bookmarkStart w:id="142" w:name="_Toc15712"/>
      <w:bookmarkStart w:id="143" w:name="_Toc106030894"/>
      <w:bookmarkStart w:id="144" w:name="_Toc7524"/>
      <w:bookmarkStart w:id="145" w:name="_Toc342913391"/>
      <w:r>
        <w:rPr>
          <w:rFonts w:hint="eastAsia" w:ascii="微软雅黑" w:hAnsi="微软雅黑" w:eastAsia="微软雅黑" w:cs="微软雅黑"/>
          <w:sz w:val="24"/>
        </w:rPr>
        <w:t>二、公开比选采购文件</w:t>
      </w:r>
      <w:bookmarkEnd w:id="141"/>
      <w:bookmarkEnd w:id="142"/>
      <w:bookmarkEnd w:id="143"/>
      <w:bookmarkEnd w:id="144"/>
      <w:bookmarkEnd w:id="14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6" w:name="_Toc318159780"/>
      <w:bookmarkStart w:id="147" w:name="_Toc318166429"/>
      <w:bookmarkStart w:id="148" w:name="_Toc318159349"/>
      <w:bookmarkStart w:id="149" w:name="_Toc318159160"/>
    </w:p>
    <w:bookmarkEnd w:id="146"/>
    <w:bookmarkEnd w:id="147"/>
    <w:bookmarkEnd w:id="148"/>
    <w:bookmarkEnd w:id="149"/>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179714297"/>
      <w:bookmarkStart w:id="151" w:name="_Toc342913392"/>
      <w:bookmarkStart w:id="152" w:name="_Toc76462340"/>
      <w:bookmarkStart w:id="153" w:name="_Toc13931"/>
      <w:bookmarkStart w:id="154" w:name="_Toc102227318"/>
      <w:bookmarkStart w:id="155" w:name="_Toc26007"/>
      <w:bookmarkStart w:id="156" w:name="_Toc106030895"/>
      <w:r>
        <w:rPr>
          <w:rFonts w:hint="eastAsia" w:ascii="微软雅黑" w:hAnsi="微软雅黑" w:eastAsia="微软雅黑" w:cs="微软雅黑"/>
          <w:sz w:val="24"/>
        </w:rPr>
        <w:t>三、比选要求</w:t>
      </w:r>
      <w:bookmarkEnd w:id="150"/>
      <w:bookmarkEnd w:id="151"/>
      <w:bookmarkEnd w:id="152"/>
      <w:bookmarkEnd w:id="153"/>
      <w:bookmarkEnd w:id="154"/>
      <w:bookmarkEnd w:id="155"/>
      <w:bookmarkEnd w:id="15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2"/>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7" w:name="_Toc6435"/>
      <w:bookmarkStart w:id="158" w:name="_Toc828"/>
      <w:bookmarkStart w:id="159" w:name="_Toc106030896"/>
      <w:bookmarkStart w:id="160"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7"/>
      <w:bookmarkEnd w:id="158"/>
      <w:bookmarkEnd w:id="159"/>
      <w:bookmarkEnd w:id="160"/>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1" w:name="_Toc342913395"/>
      <w:bookmarkStart w:id="162" w:name="_Toc21532"/>
      <w:bookmarkStart w:id="163" w:name="_Toc29256"/>
      <w:bookmarkStart w:id="164" w:name="_Toc102227321"/>
      <w:bookmarkStart w:id="165" w:name="_Toc106030897"/>
      <w:bookmarkStart w:id="166" w:name="_Toc76462342"/>
      <w:r>
        <w:rPr>
          <w:rFonts w:hint="eastAsia" w:ascii="微软雅黑" w:hAnsi="微软雅黑" w:eastAsia="微软雅黑" w:cs="微软雅黑"/>
          <w:sz w:val="24"/>
        </w:rPr>
        <w:t>五、成交通知</w:t>
      </w:r>
      <w:bookmarkEnd w:id="161"/>
      <w:bookmarkEnd w:id="162"/>
      <w:bookmarkEnd w:id="163"/>
      <w:bookmarkEnd w:id="164"/>
      <w:bookmarkEnd w:id="165"/>
      <w:bookmarkEnd w:id="16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3351"/>
      <w:bookmarkStart w:id="168" w:name="_Toc106030898"/>
      <w:bookmarkStart w:id="169" w:name="_Toc76462343"/>
      <w:bookmarkStart w:id="170" w:name="_Toc21448"/>
      <w:r>
        <w:rPr>
          <w:rFonts w:hint="eastAsia" w:ascii="微软雅黑" w:hAnsi="微软雅黑" w:eastAsia="微软雅黑" w:cs="微软雅黑"/>
          <w:sz w:val="24"/>
        </w:rPr>
        <w:t>六、质疑处理</w:t>
      </w:r>
      <w:bookmarkEnd w:id="167"/>
      <w:bookmarkEnd w:id="168"/>
      <w:bookmarkEnd w:id="169"/>
      <w:bookmarkEnd w:id="17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1" w:name="_Toc28334"/>
      <w:bookmarkStart w:id="172" w:name="_Toc106030899"/>
      <w:bookmarkStart w:id="173" w:name="_Toc76462344"/>
    </w:p>
    <w:p>
      <w:pPr>
        <w:pStyle w:val="5"/>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4" w:name="_Toc2948"/>
      <w:r>
        <w:rPr>
          <w:rFonts w:hint="eastAsia" w:ascii="微软雅黑" w:hAnsi="微软雅黑" w:eastAsia="微软雅黑" w:cs="微软雅黑"/>
          <w:sz w:val="24"/>
        </w:rPr>
        <w:t>七、</w:t>
      </w:r>
      <w:bookmarkEnd w:id="171"/>
      <w:bookmarkEnd w:id="172"/>
      <w:bookmarkEnd w:id="173"/>
      <w:bookmarkStart w:id="175" w:name="_Toc102227322"/>
      <w:bookmarkStart w:id="176" w:name="_Toc3372"/>
      <w:bookmarkStart w:id="177" w:name="_Toc76462346"/>
      <w:bookmarkStart w:id="178" w:name="_Toc106030901"/>
      <w:bookmarkStart w:id="179" w:name="_Toc342913396"/>
      <w:bookmarkStart w:id="180" w:name="_Toc12789059"/>
      <w:bookmarkStart w:id="181" w:name="_Toc11641055"/>
      <w:r>
        <w:rPr>
          <w:rFonts w:hint="eastAsia" w:ascii="微软雅黑" w:hAnsi="微软雅黑" w:eastAsia="微软雅黑" w:cs="微软雅黑"/>
          <w:sz w:val="24"/>
        </w:rPr>
        <w:t>签订</w:t>
      </w:r>
      <w:bookmarkEnd w:id="175"/>
      <w:r>
        <w:rPr>
          <w:rFonts w:hint="eastAsia" w:ascii="微软雅黑" w:hAnsi="微软雅黑" w:eastAsia="微软雅黑" w:cs="微软雅黑"/>
          <w:sz w:val="24"/>
        </w:rPr>
        <w:t>合同</w:t>
      </w:r>
      <w:bookmarkEnd w:id="174"/>
      <w:bookmarkEnd w:id="176"/>
      <w:bookmarkEnd w:id="177"/>
      <w:bookmarkEnd w:id="178"/>
      <w:bookmarkEnd w:id="179"/>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11" w:type="default"/>
          <w:footerReference r:id="rId12" w:type="even"/>
          <w:pgSz w:w="11907" w:h="16840"/>
          <w:pgMar w:top="1134" w:right="1191" w:bottom="1134" w:left="1304" w:header="964" w:footer="992" w:gutter="0"/>
          <w:pgBorders>
            <w:top w:val="none" w:sz="0" w:space="0"/>
            <w:left w:val="none" w:sz="0" w:space="0"/>
            <w:bottom w:val="none" w:sz="0" w:space="0"/>
            <w:right w:val="none" w:sz="0" w:space="0"/>
          </w:pgBorders>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0"/>
      <w:bookmarkEnd w:id="181"/>
    </w:p>
    <w:p>
      <w:pPr>
        <w:pStyle w:val="5"/>
        <w:spacing w:before="200" w:after="200" w:line="240" w:lineRule="auto"/>
        <w:jc w:val="center"/>
        <w:rPr>
          <w:rFonts w:hint="eastAsia" w:ascii="微软雅黑" w:hAnsi="微软雅黑" w:eastAsia="微软雅黑" w:cs="微软雅黑"/>
          <w:b/>
          <w:sz w:val="44"/>
          <w:szCs w:val="20"/>
        </w:rPr>
      </w:pPr>
      <w:bookmarkStart w:id="182" w:name="_Hlt41879464"/>
      <w:bookmarkEnd w:id="182"/>
      <w:bookmarkStart w:id="183" w:name="_Toc21717"/>
      <w:bookmarkStart w:id="184" w:name="_Toc76462349"/>
      <w:bookmarkStart w:id="185" w:name="_Toc20383"/>
      <w:bookmarkStart w:id="186" w:name="_Toc27984"/>
      <w:bookmarkStart w:id="187" w:name="_Toc106030905"/>
      <w:r>
        <w:rPr>
          <w:rFonts w:hint="eastAsia" w:ascii="微软雅黑" w:hAnsi="微软雅黑" w:eastAsia="微软雅黑" w:cs="微软雅黑"/>
          <w:b/>
          <w:sz w:val="44"/>
          <w:szCs w:val="20"/>
        </w:rPr>
        <w:t>第六篇  响应文件编制要求</w:t>
      </w:r>
      <w:bookmarkEnd w:id="183"/>
      <w:bookmarkEnd w:id="184"/>
      <w:bookmarkEnd w:id="185"/>
      <w:bookmarkEnd w:id="186"/>
      <w:bookmarkEnd w:id="18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技术部分应答材料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商务部分应答材料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Borders>
            <w:top w:val="none" w:sz="0" w:space="0"/>
            <w:left w:val="none" w:sz="0" w:space="0"/>
            <w:bottom w:val="none" w:sz="0" w:space="0"/>
            <w:right w:val="none" w:sz="0" w:space="0"/>
          </w:pgBorders>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88" w:name="_Toc313888360"/>
      <w:bookmarkStart w:id="189" w:name="_Toc313008356"/>
      <w:bookmarkStart w:id="190" w:name="_Toc76462350"/>
      <w:bookmarkStart w:id="191" w:name="_Toc342913419"/>
      <w:bookmarkStart w:id="192" w:name="_Toc106030906"/>
      <w:bookmarkStart w:id="193" w:name="_Toc15994"/>
      <w:bookmarkStart w:id="194" w:name="_Toc12789073"/>
      <w:bookmarkStart w:id="195" w:name="_Toc283382454"/>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Borders>
            <w:top w:val="none" w:sz="0" w:space="0"/>
            <w:left w:val="none" w:sz="0" w:space="0"/>
            <w:bottom w:val="none" w:sz="0" w:space="0"/>
            <w:right w:val="none" w:sz="0" w:space="0"/>
          </w:pgBorders>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96" w:name="_Toc347"/>
      <w:bookmarkStart w:id="197" w:name="_Toc7890"/>
      <w:r>
        <w:rPr>
          <w:rFonts w:hint="eastAsia" w:ascii="微软雅黑" w:hAnsi="微软雅黑" w:eastAsia="微软雅黑" w:cs="微软雅黑"/>
          <w:sz w:val="24"/>
        </w:rPr>
        <w:t>一、经济部分</w:t>
      </w:r>
      <w:bookmarkEnd w:id="188"/>
      <w:bookmarkEnd w:id="189"/>
      <w:bookmarkEnd w:id="190"/>
      <w:bookmarkEnd w:id="191"/>
      <w:bookmarkEnd w:id="192"/>
      <w:bookmarkEnd w:id="193"/>
      <w:bookmarkEnd w:id="196"/>
      <w:bookmarkEnd w:id="197"/>
    </w:p>
    <w:bookmarkEnd w:id="194"/>
    <w:bookmarkEnd w:id="195"/>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设备开标一览表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headerReference r:id="rId1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bookmarkStart w:id="198" w:name="_Toc106030907"/>
      <w:bookmarkStart w:id="199" w:name="_Toc313008357"/>
      <w:bookmarkStart w:id="200" w:name="_Toc21535"/>
      <w:bookmarkStart w:id="201" w:name="_Toc342913420"/>
      <w:bookmarkStart w:id="202" w:name="_Toc313888361"/>
      <w:bookmarkStart w:id="203" w:name="_Toc18669"/>
      <w:bookmarkStart w:id="204" w:name="_Toc76462351"/>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）耗材</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eastAsia="zh-CN"/>
        </w:rPr>
      </w:pPr>
      <w:r>
        <w:rPr>
          <w:rFonts w:hint="eastAsia" w:ascii="微软雅黑" w:hAnsi="微软雅黑" w:eastAsia="微软雅黑" w:cs="微软雅黑"/>
          <w:b/>
          <w:szCs w:val="28"/>
        </w:rPr>
        <w:t>耗材</w:t>
      </w:r>
      <w:r>
        <w:rPr>
          <w:rFonts w:hint="eastAsia" w:ascii="微软雅黑" w:hAnsi="微软雅黑" w:eastAsia="微软雅黑" w:cs="微软雅黑"/>
          <w:b/>
          <w:szCs w:val="28"/>
          <w:lang w:val="en-US" w:eastAsia="zh-CN"/>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sectPr>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4"/>
          <w:szCs w:val="24"/>
        </w:rPr>
        <w:t xml:space="preserve">                                                                                  年     月     日</w:t>
      </w: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（三）设备开标现场最终报价表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default"/>
          <w:lang w:val="en-US" w:eastAsia="zh-CN"/>
        </w:rPr>
      </w:pPr>
      <w:r>
        <w:rPr>
          <w:rFonts w:hint="default"/>
          <w:lang w:val="en-US" w:eastAsia="zh-CN"/>
        </w:rPr>
        <w:br w:type="page"/>
      </w:r>
    </w:p>
    <w:p>
      <w:pPr>
        <w:pStyle w:val="24"/>
        <w:rPr>
          <w:rFonts w:hint="default"/>
          <w:lang w:val="en-US" w:eastAsia="zh-CN"/>
        </w:rPr>
        <w:sectPr>
          <w:headerReference r:id="rId19" w:type="default"/>
          <w:pgSz w:w="11907" w:h="16840"/>
          <w:pgMar w:top="1134" w:right="1191" w:bottom="1134" w:left="1304" w:header="851" w:footer="992" w:gutter="0"/>
          <w:pgBorders>
            <w:top w:val="none" w:sz="0" w:space="0"/>
            <w:left w:val="none" w:sz="0" w:space="0"/>
            <w:bottom w:val="none" w:sz="0" w:space="0"/>
            <w:right w:val="none" w:sz="0" w:space="0"/>
          </w:pgBorders>
          <w:pgNumType w:fmt="numberInDash"/>
          <w:cols w:space="720" w:num="1"/>
          <w:docGrid w:linePitch="380" w:charSpace="-5735"/>
        </w:sect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lang w:val="en-US" w:eastAsia="zh-CN"/>
        </w:rPr>
        <w:t>耗材</w:t>
      </w: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pgSz w:w="16840" w:h="11907" w:orient="landscape"/>
          <w:pgMar w:top="1304" w:right="1134" w:bottom="1191" w:left="1134" w:header="851" w:footer="992" w:gutter="0"/>
          <w:pgNumType w:fmt="numberInDash"/>
          <w:cols w:space="720" w:num="1"/>
          <w:docGrid w:linePitch="380" w:charSpace="-5735"/>
        </w:sectPr>
      </w:pP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05" w:name="_Toc32113"/>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198"/>
      <w:bookmarkEnd w:id="199"/>
      <w:bookmarkEnd w:id="200"/>
      <w:bookmarkEnd w:id="201"/>
      <w:bookmarkEnd w:id="202"/>
      <w:bookmarkEnd w:id="203"/>
      <w:bookmarkEnd w:id="204"/>
      <w:bookmarkEnd w:id="205"/>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技术（质量）</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技术部分应答材料</w:t>
      </w:r>
    </w:p>
    <w:p>
      <w:pPr>
        <w:pStyle w:val="5"/>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6" w:name="_Toc106030908"/>
      <w:bookmarkStart w:id="207" w:name="_Toc16028"/>
      <w:bookmarkStart w:id="208" w:name="_Toc29437"/>
      <w:bookmarkStart w:id="209" w:name="_Toc313008358"/>
      <w:bookmarkStart w:id="210" w:name="_Toc30639"/>
      <w:bookmarkStart w:id="211" w:name="_Toc313888362"/>
      <w:bookmarkStart w:id="212" w:name="_Toc76462352"/>
      <w:bookmarkStart w:id="213" w:name="_Toc342913421"/>
      <w:r>
        <w:rPr>
          <w:rFonts w:hint="eastAsia" w:ascii="微软雅黑" w:hAnsi="微软雅黑" w:eastAsia="微软雅黑" w:cs="微软雅黑"/>
          <w:sz w:val="24"/>
        </w:rPr>
        <w:t>三、商务部分</w:t>
      </w:r>
      <w:bookmarkEnd w:id="206"/>
      <w:bookmarkEnd w:id="207"/>
      <w:bookmarkEnd w:id="208"/>
      <w:bookmarkEnd w:id="209"/>
      <w:bookmarkEnd w:id="210"/>
      <w:bookmarkEnd w:id="211"/>
      <w:bookmarkEnd w:id="212"/>
      <w:bookmarkEnd w:id="21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Borders>
            <w:top w:val="none" w:sz="0" w:space="0"/>
            <w:left w:val="none" w:sz="0" w:space="0"/>
            <w:bottom w:val="none" w:sz="0" w:space="0"/>
            <w:right w:val="none" w:sz="0" w:space="0"/>
          </w:pgBorders>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default" w:ascii="微软雅黑" w:hAnsi="微软雅黑" w:eastAsia="微软雅黑" w:cs="微软雅黑"/>
          <w:sz w:val="24"/>
          <w:szCs w:val="24"/>
          <w:lang w:val="en-US" w:eastAsia="zh-CN"/>
        </w:rPr>
      </w:pPr>
      <w:bookmarkStart w:id="214" w:name="_Toc283382459"/>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商务部分应答材料</w:t>
      </w:r>
    </w:p>
    <w:p>
      <w:pPr>
        <w:snapToGrid w:val="0"/>
        <w:spacing w:line="400" w:lineRule="exact"/>
        <w:ind w:firstLine="480" w:firstLineChars="200"/>
        <w:rPr>
          <w:rFonts w:hint="eastAsia" w:ascii="微软雅黑" w:hAnsi="微软雅黑" w:eastAsia="微软雅黑" w:cs="微软雅黑"/>
          <w:sz w:val="24"/>
          <w:szCs w:val="24"/>
        </w:rPr>
      </w:pP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4"/>
      <w:bookmarkStart w:id="215" w:name="_Toc313888363"/>
      <w:bookmarkStart w:id="216" w:name="_Toc21348"/>
      <w:bookmarkStart w:id="217" w:name="_Toc342913422"/>
      <w:bookmarkStart w:id="218" w:name="_Toc106030909"/>
      <w:bookmarkStart w:id="219" w:name="_Toc76462353"/>
      <w:bookmarkStart w:id="220" w:name="_Toc313008359"/>
      <w:bookmarkStart w:id="221" w:name="_Toc26948"/>
      <w:bookmarkStart w:id="222" w:name="_Toc15330"/>
      <w:r>
        <w:rPr>
          <w:rFonts w:hint="eastAsia" w:ascii="微软雅黑" w:hAnsi="微软雅黑" w:eastAsia="微软雅黑" w:cs="微软雅黑"/>
          <w:sz w:val="24"/>
        </w:rPr>
        <w:t>四、资格条件</w:t>
      </w:r>
      <w:bookmarkEnd w:id="215"/>
      <w:bookmarkEnd w:id="216"/>
      <w:bookmarkEnd w:id="217"/>
      <w:bookmarkEnd w:id="218"/>
      <w:bookmarkEnd w:id="219"/>
      <w:bookmarkEnd w:id="220"/>
      <w:bookmarkEnd w:id="221"/>
      <w:bookmarkEnd w:id="222"/>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5"/>
        <w:adjustRightInd w:val="0"/>
        <w:snapToGrid w:val="0"/>
        <w:spacing w:before="0" w:after="0" w:line="400" w:lineRule="exact"/>
        <w:ind w:firstLine="560" w:firstLineChars="200"/>
        <w:rPr>
          <w:rFonts w:hint="eastAsia" w:ascii="微软雅黑" w:hAnsi="微软雅黑" w:eastAsia="微软雅黑" w:cs="微软雅黑"/>
          <w:sz w:val="24"/>
        </w:rPr>
      </w:pPr>
      <w:bookmarkStart w:id="223" w:name="_Toc14422"/>
      <w:r>
        <w:rPr>
          <w:rFonts w:hint="eastAsia" w:ascii="微软雅黑" w:hAnsi="微软雅黑" w:eastAsia="微软雅黑" w:cs="微软雅黑"/>
          <w:b w:val="0"/>
          <w:sz w:val="28"/>
        </w:rPr>
        <w:br w:type="page"/>
      </w:r>
      <w:bookmarkEnd w:id="223"/>
      <w:bookmarkStart w:id="224" w:name="_Toc28156"/>
      <w:r>
        <w:rPr>
          <w:rFonts w:hint="eastAsia" w:ascii="微软雅黑" w:hAnsi="微软雅黑" w:eastAsia="微软雅黑" w:cs="微软雅黑"/>
          <w:sz w:val="24"/>
        </w:rPr>
        <w:t>五、其他资料</w:t>
      </w:r>
      <w:bookmarkEnd w:id="2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headerReference r:id="rId20" w:type="default"/>
      <w:footerReference r:id="rId21" w:type="default"/>
      <w:pgSz w:w="11907" w:h="16840"/>
      <w:pgMar w:top="1134" w:right="1191" w:bottom="1134" w:left="1304" w:header="851" w:footer="992" w:gutter="0"/>
      <w:pgBorders>
        <w:top w:val="none" w:sz="0" w:space="0"/>
        <w:left w:val="none" w:sz="0" w:space="0"/>
        <w:bottom w:val="none" w:sz="0" w:space="0"/>
        <w:right w:val="none" w:sz="0" w:space="0"/>
      </w:pgBorders>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18</w:t>
                    </w:r>
                    <w:r>
                      <w:fldChar w:fldCharType="end"/>
                    </w:r>
                  </w:p>
                </w:txbxContent>
              </v:textbox>
            </v:shape>
          </w:pict>
        </mc:Fallback>
      </mc:AlternateContent>
    </w:r>
  </w:p>
  <w:p>
    <w:pPr>
      <w:pStyle w:val="37"/>
      <w:rPr>
        <w:rFonts w:hint="eastAsia" w:ascii="宋体" w:hAnsi="宋体"/>
        <w:sz w:val="2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432505"/>
    <w:rsid w:val="026C7369"/>
    <w:rsid w:val="030620E3"/>
    <w:rsid w:val="05B83278"/>
    <w:rsid w:val="07486D0C"/>
    <w:rsid w:val="079B568B"/>
    <w:rsid w:val="07F103E0"/>
    <w:rsid w:val="092E6FC0"/>
    <w:rsid w:val="0BB87E47"/>
    <w:rsid w:val="0D1F249B"/>
    <w:rsid w:val="0D26388C"/>
    <w:rsid w:val="0D2D45FA"/>
    <w:rsid w:val="0F4F0F37"/>
    <w:rsid w:val="0FBA6FCD"/>
    <w:rsid w:val="1009316D"/>
    <w:rsid w:val="1317485C"/>
    <w:rsid w:val="147A5E14"/>
    <w:rsid w:val="14D11CFB"/>
    <w:rsid w:val="15935DB5"/>
    <w:rsid w:val="15B96F23"/>
    <w:rsid w:val="15BB3449"/>
    <w:rsid w:val="17324323"/>
    <w:rsid w:val="17A1211B"/>
    <w:rsid w:val="18ED7A84"/>
    <w:rsid w:val="19255AF5"/>
    <w:rsid w:val="19610A40"/>
    <w:rsid w:val="1A7E6296"/>
    <w:rsid w:val="1F0D01CA"/>
    <w:rsid w:val="21226BB2"/>
    <w:rsid w:val="21864056"/>
    <w:rsid w:val="222348FC"/>
    <w:rsid w:val="22F860AB"/>
    <w:rsid w:val="2486441F"/>
    <w:rsid w:val="24D719C2"/>
    <w:rsid w:val="263535D3"/>
    <w:rsid w:val="26FB65C0"/>
    <w:rsid w:val="28426BC2"/>
    <w:rsid w:val="2863744A"/>
    <w:rsid w:val="29601F8B"/>
    <w:rsid w:val="296F02CD"/>
    <w:rsid w:val="2AA01F44"/>
    <w:rsid w:val="2B5B487D"/>
    <w:rsid w:val="2C43216E"/>
    <w:rsid w:val="2CD472B8"/>
    <w:rsid w:val="2D4B12DF"/>
    <w:rsid w:val="2DB02B6B"/>
    <w:rsid w:val="2DC47F34"/>
    <w:rsid w:val="300C58E0"/>
    <w:rsid w:val="30607DAE"/>
    <w:rsid w:val="31DA5A58"/>
    <w:rsid w:val="32FD7152"/>
    <w:rsid w:val="332D1E43"/>
    <w:rsid w:val="347D510E"/>
    <w:rsid w:val="361F2D7D"/>
    <w:rsid w:val="37556B60"/>
    <w:rsid w:val="38CD7FDC"/>
    <w:rsid w:val="3ACE5D4F"/>
    <w:rsid w:val="3C55524B"/>
    <w:rsid w:val="3CCE1388"/>
    <w:rsid w:val="3DC609A7"/>
    <w:rsid w:val="3DF6488D"/>
    <w:rsid w:val="3F1C71CA"/>
    <w:rsid w:val="406334F2"/>
    <w:rsid w:val="406D5057"/>
    <w:rsid w:val="409F14A1"/>
    <w:rsid w:val="415F6EA3"/>
    <w:rsid w:val="446528DF"/>
    <w:rsid w:val="44F64ED7"/>
    <w:rsid w:val="452C7897"/>
    <w:rsid w:val="46151D23"/>
    <w:rsid w:val="46D026EE"/>
    <w:rsid w:val="475E104C"/>
    <w:rsid w:val="494C6B8D"/>
    <w:rsid w:val="496A2A0C"/>
    <w:rsid w:val="497B7CB3"/>
    <w:rsid w:val="4A8845CE"/>
    <w:rsid w:val="4B2D12E0"/>
    <w:rsid w:val="4BEB6B31"/>
    <w:rsid w:val="4DD36371"/>
    <w:rsid w:val="4E605BEB"/>
    <w:rsid w:val="4EEC1F3B"/>
    <w:rsid w:val="4F070047"/>
    <w:rsid w:val="4F3C244F"/>
    <w:rsid w:val="4FBB616A"/>
    <w:rsid w:val="4FCD30B4"/>
    <w:rsid w:val="5115115D"/>
    <w:rsid w:val="521E4A24"/>
    <w:rsid w:val="52D92ACB"/>
    <w:rsid w:val="53A87D32"/>
    <w:rsid w:val="53B4776F"/>
    <w:rsid w:val="53DF1E3A"/>
    <w:rsid w:val="540F25CE"/>
    <w:rsid w:val="545B425C"/>
    <w:rsid w:val="54E16692"/>
    <w:rsid w:val="5516350A"/>
    <w:rsid w:val="558E730F"/>
    <w:rsid w:val="55E371F8"/>
    <w:rsid w:val="573C43EC"/>
    <w:rsid w:val="57857077"/>
    <w:rsid w:val="58EA1C45"/>
    <w:rsid w:val="59D52FEA"/>
    <w:rsid w:val="5A1F6A46"/>
    <w:rsid w:val="5CA67F0E"/>
    <w:rsid w:val="5CFC4BDD"/>
    <w:rsid w:val="5DAD4E7C"/>
    <w:rsid w:val="5E16050E"/>
    <w:rsid w:val="5E3D2C1E"/>
    <w:rsid w:val="5EFE2025"/>
    <w:rsid w:val="5F05278C"/>
    <w:rsid w:val="60CB5C8F"/>
    <w:rsid w:val="61743609"/>
    <w:rsid w:val="61A75A24"/>
    <w:rsid w:val="648E3C9A"/>
    <w:rsid w:val="64DA4767"/>
    <w:rsid w:val="65170F5B"/>
    <w:rsid w:val="65215328"/>
    <w:rsid w:val="670A099E"/>
    <w:rsid w:val="67AA4359"/>
    <w:rsid w:val="68BD663A"/>
    <w:rsid w:val="692F74C0"/>
    <w:rsid w:val="696405DD"/>
    <w:rsid w:val="69BE2355"/>
    <w:rsid w:val="6B75107A"/>
    <w:rsid w:val="6D5236ED"/>
    <w:rsid w:val="6DC06B69"/>
    <w:rsid w:val="6FE969BF"/>
    <w:rsid w:val="701245F9"/>
    <w:rsid w:val="71175C34"/>
    <w:rsid w:val="74D70DF7"/>
    <w:rsid w:val="750950F5"/>
    <w:rsid w:val="750D16CF"/>
    <w:rsid w:val="755A61D5"/>
    <w:rsid w:val="773622B4"/>
    <w:rsid w:val="789F3DA6"/>
    <w:rsid w:val="78A52377"/>
    <w:rsid w:val="79082185"/>
    <w:rsid w:val="7A6F77AB"/>
    <w:rsid w:val="7ABA3FBA"/>
    <w:rsid w:val="7B5B7497"/>
    <w:rsid w:val="7BEF5F10"/>
    <w:rsid w:val="7C745D1B"/>
    <w:rsid w:val="7C9C200A"/>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6">
    <w:name w:val="heading 3"/>
    <w:basedOn w:val="1"/>
    <w:next w:val="1"/>
    <w:link w:val="72"/>
    <w:qFormat/>
    <w:uiPriority w:val="0"/>
    <w:pPr>
      <w:keepNext/>
      <w:keepLines/>
      <w:spacing w:before="260" w:after="260" w:line="413" w:lineRule="auto"/>
      <w:outlineLvl w:val="2"/>
    </w:pPr>
    <w:rPr>
      <w:b/>
      <w:sz w:val="32"/>
    </w:rPr>
  </w:style>
  <w:style w:type="paragraph" w:styleId="7">
    <w:name w:val="heading 4"/>
    <w:basedOn w:val="1"/>
    <w:next w:val="1"/>
    <w:qFormat/>
    <w:uiPriority w:val="0"/>
    <w:pPr>
      <w:keepNext/>
      <w:keepLines/>
      <w:spacing w:before="280" w:after="29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9"/>
    <w:qFormat/>
    <w:uiPriority w:val="0"/>
    <w:pPr>
      <w:spacing w:after="120" w:line="240" w:lineRule="auto"/>
      <w:ind w:left="420" w:leftChars="200" w:firstLine="420" w:firstLineChars="200"/>
    </w:pPr>
  </w:style>
  <w:style w:type="paragraph" w:styleId="3">
    <w:name w:val="Body Text Indent"/>
    <w:basedOn w:val="1"/>
    <w:link w:val="74"/>
    <w:qFormat/>
    <w:uiPriority w:val="0"/>
    <w:pPr>
      <w:spacing w:line="700" w:lineRule="exact"/>
      <w:ind w:left="960"/>
    </w:pPr>
    <w:rPr>
      <w:sz w:val="44"/>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pPr>
    <w:rPr>
      <w:rFonts w:ascii="Arial" w:hAnsi="Arial"/>
      <w:sz w:val="24"/>
    </w:rPr>
  </w:style>
  <w:style w:type="paragraph" w:styleId="21">
    <w:name w:val="annotation text"/>
    <w:basedOn w:val="1"/>
    <w:link w:val="73"/>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w:basedOn w:val="1"/>
    <w:next w:val="1"/>
    <w:qFormat/>
    <w:uiPriority w:val="0"/>
    <w:rPr>
      <w:rFonts w:ascii="仿宋_GB2312" w:eastAsia="仿宋_GB2312"/>
      <w:sz w:val="32"/>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0"/>
    <w:pPr>
      <w:spacing w:line="180" w:lineRule="auto"/>
      <w:jc w:val="center"/>
    </w:pPr>
    <w:rPr>
      <w:sz w:val="30"/>
    </w:rPr>
  </w:style>
  <w:style w:type="paragraph" w:styleId="40">
    <w:name w:val="List Continue 4"/>
    <w:basedOn w:val="1"/>
    <w:qFormat/>
    <w:uiPriority w:val="0"/>
    <w:pPr>
      <w:adjustRightInd w:val="0"/>
      <w:snapToGrid w:val="0"/>
      <w:spacing w:after="12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7"/>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line="360" w:lineRule="auto"/>
      <w:ind w:left="840" w:leftChars="400"/>
    </w:pPr>
    <w:rPr>
      <w:sz w:val="24"/>
    </w:rPr>
  </w:style>
  <w:style w:type="paragraph" w:styleId="52">
    <w:name w:val="Normal (Web)"/>
    <w:basedOn w:val="1"/>
    <w:qFormat/>
    <w:uiPriority w:val="0"/>
    <w:pPr>
      <w:widowControl/>
      <w:spacing w:before="100" w:beforeAutospacing="1" w:after="100" w:afterAutospacing="1"/>
      <w:jc w:val="left"/>
    </w:pPr>
    <w:rPr>
      <w:rFonts w:ascii="宋体" w:hAnsi="宋体"/>
      <w:kern w:val="0"/>
      <w:sz w:val="24"/>
    </w:rPr>
  </w:style>
  <w:style w:type="paragraph" w:styleId="53">
    <w:name w:val="List Continue 3"/>
    <w:basedOn w:val="1"/>
    <w:qFormat/>
    <w:uiPriority w:val="0"/>
    <w:pPr>
      <w:adjustRightInd w:val="0"/>
      <w:snapToGrid w:val="0"/>
      <w:spacing w:after="12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line="360" w:lineRule="auto"/>
      <w:jc w:val="center"/>
    </w:pPr>
    <w:rPr>
      <w:rFonts w:ascii="Arial" w:hAnsi="Arial"/>
      <w:b/>
      <w:smallCaps/>
      <w:kern w:val="28"/>
      <w:sz w:val="36"/>
      <w:lang w:eastAsia="en-US"/>
    </w:rPr>
  </w:style>
  <w:style w:type="paragraph" w:styleId="56">
    <w:name w:val="annotation subject"/>
    <w:basedOn w:val="21"/>
    <w:next w:val="21"/>
    <w:link w:val="78"/>
    <w:qFormat/>
    <w:uiPriority w:val="0"/>
    <w:pPr>
      <w:adjustRightInd/>
      <w:spacing w:line="240" w:lineRule="auto"/>
      <w:textAlignment w:val="auto"/>
    </w:pPr>
  </w:style>
  <w:style w:type="paragraph" w:styleId="57">
    <w:name w:val="Body Text First Indent"/>
    <w:basedOn w:val="24"/>
    <w:next w:val="1"/>
    <w:qFormat/>
    <w:uiPriority w:val="0"/>
    <w:pPr>
      <w:spacing w:line="360" w:lineRule="auto"/>
      <w:ind w:firstLine="420"/>
    </w:pPr>
    <w:rPr>
      <w:rFonts w:ascii="宋体" w:hAnsi="宋体"/>
      <w:sz w:val="24"/>
    </w:r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5"/>
    <w:qFormat/>
    <w:uiPriority w:val="0"/>
    <w:rPr>
      <w:rFonts w:ascii="Arial" w:hAnsi="Arial" w:eastAsia="黑体"/>
      <w:b/>
      <w:kern w:val="2"/>
      <w:sz w:val="32"/>
    </w:rPr>
  </w:style>
  <w:style w:type="character" w:customStyle="1" w:styleId="72">
    <w:name w:val="标题 3 字符"/>
    <w:link w:val="6"/>
    <w:qFormat/>
    <w:uiPriority w:val="0"/>
    <w:rPr>
      <w:rFonts w:eastAsia="宋体"/>
      <w:b/>
      <w:kern w:val="2"/>
      <w:sz w:val="32"/>
      <w:lang w:val="en-US" w:eastAsia="zh-CN"/>
    </w:rPr>
  </w:style>
  <w:style w:type="character" w:customStyle="1" w:styleId="73">
    <w:name w:val="批注文字 字符"/>
    <w:link w:val="21"/>
    <w:qFormat/>
    <w:uiPriority w:val="0"/>
    <w:rPr>
      <w:sz w:val="24"/>
    </w:rPr>
  </w:style>
  <w:style w:type="character" w:customStyle="1" w:styleId="74">
    <w:name w:val="正文文本缩进 字符"/>
    <w:link w:val="3"/>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2"/>
    <w:qFormat/>
    <w:uiPriority w:val="0"/>
    <w:rPr>
      <w:kern w:val="2"/>
      <w:sz w:val="18"/>
    </w:rPr>
  </w:style>
  <w:style w:type="character" w:customStyle="1" w:styleId="78">
    <w:name w:val="批注主题 字符"/>
    <w:link w:val="56"/>
    <w:qFormat/>
    <w:uiPriority w:val="0"/>
  </w:style>
  <w:style w:type="character" w:customStyle="1" w:styleId="79">
    <w:name w:val="正文文本首行缩进 2 字符"/>
    <w:link w:val="2"/>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6"/>
    <w:next w:val="57"/>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5"/>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4"/>
    <w:next w:val="4"/>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5"/>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4"/>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7"/>
    <w:qFormat/>
    <w:uiPriority w:val="0"/>
    <w:pPr>
      <w:numPr>
        <w:ilvl w:val="0"/>
        <w:numId w:val="8"/>
      </w:numPr>
      <w:spacing w:before="560" w:line="400" w:lineRule="exact"/>
      <w:jc w:val="center"/>
      <w:outlineLvl w:val="0"/>
    </w:pPr>
    <w:rPr>
      <w:b w:val="0"/>
      <w:sz w:val="44"/>
    </w:rPr>
  </w:style>
  <w:style w:type="paragraph" w:customStyle="1" w:styleId="142">
    <w:name w:val="内容标题"/>
    <w:basedOn w:val="19"/>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9"/>
    <w:qFormat/>
    <w:uiPriority w:val="0"/>
    <w:rPr>
      <w:rFonts w:ascii="宋体" w:hAnsi="Tahoma"/>
    </w:rPr>
  </w:style>
  <w:style w:type="paragraph" w:customStyle="1" w:styleId="148">
    <w:name w:val="样式 标题 6第五层条 + 三号 段前: 0.5 行"/>
    <w:basedOn w:val="9"/>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7"/>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5"/>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6"/>
    <w:qFormat/>
    <w:uiPriority w:val="0"/>
    <w:pPr>
      <w:numPr>
        <w:ilvl w:val="2"/>
        <w:numId w:val="2"/>
      </w:numPr>
      <w:tabs>
        <w:tab w:val="left" w:pos="709"/>
        <w:tab w:val="left" w:pos="1620"/>
      </w:tabs>
    </w:pPr>
  </w:style>
  <w:style w:type="paragraph" w:customStyle="1" w:styleId="176">
    <w:name w:val="样式4"/>
    <w:basedOn w:val="7"/>
    <w:qFormat/>
    <w:uiPriority w:val="0"/>
    <w:pPr>
      <w:adjustRightInd w:val="0"/>
      <w:snapToGrid w:val="0"/>
    </w:pPr>
  </w:style>
  <w:style w:type="paragraph" w:customStyle="1" w:styleId="177">
    <w:name w:val="摘要"/>
    <w:basedOn w:val="1"/>
    <w:next w:val="5"/>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4"/>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7"/>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4"/>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4"/>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4"/>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paragraph" w:customStyle="1" w:styleId="245">
    <w:name w:val="列表段落1"/>
    <w:basedOn w:val="1"/>
    <w:qFormat/>
    <w:uiPriority w:val="34"/>
    <w:pPr>
      <w:spacing w:line="360" w:lineRule="auto"/>
      <w:ind w:firstLine="420" w:firstLineChars="200"/>
    </w:pPr>
    <w:rPr>
      <w:rFonts w:asciiTheme="minorHAnsi" w:hAnsiTheme="minorHAnsi" w:eastAsiaTheme="minorEastAsia" w:cstheme="minorBidi"/>
      <w:sz w:val="24"/>
      <w:szCs w:val="22"/>
    </w:rPr>
  </w:style>
  <w:style w:type="paragraph" w:customStyle="1" w:styleId="246">
    <w:name w:val="列出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3</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2026-03-06T08:10:39Z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A64A983CF4A74E7FA4773F9F5FD73796</vt:lpwstr>
  </property>
</Properties>
</file>