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5</w:t>
      </w:r>
      <w:r>
        <w:rPr>
          <w:rFonts w:hint="eastAsia" w:ascii="微软雅黑" w:hAnsi="微软雅黑" w:eastAsia="微软雅黑" w:cs="微软雅黑"/>
          <w:sz w:val="36"/>
          <w:szCs w:val="36"/>
          <w:u w:val="single"/>
        </w:rPr>
        <w:t>0</w:t>
      </w:r>
      <w:r>
        <w:rPr>
          <w:rFonts w:hint="eastAsia" w:ascii="微软雅黑" w:hAnsi="微软雅黑" w:eastAsia="微软雅黑" w:cs="微软雅黑"/>
          <w:sz w:val="36"/>
          <w:szCs w:val="36"/>
          <w:u w:val="single"/>
          <w:lang w:val="en-US" w:eastAsia="zh-CN"/>
        </w:rPr>
        <w:t>655</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球囊扩张导管</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1</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1641050"/>
      <w:bookmarkStart w:id="1" w:name="_Toc12789052"/>
      <w:bookmarkStart w:id="2" w:name="_Toc76462316"/>
      <w:bookmarkStart w:id="3" w:name="_Toc7678"/>
      <w:bookmarkStart w:id="4" w:name="_Toc106030870"/>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lang w:val="en-US" w:eastAsia="zh-CN"/>
        </w:rPr>
        <w:t>球囊扩张导管</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06030871"/>
      <w:bookmarkStart w:id="7" w:name="_Toc313893526"/>
      <w:bookmarkStart w:id="8" w:name="_Toc76462317"/>
      <w:bookmarkStart w:id="9" w:name="_Toc317775175"/>
      <w:bookmarkStart w:id="10" w:name="_Toc18148"/>
      <w:bookmarkStart w:id="11" w:name="_Toc3856"/>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b w:val="0"/>
                <w:bCs/>
                <w:color w:val="333333"/>
                <w:kern w:val="0"/>
                <w:sz w:val="21"/>
                <w:szCs w:val="21"/>
                <w:lang w:val="en-US" w:eastAsia="zh-CN"/>
              </w:rPr>
              <w:t>YSB250655</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b w:val="0"/>
                <w:bCs/>
                <w:color w:val="333333"/>
                <w:kern w:val="0"/>
                <w:sz w:val="21"/>
                <w:szCs w:val="21"/>
                <w:lang w:val="en-US" w:eastAsia="zh-CN"/>
              </w:rPr>
              <w:t>球囊扩张导管</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color w:val="333333"/>
                <w:kern w:val="0"/>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106030873"/>
      <w:bookmarkStart w:id="19" w:name="_Toc76462319"/>
      <w:bookmarkStart w:id="20" w:name="_Toc4480"/>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106030874"/>
      <w:bookmarkStart w:id="22" w:name="_Toc27954"/>
      <w:bookmarkStart w:id="23" w:name="_Toc76462320"/>
    </w:p>
    <w:p>
      <w:pPr>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521053053"/>
      <w:bookmarkStart w:id="27" w:name="_Toc65660334"/>
      <w:bookmarkStart w:id="28" w:name="_Toc12841"/>
      <w:bookmarkStart w:id="29" w:name="_Toc525047161"/>
      <w:bookmarkStart w:id="30" w:name="_Toc11956"/>
      <w:bookmarkStart w:id="31" w:name="_Toc28629"/>
      <w:bookmarkStart w:id="32" w:name="_Toc6178"/>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525047162"/>
      <w:bookmarkStart w:id="35" w:name="_Toc521053054"/>
      <w:bookmarkStart w:id="36" w:name="_Toc106034626"/>
      <w:bookmarkStart w:id="37" w:name="_Toc65660335"/>
      <w:bookmarkStart w:id="38" w:name="_Toc2945"/>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16269"/>
      <w:bookmarkStart w:id="42" w:name="_Toc525047163"/>
      <w:bookmarkStart w:id="43" w:name="_Toc65660336"/>
      <w:bookmarkStart w:id="44" w:name="_Toc6563"/>
      <w:bookmarkStart w:id="45" w:name="_Toc106034627"/>
      <w:bookmarkStart w:id="46" w:name="_Toc521053055"/>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65660337"/>
      <w:bookmarkStart w:id="49" w:name="_Toc106034628"/>
      <w:bookmarkStart w:id="50" w:name="_Toc24901"/>
      <w:bookmarkStart w:id="51" w:name="_Toc525047164"/>
      <w:bookmarkStart w:id="52" w:name="_Toc20454"/>
      <w:bookmarkStart w:id="53" w:name="_Toc1733"/>
      <w:bookmarkStart w:id="54" w:name="_Toc521053056"/>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8649"/>
      <w:bookmarkStart w:id="57" w:name="_Toc19886"/>
      <w:bookmarkStart w:id="58" w:name="_Toc725"/>
      <w:bookmarkStart w:id="59" w:name="_Toc12959"/>
      <w:bookmarkStart w:id="60" w:name="_Toc32686"/>
      <w:bookmarkStart w:id="61" w:name="_Toc75793504"/>
      <w:bookmarkStart w:id="62" w:name="_Toc1492"/>
      <w:bookmarkStart w:id="63" w:name="_Toc2422"/>
      <w:bookmarkStart w:id="64" w:name="_Toc25639"/>
      <w:bookmarkStart w:id="65" w:name="_Toc5461"/>
      <w:bookmarkStart w:id="66" w:name="_Toc1625"/>
      <w:bookmarkStart w:id="67" w:name="_Toc2070"/>
      <w:bookmarkStart w:id="68" w:name="_Toc26176"/>
      <w:bookmarkStart w:id="69" w:name="_Toc11017"/>
      <w:bookmarkStart w:id="70" w:name="_Toc23143"/>
      <w:bookmarkStart w:id="71" w:name="_Toc106030380"/>
      <w:bookmarkStart w:id="72" w:name="_Toc20802"/>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4519"/>
      <w:bookmarkStart w:id="74" w:name="_Toc4913"/>
      <w:bookmarkStart w:id="75" w:name="_Toc20979"/>
      <w:bookmarkStart w:id="76" w:name="_Toc23656"/>
      <w:bookmarkStart w:id="77" w:name="_Toc23504"/>
      <w:bookmarkStart w:id="78" w:name="_Toc22910"/>
      <w:bookmarkStart w:id="79" w:name="_Toc7027"/>
      <w:bookmarkStart w:id="80" w:name="_Toc29985"/>
      <w:bookmarkStart w:id="81" w:name="_Toc9261"/>
      <w:bookmarkStart w:id="82" w:name="_Toc75793505"/>
      <w:bookmarkStart w:id="83" w:name="_Toc4531"/>
      <w:bookmarkStart w:id="84" w:name="_Toc106030381"/>
      <w:bookmarkStart w:id="85" w:name="_Toc8370"/>
      <w:bookmarkStart w:id="86" w:name="_Toc19238"/>
      <w:bookmarkStart w:id="87" w:name="_Toc11703"/>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color w:val="000000" w:themeColor="text1"/>
                <w:kern w:val="0"/>
                <w:sz w:val="21"/>
                <w:szCs w:val="21"/>
                <w:lang w:val="en-US" w:eastAsia="zh-CN"/>
                <w14:textFill>
                  <w14:solidFill>
                    <w14:schemeClr w14:val="tx1"/>
                  </w14:solidFill>
                </w14:textFill>
              </w:rPr>
              <w:t>球囊扩张导管</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eastAsia" w:ascii="微软雅黑" w:hAnsi="微软雅黑" w:eastAsia="微软雅黑" w:cs="微软雅黑"/>
                <w:sz w:val="21"/>
                <w:szCs w:val="21"/>
              </w:rPr>
            </w:pP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7792"/>
      <w:bookmarkStart w:id="89" w:name="_Toc26453"/>
      <w:bookmarkStart w:id="90" w:name="_Toc75793506"/>
      <w:bookmarkStart w:id="91" w:name="_Toc23975"/>
      <w:bookmarkStart w:id="92" w:name="_Toc5751"/>
      <w:bookmarkStart w:id="93" w:name="_Toc12568"/>
      <w:bookmarkStart w:id="94" w:name="_Toc28205"/>
      <w:bookmarkStart w:id="95" w:name="_Toc15696"/>
      <w:bookmarkStart w:id="96" w:name="_Toc27067"/>
      <w:bookmarkStart w:id="97" w:name="_Toc106030382"/>
      <w:bookmarkStart w:id="98" w:name="_Toc18903"/>
      <w:bookmarkStart w:id="99" w:name="_Toc21817"/>
      <w:bookmarkStart w:id="100" w:name="_Toc10143"/>
      <w:bookmarkStart w:id="101" w:name="_Toc32262"/>
      <w:bookmarkStart w:id="102" w:name="_Toc18800"/>
      <w:bookmarkStart w:id="103" w:name="_Toc695"/>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（一）球囊扩张导管（单球囊）</w:t>
      </w:r>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1.用于血管狭窄的扩张及支架植入的扩张</w:t>
      </w:r>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2.由导管、球囊、连接部、导丝插入管和球囊充盈管组成；</w:t>
      </w:r>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3.球囊扩张导管是带有远端的同轴导管，有一不透射线的标记位于球囊中间或两个标记经球囊两端肩部，以确定术中球囊位置；</w:t>
      </w:r>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4.球囊可承受8个大气压的压力；</w:t>
      </w:r>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5.环氧乙烷灭菌，一次性使用耗材；</w:t>
      </w:r>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（二）球囊扩张导管（双球囊）</w:t>
      </w:r>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1.用于血管狭窄的扩张及支架植入的扩张，尤其是病变严重或特殊需要稳定球囊及支架位置的情况。</w:t>
      </w:r>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2.由导管、球囊、连接部、导丝插入管和球囊充盈管组成；球囊为内外球囊设计，导管为三轴设计，两条通道用于扩张球囊，另一条通道用于导丝建立轨道。</w:t>
      </w:r>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3.球囊扩张导管是带有远端的同轴导管，有一不透射线的标记位于球囊中间或两个标记经球囊两端肩部，以确定术中球囊位置；</w:t>
      </w:r>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4.球囊可承受8个大气压的压力；</w:t>
      </w:r>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5.环氧乙烷灭菌，一次性使用耗材；</w:t>
      </w:r>
    </w:p>
    <w:p>
      <w:pPr>
        <w:spacing w:line="360" w:lineRule="auto"/>
        <w:rPr>
          <w:rFonts w:hint="eastAsia" w:ascii="微软雅黑" w:hAnsi="微软雅黑" w:eastAsia="微软雅黑" w:cs="微软雅黑"/>
          <w:kern w:val="2"/>
          <w:sz w:val="24"/>
          <w:szCs w:val="24"/>
          <w:lang w:val="en-US" w:eastAsia="zh-CN" w:bidi="ar-SA"/>
        </w:rPr>
      </w:pPr>
    </w:p>
    <w:p>
      <w:pPr>
        <w:snapToGrid w:val="0"/>
        <w:spacing w:line="400" w:lineRule="exact"/>
        <w:ind w:firstLine="480" w:firstLineChars="200"/>
        <w:rPr>
          <w:rFonts w:hint="eastAsia" w:ascii="微软雅黑" w:hAnsi="微软雅黑" w:eastAsia="微软雅黑" w:cs="微软雅黑"/>
          <w:sz w:val="44"/>
        </w:rPr>
      </w:pPr>
      <w:r>
        <w:rPr>
          <w:rFonts w:hint="eastAsia" w:ascii="微软雅黑" w:hAnsi="微软雅黑" w:eastAsia="微软雅黑" w:cs="微软雅黑"/>
          <w:kern w:val="2"/>
          <w:sz w:val="24"/>
          <w:szCs w:val="24"/>
          <w:lang w:val="en-US" w:eastAsia="zh-CN" w:bidi="ar-SA"/>
        </w:rPr>
        <w:t>注：开标现场必须提供带包装的样品。</w:t>
      </w:r>
      <w:r>
        <w:rPr>
          <w:rFonts w:hint="eastAsia" w:ascii="微软雅黑" w:hAnsi="微软雅黑" w:eastAsia="微软雅黑" w:cs="微软雅黑"/>
          <w:kern w:val="2"/>
          <w:sz w:val="24"/>
          <w:szCs w:val="24"/>
          <w:lang w:val="en-US" w:eastAsia="zh-CN" w:bidi="ar-SA"/>
        </w:rPr>
        <w:br w:type="page"/>
      </w:r>
      <w:bookmarkStart w:id="104" w:name="_Toc76462327"/>
      <w:bookmarkStart w:id="105" w:name="_Toc7791"/>
      <w:bookmarkStart w:id="106" w:name="_Toc106030882"/>
      <w:bookmarkStart w:id="107" w:name="_Toc17712"/>
      <w:r>
        <w:rPr>
          <w:rFonts w:hint="eastAsia" w:ascii="宋体" w:hAnsi="宋体" w:eastAsia="宋体" w:cs="宋体"/>
          <w:color w:val="000000"/>
          <w:kern w:val="0"/>
          <w:sz w:val="24"/>
          <w:szCs w:val="24"/>
          <w:lang w:val="en-US" w:eastAsia="zh-CN"/>
        </w:rPr>
        <w:t xml:space="preserve">                    </w:t>
      </w:r>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服务期：三年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交货期：乙方在收到甲方通知后在7个日历日内（或者在甲方临时具体书面指定天数内）将物资运到甲方交货地点。</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交货地点：重庆医科大学附属儿童医院设备处</w:t>
            </w:r>
          </w:p>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242"/>
              <w:keepNext w:val="0"/>
              <w:keepLines w:val="0"/>
              <w:pageBreakBefore w:val="0"/>
              <w:numPr>
                <w:ilvl w:val="0"/>
                <w:numId w:val="15"/>
              </w:numPr>
              <w:kinsoku/>
              <w:wordWrap/>
              <w:overflowPunct/>
              <w:topLinePunct w:val="0"/>
              <w:autoSpaceDE/>
              <w:autoSpaceDN/>
              <w:bidi w:val="0"/>
              <w:spacing w:after="0" w:line="240" w:lineRule="auto"/>
              <w:ind w:left="0" w:leftChars="0" w:firstLine="0" w:firstLineChars="0"/>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中标后若出现断供或发生Ⅱ级不良事件，自动取消该产品的供货资格；</w:t>
            </w:r>
          </w:p>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2.售后及时(24小时到现场提供解决方案)，收到供应宝订单须三日之内响应订单；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1.该项目可在投标现场进行二次报价；</w:t>
            </w:r>
          </w:p>
          <w:p>
            <w:pPr>
              <w:pStyle w:val="31"/>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 w:val="21"/>
                <w:szCs w:val="21"/>
                <w:lang w:val="en-US" w:eastAsia="zh-CN"/>
              </w:rPr>
              <w:t>2.该项目耗材报价须对线上及备案的单价分别报价，包括完成货物、运输、验收及其他本项目所需的所有费用及各种应纳的税费。因成交供应商自身原因造成漏报、少报皆由其自行承担责任，采购人不再补偿。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每月结算一次，成交供应商每月向采购人开具上月采购金额发票，采购人收到发票后2个月内以转账方式向成交供应商支付。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eastAsia="zh-CN"/>
              </w:rPr>
            </w:pPr>
            <w:bookmarkStart w:id="108" w:name="OLE_LINK1"/>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rPr>
              <w:t>投标人必须在响应文件中对以上条款和服务承诺明确列出，承诺内容必须达到本篇及协商文件其他条款的要求</w:t>
            </w:r>
            <w:r>
              <w:rPr>
                <w:rFonts w:hint="eastAsia" w:ascii="微软雅黑" w:hAnsi="微软雅黑" w:eastAsia="微软雅黑" w:cs="微软雅黑"/>
                <w:sz w:val="21"/>
                <w:szCs w:val="21"/>
                <w:lang w:eastAsia="zh-CN"/>
              </w:rPr>
              <w:t>；</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其他未尽事宜由供需双方在采购合同中详细约定</w:t>
            </w:r>
            <w:bookmarkEnd w:id="108"/>
            <w:r>
              <w:rPr>
                <w:rFonts w:hint="eastAsia" w:ascii="微软雅黑" w:hAnsi="微软雅黑" w:eastAsia="微软雅黑" w:cs="微软雅黑"/>
                <w:sz w:val="21"/>
                <w:szCs w:val="21"/>
                <w:lang w:eastAsia="zh-CN"/>
              </w:rPr>
              <w:t>。</w:t>
            </w:r>
          </w:p>
        </w:tc>
      </w:tr>
    </w:tbl>
    <w:p>
      <w:pPr>
        <w:rPr>
          <w:rFonts w:hint="eastAsia" w:ascii="微软雅黑" w:hAnsi="微软雅黑" w:eastAsia="微软雅黑" w:cs="微软雅黑"/>
          <w:b/>
          <w:sz w:val="44"/>
        </w:rPr>
      </w:pPr>
      <w:bookmarkStart w:id="109" w:name="_Toc106030887"/>
      <w:bookmarkStart w:id="110" w:name="_Toc6692"/>
      <w:bookmarkStart w:id="111" w:name="_Toc7646233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2"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9"/>
      <w:bookmarkEnd w:id="110"/>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3" w:name="_Toc106030888"/>
      <w:bookmarkStart w:id="114" w:name="_Toc14958"/>
      <w:bookmarkStart w:id="115" w:name="_Toc76462333"/>
      <w:bookmarkStart w:id="116" w:name="_Toc3410"/>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3"/>
      <w:bookmarkEnd w:id="114"/>
      <w:bookmarkEnd w:id="115"/>
      <w:bookmarkEnd w:id="11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7" w:name="_Toc29068"/>
      <w:r>
        <w:rPr>
          <w:rFonts w:hint="eastAsia" w:ascii="微软雅黑" w:hAnsi="微软雅黑" w:eastAsia="微软雅黑" w:cs="微软雅黑"/>
          <w:sz w:val="24"/>
        </w:rPr>
        <w:t>二、评标方法</w:t>
      </w:r>
      <w:bookmarkEnd w:id="117"/>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8" w:name="_Toc30944"/>
      <w:bookmarkStart w:id="119" w:name="_Toc106030889"/>
      <w:bookmarkStart w:id="120" w:name="_Toc76462334"/>
      <w:bookmarkStart w:id="121" w:name="_Toc342913394"/>
      <w:bookmarkStart w:id="122" w:name="_Toc102227320"/>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3"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3"/>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4" w:name="_Toc5837"/>
      <w:bookmarkStart w:id="125" w:name="_Toc13703"/>
      <w:r>
        <w:rPr>
          <w:rFonts w:hint="eastAsia" w:ascii="微软雅黑" w:hAnsi="微软雅黑" w:eastAsia="微软雅黑" w:cs="微软雅黑"/>
          <w:kern w:val="0"/>
          <w:sz w:val="24"/>
          <w:szCs w:val="24"/>
          <w:lang w:val="en-US" w:eastAsia="zh-CN"/>
        </w:rPr>
        <w:t>本项目投标人可在投标现场进行第二次报价。</w:t>
      </w:r>
      <w:bookmarkEnd w:id="124"/>
      <w:bookmarkEnd w:id="12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23723"/>
      <w:r>
        <w:rPr>
          <w:rFonts w:hint="eastAsia" w:ascii="微软雅黑" w:hAnsi="微软雅黑" w:eastAsia="微软雅黑" w:cs="微软雅黑"/>
          <w:sz w:val="24"/>
        </w:rPr>
        <w:t>四、评审标准</w:t>
      </w:r>
      <w:bookmarkEnd w:id="118"/>
      <w:bookmarkEnd w:id="119"/>
      <w:bookmarkEnd w:id="120"/>
      <w:bookmarkEnd w:id="126"/>
    </w:p>
    <w:p>
      <w:pPr>
        <w:snapToGrid w:val="0"/>
        <w:spacing w:line="400" w:lineRule="exact"/>
        <w:ind w:firstLine="480" w:firstLineChars="200"/>
        <w:rPr>
          <w:rFonts w:hint="eastAsia" w:ascii="微软雅黑" w:hAnsi="微软雅黑" w:eastAsia="微软雅黑" w:cs="微软雅黑"/>
          <w:sz w:val="24"/>
          <w:szCs w:val="24"/>
        </w:rPr>
      </w:pPr>
      <w:bookmarkStart w:id="127" w:name="_Toc106030890"/>
      <w:bookmarkStart w:id="128" w:name="_Toc31497"/>
      <w:bookmarkStart w:id="129"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1"/>
    <w:bookmarkEnd w:id="122"/>
    <w:bookmarkEnd w:id="127"/>
    <w:bookmarkEnd w:id="128"/>
    <w:bookmarkEnd w:id="12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3878"/>
      <w:bookmarkStart w:id="131" w:name="_Toc4326"/>
      <w:r>
        <w:rPr>
          <w:rFonts w:hint="eastAsia" w:ascii="微软雅黑" w:hAnsi="微软雅黑" w:eastAsia="微软雅黑" w:cs="微软雅黑"/>
          <w:sz w:val="24"/>
        </w:rPr>
        <w:t>五、无效响应</w:t>
      </w:r>
      <w:bookmarkEnd w:id="130"/>
      <w:bookmarkEnd w:id="13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76462336"/>
      <w:bookmarkStart w:id="133" w:name="_Toc106030891"/>
      <w:bookmarkStart w:id="134" w:name="_Toc10687"/>
      <w:bookmarkStart w:id="135" w:name="_Toc22602"/>
      <w:bookmarkStart w:id="136" w:name="_Toc25327"/>
      <w:r>
        <w:rPr>
          <w:rFonts w:hint="eastAsia" w:ascii="微软雅黑" w:hAnsi="微软雅黑" w:eastAsia="微软雅黑" w:cs="微软雅黑"/>
          <w:sz w:val="24"/>
        </w:rPr>
        <w:t>六、</w:t>
      </w:r>
      <w:bookmarkEnd w:id="132"/>
      <w:bookmarkEnd w:id="133"/>
      <w:bookmarkEnd w:id="134"/>
      <w:r>
        <w:rPr>
          <w:rFonts w:hint="eastAsia" w:ascii="微软雅黑" w:hAnsi="微软雅黑" w:eastAsia="微软雅黑" w:cs="微软雅黑"/>
          <w:sz w:val="24"/>
        </w:rPr>
        <w:t>废标条款</w:t>
      </w:r>
      <w:bookmarkEnd w:id="135"/>
      <w:bookmarkEnd w:id="13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bookmarkStart w:id="229" w:name="_GoBack"/>
      <w:bookmarkEnd w:id="229"/>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三</w:t>
      </w:r>
      <w:r>
        <w:rPr>
          <w:rFonts w:hint="eastAsia" w:ascii="微软雅黑" w:hAnsi="微软雅黑" w:eastAsia="微软雅黑" w:cs="微软雅黑"/>
          <w:sz w:val="24"/>
          <w:szCs w:val="24"/>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7" w:name="_Toc106030892"/>
      <w:bookmarkStart w:id="138" w:name="_Toc76462337"/>
      <w:bookmarkStart w:id="139" w:name="_Toc29948"/>
      <w:bookmarkStart w:id="140" w:name="_Toc7572"/>
      <w:bookmarkStart w:id="141" w:name="_Toc102227313"/>
      <w:r>
        <w:rPr>
          <w:rFonts w:hint="eastAsia" w:ascii="微软雅黑" w:hAnsi="微软雅黑" w:eastAsia="微软雅黑" w:cs="微软雅黑"/>
          <w:sz w:val="44"/>
        </w:rPr>
        <w:t>第五篇  投标人须知</w:t>
      </w:r>
      <w:bookmarkEnd w:id="137"/>
      <w:bookmarkEnd w:id="138"/>
      <w:bookmarkEnd w:id="139"/>
      <w:bookmarkEnd w:id="140"/>
      <w:bookmarkEnd w:id="14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342913389"/>
      <w:bookmarkStart w:id="143" w:name="_Toc106030893"/>
      <w:bookmarkStart w:id="144" w:name="_Toc26717"/>
      <w:bookmarkStart w:id="145" w:name="_Toc76462338"/>
      <w:bookmarkStart w:id="146" w:name="_Toc9364"/>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2"/>
      <w:bookmarkEnd w:id="143"/>
      <w:bookmarkEnd w:id="144"/>
      <w:bookmarkEnd w:id="145"/>
      <w:bookmarkEnd w:id="146"/>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20281"/>
      <w:bookmarkStart w:id="148" w:name="_Toc106030894"/>
      <w:bookmarkStart w:id="149" w:name="_Toc15712"/>
      <w:bookmarkStart w:id="150" w:name="_Toc76462339"/>
      <w:bookmarkStart w:id="151" w:name="_Toc342913391"/>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7"/>
      <w:bookmarkEnd w:id="148"/>
      <w:bookmarkEnd w:id="149"/>
      <w:bookmarkEnd w:id="150"/>
      <w:bookmarkEnd w:id="15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2" w:name="_Toc318166429"/>
      <w:bookmarkStart w:id="153" w:name="_Toc318159160"/>
      <w:bookmarkStart w:id="154" w:name="_Toc318159349"/>
      <w:bookmarkStart w:id="155" w:name="_Toc318159780"/>
    </w:p>
    <w:bookmarkEnd w:id="152"/>
    <w:bookmarkEnd w:id="153"/>
    <w:bookmarkEnd w:id="154"/>
    <w:bookmarkEnd w:id="155"/>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76462340"/>
      <w:bookmarkStart w:id="157" w:name="_Toc8971"/>
      <w:bookmarkStart w:id="158" w:name="_Toc342913392"/>
      <w:bookmarkStart w:id="159" w:name="_Toc26007"/>
      <w:bookmarkStart w:id="160" w:name="_Toc179714297"/>
      <w:bookmarkStart w:id="161" w:name="_Toc106030895"/>
      <w:bookmarkStart w:id="162" w:name="_Toc102227318"/>
      <w:r>
        <w:rPr>
          <w:rFonts w:hint="eastAsia" w:ascii="微软雅黑" w:hAnsi="微软雅黑" w:eastAsia="微软雅黑" w:cs="微软雅黑"/>
          <w:sz w:val="24"/>
        </w:rPr>
        <w:t>三、比选要求</w:t>
      </w:r>
      <w:bookmarkEnd w:id="156"/>
      <w:bookmarkEnd w:id="157"/>
      <w:bookmarkEnd w:id="158"/>
      <w:bookmarkEnd w:id="159"/>
      <w:bookmarkEnd w:id="160"/>
      <w:bookmarkEnd w:id="161"/>
      <w:bookmarkEnd w:id="16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6435"/>
      <w:bookmarkStart w:id="164" w:name="_Toc76462341"/>
      <w:bookmarkStart w:id="165" w:name="_Toc106030896"/>
      <w:bookmarkStart w:id="166" w:name="_Toc13378"/>
      <w:r>
        <w:rPr>
          <w:rFonts w:hint="eastAsia" w:ascii="微软雅黑" w:hAnsi="微软雅黑" w:eastAsia="微软雅黑" w:cs="微软雅黑"/>
          <w:sz w:val="24"/>
        </w:rPr>
        <w:t>四、成交供应商的确认和变更</w:t>
      </w:r>
      <w:bookmarkEnd w:id="163"/>
      <w:bookmarkEnd w:id="164"/>
      <w:bookmarkEnd w:id="165"/>
      <w:bookmarkEnd w:id="166"/>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7" w:name="_Toc76462342"/>
      <w:bookmarkStart w:id="168" w:name="_Toc106030897"/>
      <w:bookmarkStart w:id="169" w:name="_Toc21532"/>
      <w:bookmarkStart w:id="170" w:name="_Toc712"/>
      <w:bookmarkStart w:id="171" w:name="_Toc102227321"/>
      <w:bookmarkStart w:id="172" w:name="_Toc342913395"/>
      <w:r>
        <w:rPr>
          <w:rFonts w:hint="eastAsia" w:ascii="微软雅黑" w:hAnsi="微软雅黑" w:eastAsia="微软雅黑" w:cs="微软雅黑"/>
          <w:sz w:val="24"/>
        </w:rPr>
        <w:t>五、成交通知</w:t>
      </w:r>
      <w:bookmarkEnd w:id="167"/>
      <w:bookmarkEnd w:id="168"/>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3" w:name="_Toc21448"/>
      <w:bookmarkStart w:id="174" w:name="_Toc22564"/>
      <w:bookmarkStart w:id="175" w:name="_Toc76462343"/>
      <w:bookmarkStart w:id="176" w:name="_Toc106030898"/>
      <w:r>
        <w:rPr>
          <w:rFonts w:hint="eastAsia" w:ascii="微软雅黑" w:hAnsi="微软雅黑" w:eastAsia="微软雅黑" w:cs="微软雅黑"/>
          <w:sz w:val="24"/>
        </w:rPr>
        <w:t>六、质疑处理</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7" w:name="_Toc28334"/>
      <w:bookmarkStart w:id="178" w:name="_Toc106030899"/>
      <w:bookmarkStart w:id="179"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0" w:name="_Toc32500"/>
      <w:r>
        <w:rPr>
          <w:rFonts w:hint="eastAsia" w:ascii="微软雅黑" w:hAnsi="微软雅黑" w:eastAsia="微软雅黑" w:cs="微软雅黑"/>
          <w:sz w:val="24"/>
        </w:rPr>
        <w:t>七、</w:t>
      </w:r>
      <w:bookmarkEnd w:id="177"/>
      <w:bookmarkEnd w:id="178"/>
      <w:bookmarkEnd w:id="179"/>
      <w:bookmarkStart w:id="181" w:name="_Toc102227322"/>
      <w:bookmarkStart w:id="182" w:name="_Toc106030901"/>
      <w:bookmarkStart w:id="183" w:name="_Toc3372"/>
      <w:bookmarkStart w:id="184" w:name="_Toc76462346"/>
      <w:bookmarkStart w:id="185" w:name="_Toc342913396"/>
      <w:bookmarkStart w:id="186" w:name="_Toc11641055"/>
      <w:bookmarkStart w:id="187" w:name="_Toc12789059"/>
      <w:r>
        <w:rPr>
          <w:rFonts w:hint="eastAsia" w:ascii="微软雅黑" w:hAnsi="微软雅黑" w:eastAsia="微软雅黑" w:cs="微软雅黑"/>
          <w:sz w:val="24"/>
        </w:rPr>
        <w:t>签订</w:t>
      </w:r>
      <w:bookmarkEnd w:id="181"/>
      <w:r>
        <w:rPr>
          <w:rFonts w:hint="eastAsia" w:ascii="微软雅黑" w:hAnsi="微软雅黑" w:eastAsia="微软雅黑" w:cs="微软雅黑"/>
          <w:sz w:val="24"/>
        </w:rPr>
        <w:t>合同</w:t>
      </w:r>
      <w:bookmarkEnd w:id="180"/>
      <w:bookmarkEnd w:id="182"/>
      <w:bookmarkEnd w:id="183"/>
      <w:bookmarkEnd w:id="184"/>
      <w:bookmarkEnd w:id="185"/>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6"/>
      <w:bookmarkEnd w:id="187"/>
    </w:p>
    <w:p>
      <w:pPr>
        <w:pStyle w:val="4"/>
        <w:spacing w:before="200" w:after="200" w:line="240" w:lineRule="auto"/>
        <w:jc w:val="center"/>
        <w:rPr>
          <w:rFonts w:hint="eastAsia" w:ascii="微软雅黑" w:hAnsi="微软雅黑" w:eastAsia="微软雅黑" w:cs="微软雅黑"/>
          <w:sz w:val="44"/>
        </w:rPr>
      </w:pPr>
      <w:bookmarkStart w:id="188" w:name="_Hlt41879464"/>
      <w:bookmarkEnd w:id="188"/>
      <w:bookmarkStart w:id="189" w:name="_Toc27984"/>
      <w:bookmarkStart w:id="190" w:name="_Toc6345"/>
      <w:bookmarkStart w:id="191" w:name="_Toc76462349"/>
      <w:bookmarkStart w:id="192" w:name="_Toc106030905"/>
      <w:r>
        <w:rPr>
          <w:rFonts w:hint="eastAsia" w:ascii="微软雅黑" w:hAnsi="微软雅黑" w:eastAsia="微软雅黑" w:cs="微软雅黑"/>
          <w:sz w:val="44"/>
        </w:rPr>
        <w:t>第六篇  响应文件编制要求</w:t>
      </w:r>
      <w:bookmarkEnd w:id="189"/>
      <w:bookmarkEnd w:id="190"/>
      <w:bookmarkEnd w:id="191"/>
      <w:bookmarkEnd w:id="19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hint="eastAsia" w:ascii="微软雅黑" w:hAnsi="微软雅黑" w:eastAsia="微软雅黑" w:cs="微软雅黑"/>
          <w:sz w:val="24"/>
          <w:szCs w:val="24"/>
        </w:rPr>
      </w:pPr>
      <w:bookmarkStart w:id="193" w:name="_Toc12789073"/>
      <w:bookmarkStart w:id="194" w:name="_Toc342913419"/>
      <w:bookmarkStart w:id="195" w:name="_Toc283382454"/>
      <w:bookmarkStart w:id="196" w:name="_Toc15994"/>
      <w:bookmarkStart w:id="197" w:name="_Toc313008356"/>
      <w:bookmarkStart w:id="198" w:name="_Toc106030906"/>
      <w:bookmarkStart w:id="199" w:name="_Toc76462350"/>
      <w:bookmarkStart w:id="200" w:name="_Toc313888360"/>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eastAsia="zh-CN"/>
        </w:rPr>
        <w:t>耗材遴选</w:t>
      </w:r>
      <w:r>
        <w:rPr>
          <w:rFonts w:hint="eastAsia" w:ascii="微软雅黑" w:hAnsi="微软雅黑" w:eastAsia="微软雅黑" w:cs="微软雅黑"/>
          <w:sz w:val="130"/>
          <w:szCs w:val="130"/>
        </w:rPr>
        <w:t>采购</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193"/>
    <w:bookmarkEnd w:id="194"/>
    <w:bookmarkEnd w:id="195"/>
    <w:bookmarkEnd w:id="196"/>
    <w:bookmarkEnd w:id="197"/>
    <w:bookmarkEnd w:id="198"/>
    <w:bookmarkEnd w:id="199"/>
    <w:bookmarkEnd w:id="200"/>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1" w:name="_Toc22447"/>
      <w:r>
        <w:rPr>
          <w:rFonts w:hint="eastAsia" w:ascii="微软雅黑" w:hAnsi="微软雅黑" w:eastAsia="微软雅黑" w:cs="微软雅黑"/>
          <w:sz w:val="24"/>
        </w:rPr>
        <w:t>一、经济部分</w:t>
      </w:r>
      <w:bookmarkEnd w:id="201"/>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耗材专用报价表</w:t>
      </w:r>
    </w:p>
    <w:p>
      <w:pPr>
        <w:tabs>
          <w:tab w:val="left" w:pos="6300"/>
        </w:tabs>
        <w:snapToGrid w:val="0"/>
        <w:spacing w:line="312" w:lineRule="auto"/>
        <w:ind w:firstLine="1200" w:firstLineChars="500"/>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320" w:firstLineChars="18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bookmarkStart w:id="202" w:name="_Toc313888361"/>
      <w:bookmarkStart w:id="203" w:name="_Toc18669"/>
      <w:bookmarkStart w:id="204" w:name="_Toc313008357"/>
      <w:bookmarkStart w:id="205" w:name="_Toc106030907"/>
      <w:bookmarkStart w:id="206" w:name="_Toc342913420"/>
      <w:bookmarkStart w:id="207" w:name="_Toc76462351"/>
      <w:r>
        <w:rPr>
          <w:rFonts w:hint="eastAsia" w:ascii="微软雅黑" w:hAnsi="微软雅黑" w:eastAsia="微软雅黑" w:cs="微软雅黑"/>
          <w:sz w:val="24"/>
          <w:szCs w:val="24"/>
        </w:rPr>
        <w:t>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ind w:firstLine="1440" w:firstLineChars="600"/>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1888"/>
        <w:gridCol w:w="1509"/>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1888"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509"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headerReference r:id="rId16" w:type="default"/>
          <w:pgSz w:w="16840" w:h="11907" w:orient="landscape"/>
          <w:pgMar w:top="1304" w:right="1134" w:bottom="1191" w:left="1134" w:header="851" w:footer="992" w:gutter="0"/>
          <w:pgNumType w:fmt="numberInDash"/>
          <w:cols w:space="720" w:num="1"/>
          <w:docGrid w:linePitch="380" w:charSpace="-5735"/>
        </w:sect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8" w:name="_Toc4162"/>
      <w:r>
        <w:rPr>
          <w:rFonts w:hint="eastAsia" w:ascii="微软雅黑" w:hAnsi="微软雅黑" w:eastAsia="微软雅黑" w:cs="微软雅黑"/>
          <w:sz w:val="24"/>
        </w:rPr>
        <w:t>二、技术部分</w:t>
      </w:r>
      <w:bookmarkEnd w:id="202"/>
      <w:bookmarkEnd w:id="203"/>
      <w:bookmarkEnd w:id="204"/>
      <w:bookmarkEnd w:id="205"/>
      <w:bookmarkEnd w:id="206"/>
      <w:bookmarkEnd w:id="207"/>
      <w:bookmarkEnd w:id="208"/>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提醒：请注明技术参数或具体内容以及响应文件中技术参数或具体内容的位置（页码）</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9" w:name="_Toc342913421"/>
      <w:bookmarkStart w:id="210" w:name="_Toc30571"/>
      <w:bookmarkStart w:id="211" w:name="_Toc30639"/>
      <w:bookmarkStart w:id="212" w:name="_Toc76462352"/>
      <w:bookmarkStart w:id="213" w:name="_Toc313008358"/>
      <w:bookmarkStart w:id="214" w:name="_Toc106030908"/>
      <w:bookmarkStart w:id="215" w:name="_Toc313888362"/>
      <w:r>
        <w:rPr>
          <w:rFonts w:hint="eastAsia" w:ascii="微软雅黑" w:hAnsi="微软雅黑" w:eastAsia="微软雅黑" w:cs="微软雅黑"/>
          <w:sz w:val="24"/>
        </w:rPr>
        <w:t>三、商务部分</w:t>
      </w:r>
      <w:bookmarkEnd w:id="209"/>
      <w:bookmarkEnd w:id="210"/>
      <w:bookmarkEnd w:id="211"/>
      <w:bookmarkEnd w:id="212"/>
      <w:bookmarkEnd w:id="213"/>
      <w:bookmarkEnd w:id="214"/>
      <w:bookmarkEnd w:id="21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项目商务需求</w:t>
            </w: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响应情况</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1"/>
              </w:rPr>
              <w:t>提醒：请注明具体内容以及响应文件中具体内容的位置（页码）</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snapToGrid w:val="0"/>
        <w:spacing w:line="400" w:lineRule="exact"/>
        <w:ind w:firstLine="480" w:firstLineChars="200"/>
        <w:rPr>
          <w:rFonts w:hint="eastAsia" w:ascii="微软雅黑" w:hAnsi="微软雅黑" w:eastAsia="微软雅黑" w:cs="微软雅黑"/>
          <w:sz w:val="24"/>
          <w:szCs w:val="24"/>
        </w:rPr>
      </w:pPr>
      <w:bookmarkStart w:id="216"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6"/>
      <w:bookmarkStart w:id="217" w:name="_Toc313008359"/>
      <w:bookmarkStart w:id="218" w:name="_Toc342913422"/>
      <w:bookmarkStart w:id="219" w:name="_Toc26948"/>
      <w:bookmarkStart w:id="220" w:name="_Toc76462353"/>
      <w:bookmarkStart w:id="221" w:name="_Toc32054"/>
      <w:bookmarkStart w:id="222" w:name="_Toc313888363"/>
      <w:bookmarkStart w:id="223" w:name="_Toc106030909"/>
      <w:r>
        <w:rPr>
          <w:rFonts w:hint="eastAsia" w:ascii="微软雅黑" w:hAnsi="微软雅黑" w:eastAsia="微软雅黑" w:cs="微软雅黑"/>
          <w:sz w:val="24"/>
        </w:rPr>
        <w:t>四、资格条件</w:t>
      </w:r>
      <w:bookmarkEnd w:id="217"/>
      <w:bookmarkEnd w:id="218"/>
      <w:bookmarkEnd w:id="219"/>
      <w:bookmarkEnd w:id="220"/>
      <w:bookmarkEnd w:id="221"/>
      <w:bookmarkEnd w:id="222"/>
      <w:bookmarkEnd w:id="223"/>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4" w:name="_Toc14422"/>
      <w:r>
        <w:rPr>
          <w:rFonts w:hint="eastAsia" w:ascii="微软雅黑" w:hAnsi="微软雅黑" w:eastAsia="微软雅黑" w:cs="微软雅黑"/>
          <w:b w:val="0"/>
          <w:sz w:val="28"/>
        </w:rPr>
        <w:br w:type="page"/>
      </w:r>
      <w:bookmarkStart w:id="225" w:name="_Toc12335"/>
      <w:bookmarkStart w:id="226" w:name="_Toc76462354"/>
      <w:bookmarkStart w:id="227" w:name="_Toc106030910"/>
      <w:bookmarkStart w:id="228" w:name="_Toc8805"/>
      <w:r>
        <w:rPr>
          <w:rFonts w:hint="eastAsia" w:ascii="微软雅黑" w:hAnsi="微软雅黑" w:eastAsia="微软雅黑" w:cs="微软雅黑"/>
          <w:sz w:val="24"/>
        </w:rPr>
        <w:t>五、其他资料</w:t>
      </w:r>
      <w:bookmarkEnd w:id="224"/>
      <w:bookmarkEnd w:id="225"/>
      <w:bookmarkEnd w:id="226"/>
      <w:bookmarkEnd w:id="227"/>
      <w:bookmarkEnd w:id="228"/>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（一）其他与项目有关的资料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A312282"/>
    <w:multiLevelType w:val="singleLevel"/>
    <w:tmpl w:val="3A312282"/>
    <w:lvl w:ilvl="0" w:tentative="0">
      <w:start w:val="1"/>
      <w:numFmt w:val="decimal"/>
      <w:lvlText w:val="%1."/>
      <w:lvlJc w:val="left"/>
      <w:pPr>
        <w:tabs>
          <w:tab w:val="left" w:pos="312"/>
        </w:tabs>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3"/>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79B568B"/>
    <w:rsid w:val="07F103E0"/>
    <w:rsid w:val="08257811"/>
    <w:rsid w:val="092E6FC0"/>
    <w:rsid w:val="0A010D6F"/>
    <w:rsid w:val="0A362FD0"/>
    <w:rsid w:val="0A9D4FA8"/>
    <w:rsid w:val="0AED6133"/>
    <w:rsid w:val="0BB87E47"/>
    <w:rsid w:val="0C994BB4"/>
    <w:rsid w:val="0CF75B4D"/>
    <w:rsid w:val="0D0C7689"/>
    <w:rsid w:val="0D1F249B"/>
    <w:rsid w:val="0D26388C"/>
    <w:rsid w:val="0D2D45FA"/>
    <w:rsid w:val="0D9D537B"/>
    <w:rsid w:val="0DAE5F1C"/>
    <w:rsid w:val="0F4F0F37"/>
    <w:rsid w:val="1009316D"/>
    <w:rsid w:val="112E1BB3"/>
    <w:rsid w:val="115C3EAF"/>
    <w:rsid w:val="11E97BB4"/>
    <w:rsid w:val="12D87969"/>
    <w:rsid w:val="14093EF5"/>
    <w:rsid w:val="140E691A"/>
    <w:rsid w:val="147A5E14"/>
    <w:rsid w:val="148D1984"/>
    <w:rsid w:val="14D11CFB"/>
    <w:rsid w:val="153901DE"/>
    <w:rsid w:val="15935DB5"/>
    <w:rsid w:val="15BB3449"/>
    <w:rsid w:val="171C1EE4"/>
    <w:rsid w:val="17324323"/>
    <w:rsid w:val="17A1211B"/>
    <w:rsid w:val="18ED7A84"/>
    <w:rsid w:val="19255AF5"/>
    <w:rsid w:val="19401112"/>
    <w:rsid w:val="19740A13"/>
    <w:rsid w:val="1A5915C0"/>
    <w:rsid w:val="1A7E6296"/>
    <w:rsid w:val="1B5937A3"/>
    <w:rsid w:val="1C63795D"/>
    <w:rsid w:val="1E2C5A53"/>
    <w:rsid w:val="1F0D01CA"/>
    <w:rsid w:val="21226BB2"/>
    <w:rsid w:val="21864056"/>
    <w:rsid w:val="222348FC"/>
    <w:rsid w:val="22F860AB"/>
    <w:rsid w:val="23366F63"/>
    <w:rsid w:val="2486441F"/>
    <w:rsid w:val="24A97106"/>
    <w:rsid w:val="24F20B55"/>
    <w:rsid w:val="2550440C"/>
    <w:rsid w:val="263535D3"/>
    <w:rsid w:val="2785272A"/>
    <w:rsid w:val="286153F5"/>
    <w:rsid w:val="2895673E"/>
    <w:rsid w:val="29601F8B"/>
    <w:rsid w:val="296F02CD"/>
    <w:rsid w:val="2AA01F44"/>
    <w:rsid w:val="2C43216E"/>
    <w:rsid w:val="2CD472B8"/>
    <w:rsid w:val="2DB02B6B"/>
    <w:rsid w:val="2FD2000A"/>
    <w:rsid w:val="300C58E0"/>
    <w:rsid w:val="30607DAE"/>
    <w:rsid w:val="312C1210"/>
    <w:rsid w:val="31DA5A58"/>
    <w:rsid w:val="32FD7152"/>
    <w:rsid w:val="32FE4017"/>
    <w:rsid w:val="332D1E43"/>
    <w:rsid w:val="361F2D7D"/>
    <w:rsid w:val="37556B60"/>
    <w:rsid w:val="37660142"/>
    <w:rsid w:val="38CD7FDC"/>
    <w:rsid w:val="3ACE5D4F"/>
    <w:rsid w:val="3B89534D"/>
    <w:rsid w:val="3C55524B"/>
    <w:rsid w:val="3CCE1388"/>
    <w:rsid w:val="3CED5AB6"/>
    <w:rsid w:val="3DC14F27"/>
    <w:rsid w:val="3DDD46D4"/>
    <w:rsid w:val="3DF6488D"/>
    <w:rsid w:val="3E2734A9"/>
    <w:rsid w:val="3E2D176B"/>
    <w:rsid w:val="3E5E05BF"/>
    <w:rsid w:val="3F1C71CA"/>
    <w:rsid w:val="3F464493"/>
    <w:rsid w:val="3F5929D1"/>
    <w:rsid w:val="3FD67934"/>
    <w:rsid w:val="406334F2"/>
    <w:rsid w:val="409F14A1"/>
    <w:rsid w:val="415F6EA3"/>
    <w:rsid w:val="42E4764C"/>
    <w:rsid w:val="430E0DFF"/>
    <w:rsid w:val="43291680"/>
    <w:rsid w:val="44256EDB"/>
    <w:rsid w:val="452C7897"/>
    <w:rsid w:val="46151D23"/>
    <w:rsid w:val="46D026EE"/>
    <w:rsid w:val="476B30BF"/>
    <w:rsid w:val="48783FC8"/>
    <w:rsid w:val="494C6B8D"/>
    <w:rsid w:val="497B7CB3"/>
    <w:rsid w:val="4A286398"/>
    <w:rsid w:val="4A8845CE"/>
    <w:rsid w:val="4B2D12E0"/>
    <w:rsid w:val="4BEB6B31"/>
    <w:rsid w:val="4D1D2982"/>
    <w:rsid w:val="4DD36371"/>
    <w:rsid w:val="4E854372"/>
    <w:rsid w:val="4EEC1F3B"/>
    <w:rsid w:val="4F070047"/>
    <w:rsid w:val="4F3C244F"/>
    <w:rsid w:val="4FCD30B4"/>
    <w:rsid w:val="5115115D"/>
    <w:rsid w:val="521E4A24"/>
    <w:rsid w:val="52306CBC"/>
    <w:rsid w:val="5232269F"/>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CA67F0E"/>
    <w:rsid w:val="5CC4593C"/>
    <w:rsid w:val="5CE0669B"/>
    <w:rsid w:val="5DAD4E7C"/>
    <w:rsid w:val="5DC6466B"/>
    <w:rsid w:val="5ED10334"/>
    <w:rsid w:val="5F0271B4"/>
    <w:rsid w:val="60B01C37"/>
    <w:rsid w:val="60CB5C8F"/>
    <w:rsid w:val="61A33550"/>
    <w:rsid w:val="62164EC7"/>
    <w:rsid w:val="633157F8"/>
    <w:rsid w:val="648E3C9A"/>
    <w:rsid w:val="64DA4767"/>
    <w:rsid w:val="65170F5B"/>
    <w:rsid w:val="65215328"/>
    <w:rsid w:val="658B38AE"/>
    <w:rsid w:val="660232D5"/>
    <w:rsid w:val="663C214A"/>
    <w:rsid w:val="665B2E8B"/>
    <w:rsid w:val="670A099E"/>
    <w:rsid w:val="688B0082"/>
    <w:rsid w:val="68BD663A"/>
    <w:rsid w:val="692F74C0"/>
    <w:rsid w:val="696405DD"/>
    <w:rsid w:val="69BE2355"/>
    <w:rsid w:val="6B75107A"/>
    <w:rsid w:val="6BFE1706"/>
    <w:rsid w:val="6C55768A"/>
    <w:rsid w:val="6D5236ED"/>
    <w:rsid w:val="6E123B42"/>
    <w:rsid w:val="6E2B5D12"/>
    <w:rsid w:val="6FE969BF"/>
    <w:rsid w:val="701245F9"/>
    <w:rsid w:val="71175C34"/>
    <w:rsid w:val="71A31538"/>
    <w:rsid w:val="74D70DF7"/>
    <w:rsid w:val="74DA5656"/>
    <w:rsid w:val="75043B07"/>
    <w:rsid w:val="750950F5"/>
    <w:rsid w:val="750D16CF"/>
    <w:rsid w:val="763F7532"/>
    <w:rsid w:val="773622B4"/>
    <w:rsid w:val="77D50611"/>
    <w:rsid w:val="78334D0D"/>
    <w:rsid w:val="789F3DA6"/>
    <w:rsid w:val="78A52377"/>
    <w:rsid w:val="79036C35"/>
    <w:rsid w:val="79082185"/>
    <w:rsid w:val="796075AF"/>
    <w:rsid w:val="79FB3E99"/>
    <w:rsid w:val="7A6F77AB"/>
    <w:rsid w:val="7ABA3FBA"/>
    <w:rsid w:val="7B5B7497"/>
    <w:rsid w:val="7BEF5F10"/>
    <w:rsid w:val="7D9563F1"/>
    <w:rsid w:val="7DF569B3"/>
    <w:rsid w:val="7EB03BCE"/>
    <w:rsid w:val="7EDF2436"/>
    <w:rsid w:val="7EE54B76"/>
    <w:rsid w:val="7F746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1</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2026-03-04T00:21:37Z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