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lang w:val="en-US" w:eastAsia="zh-CN"/>
        </w:rPr>
        <w:t>YSB260071</w:t>
      </w: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项目名称：</w:t>
      </w:r>
      <w:bookmarkStart w:id="178" w:name="_GoBack"/>
      <w:r>
        <w:rPr>
          <w:rFonts w:hint="eastAsia" w:ascii="微软雅黑" w:hAnsi="微软雅黑" w:eastAsia="微软雅黑" w:cs="微软雅黑"/>
          <w:color w:val="auto"/>
          <w:sz w:val="36"/>
          <w:szCs w:val="36"/>
          <w:u w:val="single"/>
          <w:lang w:val="en-US" w:eastAsia="zh-CN"/>
        </w:rPr>
        <w:t>离体微血管张力测量灌注(灌流)系统</w:t>
      </w:r>
      <w:bookmarkEnd w:id="178"/>
    </w:p>
    <w:p>
      <w:pPr>
        <w:spacing w:line="700" w:lineRule="exact"/>
        <w:rPr>
          <w:rFonts w:hint="eastAsia" w:ascii="微软雅黑" w:hAnsi="微软雅黑" w:eastAsia="微软雅黑" w:cs="微软雅黑"/>
          <w:b/>
          <w:color w:val="auto"/>
          <w:sz w:val="36"/>
          <w:szCs w:val="36"/>
        </w:rPr>
      </w:pPr>
    </w:p>
    <w:p>
      <w:pPr>
        <w:spacing w:line="500" w:lineRule="exact"/>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7</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"_Toc27110"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"_Toc13094"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_Toc13094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"_Toc14168"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二、投标人资格条件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_Toc14168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"_Toc9183"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_Toc9183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"_Toc26664"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_Toc26664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"_Toc24100"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_Toc24100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"_Toc21079"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rPr>
        <w:t xml:space="preserve">    </w:t>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"_Toc22327"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_Toc22327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"_Toc14433"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一、项目一览表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_Toc14433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"_Toc18675"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二、项目技术需求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"_Toc12473"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_Toc12473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"_Toc19431"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第四篇  公开比选程序及方法、评审标准、无效响应和采购终止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_Toc19431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"_Toc26127"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_Toc26127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"_Toc27374"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_Toc27374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"_Toc24315"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_Toc24315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"_Toc17606"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_Toc17606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"_Toc12222"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_Toc12222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"_Toc13119"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第五篇  投标人须知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"_Toc20271"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_Toc20271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"_Toc27891"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二、公开比选采购文件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_Toc27891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"_Toc20510"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_Toc20510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"_Toc32166"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_Toc32166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"_Toc2729"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"_Toc4796"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六、质疑处理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_Toc4796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"_Toc23896"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_Toc23896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"_Toc17526"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_Toc17526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"_Toc11260"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_Toc11260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"_Toc2495"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二、服务部分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_Toc2495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"_Toc12962"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_Toc12962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"_Toc13280"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_Toc13280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"_Toc13605"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_Toc13605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27110"/>
      <w:bookmarkStart w:id="1" w:name="_Toc11641050"/>
      <w:bookmarkStart w:id="2" w:name="_Toc24037"/>
      <w:bookmarkStart w:id="3" w:name="_Toc106030870"/>
      <w:bookmarkStart w:id="4" w:name="_Toc76462316"/>
      <w:bookmarkStart w:id="5" w:name="_Toc12789052"/>
      <w:r>
        <w:rPr>
          <w:rFonts w:hint="eastAsia" w:ascii="微软雅黑" w:hAnsi="微软雅黑" w:eastAsia="微软雅黑" w:cs="微软雅黑"/>
          <w:sz w:val="44"/>
        </w:rPr>
        <w:t>第一篇  采购邀请书</w:t>
      </w:r>
      <w:bookmarkEnd w:id="0"/>
      <w:bookmarkEnd w:id="1"/>
      <w:bookmarkEnd w:id="2"/>
      <w:bookmarkEnd w:id="3"/>
      <w:bookmarkEnd w:id="4"/>
      <w:bookmarkEnd w:id="5"/>
    </w:p>
    <w:p>
      <w:pPr>
        <w:rPr>
          <w:rFonts w:hint="eastAsia" w:ascii="微软雅黑" w:hAnsi="微软雅黑" w:eastAsia="微软雅黑" w:cs="微软雅黑"/>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lang w:val="en-US" w:eastAsia="zh-CN"/>
        </w:rPr>
        <w:t>离体微血管张力测量灌注(灌流)系统</w:t>
      </w:r>
      <w:r>
        <w:rPr>
          <w:rFonts w:hint="eastAsia" w:ascii="微软雅黑" w:hAnsi="微软雅黑" w:eastAsia="微软雅黑" w:cs="微软雅黑"/>
          <w:sz w:val="24"/>
          <w:szCs w:val="24"/>
        </w:rPr>
        <w:t>项目进行公开比选采购。欢迎有资格的投标人前来参与。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317775175"/>
      <w:bookmarkStart w:id="7" w:name="_Toc13094"/>
      <w:bookmarkStart w:id="8" w:name="_Toc313893526"/>
      <w:bookmarkStart w:id="9" w:name="_Toc3856"/>
      <w:bookmarkStart w:id="10" w:name="_Toc76462317"/>
      <w:bookmarkStart w:id="11" w:name="_Toc106030871"/>
      <w:r>
        <w:rPr>
          <w:rFonts w:hint="eastAsia" w:ascii="微软雅黑" w:hAnsi="微软雅黑" w:eastAsia="微软雅黑" w:cs="微软雅黑"/>
          <w:sz w:val="24"/>
        </w:rPr>
        <w:t>公开比选采购内容</w:t>
      </w:r>
      <w:bookmarkEnd w:id="6"/>
      <w:bookmarkEnd w:id="7"/>
      <w:bookmarkEnd w:id="8"/>
      <w:bookmarkEnd w:id="9"/>
      <w:bookmarkEnd w:id="10"/>
      <w:bookmarkEnd w:id="11"/>
    </w:p>
    <w:tbl>
      <w:tblPr>
        <w:tblStyle w:val="58"/>
        <w:tblW w:w="43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7"/>
        <w:gridCol w:w="2872"/>
        <w:gridCol w:w="1234"/>
        <w:gridCol w:w="854"/>
        <w:gridCol w:w="1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3" w:hRule="atLeast"/>
          <w:jc w:val="center"/>
        </w:trPr>
        <w:tc>
          <w:tcPr>
            <w:tcW w:w="932"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76462318"/>
            <w:bookmarkStart w:id="13" w:name="_Toc106030872"/>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75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753" w:type="pct"/>
            <w:tcBorders>
              <w:top w:val="single" w:color="auto" w:sz="4" w:space="0"/>
              <w:left w:val="single" w:color="auto" w:sz="4" w:space="0"/>
              <w:right w:val="single" w:color="auto" w:sz="4" w:space="0"/>
            </w:tcBorders>
            <w:vAlign w:val="center"/>
          </w:tcPr>
          <w:p>
            <w:pPr>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最高限价（万元）</w:t>
            </w:r>
          </w:p>
        </w:tc>
        <w:tc>
          <w:tcPr>
            <w:tcW w:w="521"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037" w:type="pct"/>
            <w:tcBorders>
              <w:top w:val="single" w:color="auto" w:sz="4" w:space="0"/>
              <w:left w:val="single" w:color="auto" w:sz="4" w:space="0"/>
              <w:right w:val="single" w:color="auto" w:sz="4" w:space="0"/>
            </w:tcBorders>
            <w:vAlign w:val="center"/>
          </w:tcPr>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32"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0000FF"/>
                <w:kern w:val="0"/>
                <w:sz w:val="21"/>
                <w:szCs w:val="21"/>
                <w:lang w:val="en-US" w:eastAsia="zh-CN"/>
              </w:rPr>
            </w:pPr>
            <w:r>
              <w:rPr>
                <w:rFonts w:hint="eastAsia" w:ascii="微软雅黑" w:hAnsi="微软雅黑" w:eastAsia="微软雅黑" w:cs="微软雅黑"/>
                <w:sz w:val="21"/>
                <w:szCs w:val="21"/>
                <w:lang w:val="en-US" w:eastAsia="zh-CN"/>
              </w:rPr>
              <w:t>YSB260071</w:t>
            </w:r>
          </w:p>
        </w:tc>
        <w:tc>
          <w:tcPr>
            <w:tcW w:w="1754"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离体微血管张力测量灌注(灌流)系统</w:t>
            </w:r>
          </w:p>
        </w:tc>
        <w:tc>
          <w:tcPr>
            <w:tcW w:w="753"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0000FF"/>
                <w:sz w:val="21"/>
                <w:szCs w:val="21"/>
                <w:lang w:val="en-US" w:eastAsia="zh-CN"/>
              </w:rPr>
            </w:pPr>
            <w:r>
              <w:rPr>
                <w:rFonts w:hint="eastAsia" w:ascii="微软雅黑" w:hAnsi="微软雅黑" w:eastAsia="微软雅黑" w:cs="微软雅黑"/>
                <w:color w:val="auto"/>
                <w:sz w:val="21"/>
                <w:szCs w:val="21"/>
                <w:lang w:val="en-US" w:eastAsia="zh-CN"/>
              </w:rPr>
              <w:t>45</w:t>
            </w:r>
          </w:p>
        </w:tc>
        <w:tc>
          <w:tcPr>
            <w:tcW w:w="5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2000</w:t>
            </w:r>
          </w:p>
        </w:tc>
        <w:tc>
          <w:tcPr>
            <w:tcW w:w="10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14168"/>
      <w:r>
        <w:rPr>
          <w:rFonts w:hint="eastAsia" w:ascii="微软雅黑" w:hAnsi="微软雅黑" w:eastAsia="微软雅黑" w:cs="微软雅黑"/>
          <w:sz w:val="24"/>
        </w:rPr>
        <w:t>二、</w:t>
      </w:r>
      <w:bookmarkEnd w:id="12"/>
      <w:bookmarkEnd w:id="13"/>
      <w:bookmarkEnd w:id="16"/>
      <w:bookmarkStart w:id="18" w:name="_Toc76462319"/>
      <w:bookmarkStart w:id="19" w:name="_Toc106030873"/>
      <w:bookmarkStart w:id="20" w:name="_Toc4480"/>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9183"/>
      <w:bookmarkStart w:id="22" w:name="_Toc106030874"/>
      <w:bookmarkStart w:id="23" w:name="_Toc76462320"/>
      <w:bookmarkStart w:id="24" w:name="_Toc279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投标人医疗器械经营许可证。</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生产企业的医疗器械生产企业许可证和生产目录表。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所投产品属三类医疗器械的，须具备有效期内《医疗器械经营企业许可证》或《医疗器械经营许可证》及产品注册证。</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所提供产品属二类医疗器械的，须具备有效期内《医疗器械经营企业许可证》或《第二类医疗器械经营备案凭证》及产品注册证。</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须具有所提供产品《第一类医疗器械备案凭证》及《第一类医疗器械备案信息表》及产品备案。</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7</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所提供产品不属于医疗器械的无需提供上述第2-6款材料。</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b/>
          <w:bCs/>
          <w:sz w:val="24"/>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公开比选采购的投标人，请在重庆医科大学附属儿童医院电子招投标平台下载本项目公开比选采购文件以及其他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525047161"/>
      <w:bookmarkStart w:id="26" w:name="_Toc6178"/>
      <w:bookmarkStart w:id="27" w:name="_Toc65660334"/>
      <w:bookmarkStart w:id="28" w:name="_Toc26664"/>
      <w:bookmarkStart w:id="29" w:name="_Toc11956"/>
      <w:bookmarkStart w:id="30" w:name="_Toc12841"/>
      <w:bookmarkStart w:id="31" w:name="_Toc106034625"/>
      <w:bookmarkStart w:id="32" w:name="_Toc521053053"/>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的保证金，在中标通知书发放后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采购管理处办</w:t>
      </w:r>
      <w:r>
        <w:rPr>
          <w:rFonts w:hint="eastAsia" w:ascii="微软雅黑" w:hAnsi="微软雅黑" w:eastAsia="微软雅黑" w:cs="微软雅黑"/>
          <w:sz w:val="24"/>
          <w:szCs w:val="24"/>
        </w:rPr>
        <w:t>公室（将合同扫描文件发送至zbb63632469@qq.com）之后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日内，无息退还至项目报名时所填写的投标单位对公账户。</w:t>
      </w:r>
    </w:p>
    <w:p>
      <w:pPr>
        <w:snapToGrid w:val="0"/>
        <w:spacing w:line="400" w:lineRule="exact"/>
        <w:ind w:firstLine="480" w:firstLineChars="200"/>
        <w:rPr>
          <w:rFonts w:hint="eastAsia" w:ascii="微软雅黑" w:hAnsi="微软雅黑" w:eastAsia="微软雅黑" w:cs="微软雅黑"/>
          <w:sz w:val="24"/>
          <w:szCs w:val="24"/>
        </w:rPr>
      </w:pPr>
      <w:bookmarkStart w:id="33" w:name="_Toc4355"/>
      <w:bookmarkStart w:id="34" w:name="_Toc521053054"/>
      <w:bookmarkStart w:id="35" w:name="_Toc2945"/>
      <w:bookmarkStart w:id="36" w:name="_Toc65660335"/>
      <w:bookmarkStart w:id="37" w:name="_Toc106034626"/>
      <w:bookmarkStart w:id="38" w:name="_Toc525047162"/>
      <w:bookmarkStart w:id="39" w:name="_Toc24100"/>
      <w:bookmarkStart w:id="40" w:name="_Toc1546"/>
      <w:r>
        <w:rPr>
          <w:rFonts w:hint="eastAsia" w:ascii="微软雅黑" w:hAnsi="微软雅黑" w:eastAsia="微软雅黑" w:cs="微软雅黑"/>
          <w:sz w:val="24"/>
          <w:szCs w:val="24"/>
        </w:rPr>
        <w:t>（三）投标人有下列情形之一的，采购人应当不退还投标保证金：</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1.投标人在投标过程中弄虚作假，提供虚假材料的；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2.中标人无正当理由不与采购人签订合同的；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3.中标人将中标项目转让给他人或者在响应文件中未说明且未经采购人同意，将中标项目分包给他人的；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4.中标人拒绝履行合同义务的；</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b w:val="0"/>
          <w:kern w:val="2"/>
          <w:sz w:val="24"/>
          <w:szCs w:val="24"/>
          <w:lang w:val="en-US" w:eastAsia="zh-CN" w:bidi="ar-SA"/>
        </w:rPr>
        <w:t>5.其他严重扰乱招投标程</w:t>
      </w:r>
      <w:r>
        <w:rPr>
          <w:rFonts w:hint="eastAsia" w:ascii="微软雅黑" w:hAnsi="微软雅黑" w:eastAsia="微软雅黑" w:cs="微软雅黑"/>
          <w:b w:val="0"/>
          <w:bCs w:val="0"/>
          <w:kern w:val="2"/>
          <w:sz w:val="24"/>
          <w:szCs w:val="24"/>
          <w:lang w:val="en-US" w:eastAsia="zh-CN" w:bidi="ar-SA"/>
        </w:rPr>
        <w:t>序的</w:t>
      </w:r>
      <w:r>
        <w:rPr>
          <w:rFonts w:hint="eastAsia" w:ascii="微软雅黑" w:hAnsi="微软雅黑" w:eastAsia="微软雅黑" w:cs="微软雅黑"/>
          <w:b w:val="0"/>
          <w:bCs w:val="0"/>
          <w:sz w:val="24"/>
          <w:szCs w:val="24"/>
        </w:rPr>
        <w:t>。</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五、</w:t>
      </w:r>
      <w:bookmarkEnd w:id="33"/>
      <w:bookmarkEnd w:id="34"/>
      <w:bookmarkEnd w:id="35"/>
      <w:bookmarkEnd w:id="36"/>
      <w:bookmarkEnd w:id="37"/>
      <w:bookmarkEnd w:id="38"/>
      <w:bookmarkStart w:id="41" w:name="_Toc16269"/>
      <w:bookmarkStart w:id="42" w:name="_Toc521053055"/>
      <w:bookmarkStart w:id="43" w:name="_Toc6563"/>
      <w:bookmarkStart w:id="44" w:name="_Toc106034627"/>
      <w:bookmarkStart w:id="45" w:name="_Toc525047163"/>
      <w:bookmarkStart w:id="46" w:name="_Toc65660336"/>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公室，否则即视为完全放弃对本公开比选采购文件的质疑权利。如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（三）投标人应仔细阅读和检查公开比选采购文件的全部内容。如发现缺页或附件不全，应及时提出，以便补齐。如有疑问，请在投标截止日前向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不再受理对于公开比选采购文件的疑问。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21079"/>
      <w:bookmarkStart w:id="48" w:name="_Toc1733"/>
      <w:bookmarkStart w:id="49" w:name="_Toc65660337"/>
      <w:bookmarkStart w:id="50" w:name="_Toc106034628"/>
      <w:bookmarkStart w:id="51" w:name="_Toc10415"/>
      <w:bookmarkStart w:id="52" w:name="_Toc521053056"/>
      <w:bookmarkStart w:id="53" w:name="_Toc24901"/>
      <w:bookmarkStart w:id="54" w:name="_Toc525047164"/>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pStyle w:val="3"/>
        <w:tabs>
          <w:tab w:val="left" w:pos="3360"/>
        </w:tabs>
        <w:spacing w:line="240" w:lineRule="auto"/>
        <w:jc w:val="center"/>
        <w:rPr>
          <w:rFonts w:hint="eastAsia" w:ascii="微软雅黑" w:hAnsi="微软雅黑" w:eastAsia="微软雅黑" w:cs="微软雅黑"/>
          <w:b/>
          <w:sz w:val="44"/>
        </w:rPr>
      </w:pPr>
      <w:bookmarkStart w:id="55" w:name="_Toc25639"/>
      <w:bookmarkStart w:id="56" w:name="_Toc12959"/>
      <w:bookmarkStart w:id="57" w:name="_Toc26176"/>
      <w:bookmarkStart w:id="58" w:name="_Toc8649"/>
      <w:bookmarkStart w:id="59" w:name="_Toc19886"/>
      <w:bookmarkStart w:id="60" w:name="_Toc1492"/>
      <w:bookmarkStart w:id="61" w:name="_Toc75793504"/>
      <w:bookmarkStart w:id="62" w:name="_Toc23143"/>
      <w:bookmarkStart w:id="63" w:name="_Toc725"/>
      <w:bookmarkStart w:id="64" w:name="_Toc2422"/>
      <w:bookmarkStart w:id="65" w:name="_Toc11017"/>
      <w:bookmarkStart w:id="66" w:name="_Toc5461"/>
      <w:bookmarkStart w:id="67" w:name="_Toc2070"/>
      <w:bookmarkStart w:id="68" w:name="_Toc32686"/>
      <w:bookmarkStart w:id="69" w:name="_Toc1625"/>
      <w:bookmarkStart w:id="70" w:name="_Toc22327"/>
      <w:bookmarkStart w:id="71" w:name="_Toc106030380"/>
      <w:bookmarkStart w:id="72" w:name="_Toc12789058"/>
      <w:r>
        <w:rPr>
          <w:rFonts w:hint="eastAsia" w:ascii="微软雅黑" w:hAnsi="微软雅黑" w:eastAsia="微软雅黑" w:cs="微软雅黑"/>
          <w:b/>
          <w:sz w:val="44"/>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sz w:val="44"/>
        </w:rPr>
        <w:t>项目技术（质量）需求</w:t>
      </w:r>
      <w:bookmarkEnd w:id="70"/>
      <w:bookmarkEnd w:id="71"/>
    </w:p>
    <w:p>
      <w:pPr>
        <w:ind w:firstLine="480" w:firstLineChars="200"/>
        <w:rPr>
          <w:rFonts w:hint="eastAsia" w:ascii="微软雅黑" w:hAnsi="微软雅黑" w:eastAsia="微软雅黑" w:cs="微软雅黑"/>
          <w:b/>
          <w:bCs/>
          <w:sz w:val="24"/>
          <w:szCs w:val="24"/>
        </w:rPr>
      </w:pPr>
      <w:bookmarkStart w:id="73" w:name="_Toc4519"/>
      <w:bookmarkStart w:id="74" w:name="_Toc75793505"/>
      <w:bookmarkStart w:id="75" w:name="_Toc29985"/>
      <w:bookmarkStart w:id="76" w:name="_Toc4913"/>
      <w:bookmarkStart w:id="77" w:name="_Toc20979"/>
      <w:bookmarkStart w:id="78" w:name="_Toc8370"/>
      <w:bookmarkStart w:id="79" w:name="_Toc7027"/>
      <w:bookmarkStart w:id="80" w:name="_Toc22910"/>
      <w:bookmarkStart w:id="81" w:name="_Toc14433"/>
      <w:bookmarkStart w:id="82" w:name="_Toc23656"/>
      <w:bookmarkStart w:id="83" w:name="_Toc106030381"/>
      <w:bookmarkStart w:id="84" w:name="_Toc4531"/>
      <w:bookmarkStart w:id="85" w:name="_Toc19238"/>
      <w:bookmarkStart w:id="86" w:name="_Toc23504"/>
      <w:bookmarkStart w:id="87" w:name="_Toc11703"/>
      <w:bookmarkStart w:id="88" w:name="_Toc9261"/>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14"/>
        <w:gridCol w:w="1462"/>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340"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361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462"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462" w:type="dxa"/>
            <w:vAlign w:val="center"/>
          </w:tcPr>
          <w:p>
            <w:pPr>
              <w:jc w:val="center"/>
              <w:rPr>
                <w:rFonts w:hint="eastAsia"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40" w:type="dxa"/>
            <w:vAlign w:val="center"/>
          </w:tcPr>
          <w:p>
            <w:pPr>
              <w:pStyle w:val="23"/>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3614" w:type="dxa"/>
            <w:vAlign w:val="center"/>
          </w:tcPr>
          <w:p>
            <w:pPr>
              <w:jc w:val="center"/>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sz w:val="21"/>
                <w:szCs w:val="21"/>
                <w:lang w:val="en-US" w:eastAsia="zh-CN"/>
              </w:rPr>
              <w:t>离体微血管张力测量灌注(灌流)系统</w:t>
            </w:r>
          </w:p>
        </w:tc>
        <w:tc>
          <w:tcPr>
            <w:tcW w:w="1462" w:type="dxa"/>
            <w:vAlign w:val="center"/>
          </w:tcPr>
          <w:p>
            <w:pPr>
              <w:jc w:val="center"/>
              <w:rPr>
                <w:rFonts w:hint="default" w:ascii="微软雅黑" w:hAnsi="微软雅黑" w:eastAsia="微软雅黑" w:cs="微软雅黑"/>
                <w:color w:val="0000FF"/>
                <w:sz w:val="21"/>
                <w:szCs w:val="21"/>
                <w:lang w:val="en-US" w:eastAsia="zh-CN"/>
              </w:rPr>
            </w:pPr>
            <w:r>
              <w:rPr>
                <w:rFonts w:hint="eastAsia" w:ascii="微软雅黑" w:hAnsi="微软雅黑" w:eastAsia="微软雅黑" w:cs="微软雅黑"/>
                <w:color w:val="auto"/>
                <w:sz w:val="21"/>
                <w:szCs w:val="21"/>
                <w:lang w:val="en-US" w:eastAsia="zh-CN"/>
              </w:rPr>
              <w:t>1套</w:t>
            </w:r>
          </w:p>
        </w:tc>
        <w:tc>
          <w:tcPr>
            <w:tcW w:w="1462" w:type="dxa"/>
            <w:vAlign w:val="center"/>
          </w:tcPr>
          <w:p>
            <w:pPr>
              <w:jc w:val="center"/>
              <w:rPr>
                <w:rFonts w:hint="default" w:ascii="微软雅黑" w:hAnsi="微软雅黑" w:eastAsia="微软雅黑" w:cs="微软雅黑"/>
                <w:color w:val="0000FF"/>
                <w:sz w:val="21"/>
                <w:szCs w:val="21"/>
                <w:lang w:val="en-US" w:eastAsia="zh-CN"/>
              </w:rPr>
            </w:pPr>
          </w:p>
        </w:tc>
      </w:tr>
    </w:tbl>
    <w:p>
      <w:pPr>
        <w:snapToGrid w:val="0"/>
        <w:spacing w:line="400" w:lineRule="exact"/>
        <w:ind w:firstLine="480" w:firstLineChars="200"/>
        <w:rPr>
          <w:rFonts w:hint="default" w:ascii="微软雅黑" w:hAnsi="微软雅黑" w:eastAsia="微软雅黑" w:cs="微软雅黑"/>
          <w:b/>
          <w:bCs/>
          <w:sz w:val="24"/>
          <w:szCs w:val="24"/>
          <w:lang w:val="en-US" w:eastAsia="zh-CN"/>
        </w:rPr>
      </w:pPr>
      <w:bookmarkStart w:id="89" w:name="_Toc76462327"/>
      <w:bookmarkStart w:id="90" w:name="_Toc7791"/>
      <w:bookmarkStart w:id="91" w:name="_Toc106030882"/>
      <w:bookmarkStart w:id="92" w:name="_Toc12473"/>
      <w:r>
        <w:rPr>
          <w:rFonts w:hint="eastAsia" w:ascii="微软雅黑" w:hAnsi="微软雅黑" w:eastAsia="微软雅黑" w:cs="微软雅黑"/>
          <w:b/>
          <w:bCs/>
          <w:sz w:val="24"/>
          <w:szCs w:val="24"/>
          <w:lang w:val="en-US" w:eastAsia="zh-CN"/>
        </w:rPr>
        <w:t>二、项目技术要求</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1.技术参数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※1.1功能要求：可测量直径≤300μm的微血管，需提供≥2篇SCI文献作为证明材料；提供的文献需包含投标产品名称及品牌信息，并明确标明样本直径范围，支持现场查阅。</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※1.2适用的大鼠样本：可测量大鼠肾动脉、肠系膜动脉血管，需提供≥2篇SCI文献作为证明材料；提供的文献需包含投标产品名称及品牌信息，并明确标明样本名称，支持现场查阅。</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▲1.3适用的小鼠样本：可测量小鼠肠系膜动脉、脑动脉或冠状动脉等外周微血管，需提供SCI文献作为证明材料；提供的文献需包含投标产品名称及品牌信息，并明确标明实验动物和动脉血管名称，支持现场查阅。</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○1.4通道数：≥4通道。</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○1.5样本固定架：同时提供直径≤450μm微小血管专用固定架以及大血管专用的针式固定架。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○1.6微血管初始预张力计算：软件可自动连接张力仪主机采集数字信号计算微血管最适初始预张力，不需要连接任何生理记录仪，也可离线添加数值计算。</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▲1.7换能器量程范围：不依赖软件设置，主机实测量程最低≤-80mN，最高≤400mN。</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○1.8张力信号输出范围：最低≤200mN。</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○1.9张力分辨率：主机屏幕显示张力分辨率≤0.1mN，软件分辨率≤0.01mN。</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○1.10换能器校正：内置校正功能，无需单位换算，内置换能器性能检测及性能参数显示功能。</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○1.11加热：内置电子加热，加热范围至少包括“环境温度”至“45℃”，温度分辨率≤0.1℃，温度稳定性≤±0.2℃。</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▲1.12张力信号显示：主机屏幕与软件可同步实时显示张力数据，主机屏幕与软件间的数据差≤0.2mN。</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○1.13浴槽：容积≤8ml，提供XYZ三轴方向位置调节功能。（需提供XYZ调节操作原理证明材料）</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○1.14浴槽废液吸收：自动抽吸，各通道含独立的排液控制阀，点击按键即可自动抽排废液，操作过程中无需插拔废液管，自动抽吸时间可在1-10秒范围内选择设置。</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○1.15浴槽：耐酸不锈钢材质（或更优）核心浴槽，可拆卸至显微镜下操作，血管固定无管路遮挡。</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○1.16数据输出：同时提供模拟输出及数字输出两种输出方式，可选择输出模拟信号连接生理记录仪；也可直接输出数字信号，通过数据线直接连接终端的软件，无需连接任何放大器和生理记录仪进行信号转化。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○1.17主机要求：金属材质结构机身，连接简单，实验过程中无需插拔任何连接管路，确保数据的稳定性和重复性。</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○1.18浴槽进气：各通道含独立的进气调节阀可独立控制，无需插拔氧气管。</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▲1.19缓冲液自动进液：提供缓冲液自动进液器，可维持缓冲液温度并持续通气，可同时为各通道进液，也可单独为某个通道进液，自动进液体积可设置，提供自动进排液持续清洗模式。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○1.20真空泵：抽气速度≥10L/min，搭配5L容积废液瓶。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○1.21显微器械：8cm长显微直剪，11cm长5号显微直镊；黑底培养皿直径不低于80mm，胶高不低于5mm。</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▲1.22需提供≥7篇客户使用投标产品或者同品牌同类产品发表的影响因子5分以上的SCI文献。（提供相关文献证明材料，即文献首页、文献产品标黄页、期刊官网影响因子截图，支持现场查阅）</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1.23体视显微成像系统</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○1.23.1光学系统：10°格林诺夫显微镜使用经过最佳校正的物镜中心部件；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▲1.23.2变倍比：≥9:1；</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▲1.23.3放大倍率范围（10x目镜，1x物镜或无辅助透镜下）：6.1x - 55x；</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○1.23.4观察筒：三目观察筒，带相机接口，瞳距：50mm-76mm，观察角度：≥35°；</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▲1.23.5视野（10x目镜，1x物镜或无辅助透镜下）：≥37.6mm；</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※1.23.6工作距离（10x目镜，1x物镜或无辅助透镜下）：≥122mm；</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▲1.23.7最大分辨率：≥500 lp/mm；</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○1.23.8调焦方式：手动变焦；</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○1.23.9照明系统：显微镜同品牌LED透射光照明，LED反射光照明，LED鹅颈光照明；</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※1.23.10成像系统：</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1）显微镜同品牌彩色COMS相机，确保兼容性；</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2）像素：≥1200万像素（4000*3000）；</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3）芯片尺寸：≥1/2.3英寸；</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4）像素大小：≥1.55微米 x 1.55微米；</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5）帧率：HDMI模式下/4K：≥60帧/秒；</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6）滤光片：≥650纳米红外截止滤光片。</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※2.配置</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2.1主机1台；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2.2数据分析系统1套；</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2.3备用张力换能器3个；</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2.4缓冲液自动进液器1台；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2.5真空泵1台；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2.6专用显微实验器械包1套；</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2.7体视显微成像系统1套：体视显微镜主机1台、目镜（10X/23mm）2个、三目镜筒（带C接口）1个、照明系统1套、成像系统（含软件等）1套。</w:t>
      </w:r>
    </w:p>
    <w:p>
      <w:pPr>
        <w:snapToGrid w:val="0"/>
        <w:spacing w:line="400" w:lineRule="exact"/>
        <w:ind w:firstLine="480" w:firstLineChars="200"/>
        <w:rPr>
          <w:rFonts w:hint="eastAsia" w:ascii="微软雅黑" w:hAnsi="微软雅黑" w:eastAsia="微软雅黑" w:cs="微软雅黑"/>
          <w:sz w:val="24"/>
          <w:szCs w:val="24"/>
        </w:rPr>
      </w:pPr>
    </w:p>
    <w:p>
      <w:pPr>
        <w:snapToGrid w:val="0"/>
        <w:spacing w:line="400" w:lineRule="exact"/>
        <w:ind w:firstLine="480" w:firstLineChars="200"/>
        <w:rPr>
          <w:rFonts w:hint="eastAsia" w:ascii="宋体" w:hAnsi="宋体" w:cs="宋体"/>
          <w:lang w:val="en-US" w:eastAsia="zh-CN"/>
        </w:rPr>
      </w:pPr>
      <w:r>
        <w:rPr>
          <w:rFonts w:hint="eastAsia" w:ascii="微软雅黑" w:hAnsi="微软雅黑" w:eastAsia="微软雅黑" w:cs="微软雅黑"/>
          <w:sz w:val="24"/>
          <w:szCs w:val="24"/>
          <w:lang w:val="en-US" w:eastAsia="zh-CN"/>
        </w:rPr>
        <w:t>注：</w:t>
      </w:r>
      <w:r>
        <w:rPr>
          <w:rFonts w:hint="eastAsia" w:ascii="微软雅黑" w:hAnsi="微软雅黑" w:eastAsia="微软雅黑" w:cs="微软雅黑"/>
          <w:sz w:val="24"/>
          <w:szCs w:val="24"/>
        </w:rPr>
        <w:t>以上参数要求请提供相应官网截图/产品彩页/产品说明书/检验报告等佐证材料（需生产厂家盖章、投标人盖章）。</w:t>
      </w:r>
      <w:r>
        <w:rPr>
          <w:rFonts w:hint="eastAsia" w:ascii="宋体" w:hAnsi="宋体" w:cs="宋体"/>
          <w:lang w:val="en-US" w:eastAsia="zh-CN"/>
        </w:rPr>
        <w:br w:type="page"/>
      </w:r>
    </w:p>
    <w:p>
      <w:pPr>
        <w:pStyle w:val="4"/>
        <w:spacing w:before="200" w:after="200" w:line="240" w:lineRule="auto"/>
        <w:jc w:val="center"/>
        <w:rPr>
          <w:rFonts w:hint="eastAsia" w:ascii="微软雅黑" w:hAnsi="微软雅黑" w:eastAsia="微软雅黑" w:cs="微软雅黑"/>
          <w:sz w:val="44"/>
        </w:rPr>
      </w:pPr>
      <w:r>
        <w:rPr>
          <w:rFonts w:hint="eastAsia" w:ascii="微软雅黑" w:hAnsi="微软雅黑" w:eastAsia="微软雅黑" w:cs="微软雅黑"/>
          <w:sz w:val="44"/>
        </w:rPr>
        <w:t xml:space="preserve">第三篇  </w:t>
      </w:r>
      <w:bookmarkEnd w:id="72"/>
      <w:r>
        <w:rPr>
          <w:rFonts w:hint="eastAsia" w:ascii="微软雅黑" w:hAnsi="微软雅黑" w:eastAsia="微软雅黑" w:cs="微软雅黑"/>
          <w:sz w:val="44"/>
        </w:rPr>
        <w:t>项目商务需求</w:t>
      </w:r>
      <w:bookmarkEnd w:id="89"/>
      <w:bookmarkEnd w:id="90"/>
      <w:bookmarkEnd w:id="91"/>
      <w:bookmarkEnd w:id="92"/>
    </w:p>
    <w:tbl>
      <w:tblPr>
        <w:tblStyle w:val="58"/>
        <w:tblW w:w="5284" w:type="pct"/>
        <w:tblInd w:w="-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6"/>
        <w:gridCol w:w="87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240" w:lineRule="auto"/>
              <w:ind w:firstLine="480" w:firstLineChars="200"/>
              <w:jc w:val="center"/>
              <w:rPr>
                <w:rFonts w:hint="eastAsia" w:ascii="微软雅黑" w:hAnsi="微软雅黑" w:eastAsia="微软雅黑" w:cs="微软雅黑"/>
                <w:color w:val="0000FF"/>
                <w:sz w:val="24"/>
                <w:szCs w:val="24"/>
              </w:rPr>
            </w:pPr>
            <w:bookmarkStart w:id="93" w:name="_Toc106030887"/>
            <w:bookmarkStart w:id="94" w:name="_Toc6692"/>
            <w:bookmarkStart w:id="95" w:name="_Toc76462332"/>
            <w:r>
              <w:rPr>
                <w:rFonts w:hint="eastAsia" w:ascii="微软雅黑" w:hAnsi="微软雅黑" w:eastAsia="微软雅黑" w:cs="微软雅黑"/>
                <w:b/>
                <w:bCs/>
                <w:color w:val="auto"/>
                <w:sz w:val="24"/>
                <w:szCs w:val="24"/>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交货时间、交货地点及验收方式</w:t>
            </w:r>
          </w:p>
        </w:tc>
        <w:tc>
          <w:tcPr>
            <w:tcW w:w="4303" w:type="pct"/>
            <w:vAlign w:val="center"/>
          </w:tcPr>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交货期：合同签订后90个日历日内将设备运到采购人指定交货地点。</w:t>
            </w:r>
          </w:p>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交货地点：重庆医科大学附属儿童医院</w:t>
            </w:r>
          </w:p>
          <w:p>
            <w:pPr>
              <w:pStyle w:val="144"/>
              <w:snapToGrid w:val="0"/>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验收方式：需求科室与医学工程科现场验收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质量保证及售后服务</w:t>
            </w:r>
          </w:p>
        </w:tc>
        <w:tc>
          <w:tcPr>
            <w:tcW w:w="4303" w:type="pct"/>
            <w:vAlign w:val="center"/>
          </w:tcPr>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1.质保期：不低于5年；质保期内免费维修维保，免费更换所有需要的配件（含硬件及软件），质保期外免费维修，采购人只支付维修设备配件等费用，不得支付维修产生的差旅费等费用。</w:t>
            </w:r>
          </w:p>
          <w:p>
            <w:pPr>
              <w:spacing w:line="240" w:lineRule="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2.</w:t>
            </w:r>
            <w:r>
              <w:rPr>
                <w:rFonts w:hint="eastAsia" w:ascii="微软雅黑" w:hAnsi="微软雅黑" w:eastAsia="微软雅黑" w:cs="微软雅黑"/>
                <w:color w:val="auto"/>
                <w:kern w:val="2"/>
                <w:sz w:val="24"/>
                <w:szCs w:val="24"/>
                <w:lang w:val="de-DE" w:eastAsia="zh-CN" w:bidi="ar-SA"/>
              </w:rPr>
              <w:t>机器故障应2</w:t>
            </w:r>
            <w:r>
              <w:rPr>
                <w:rFonts w:hint="eastAsia" w:ascii="微软雅黑" w:hAnsi="微软雅黑" w:eastAsia="微软雅黑" w:cs="微软雅黑"/>
                <w:color w:val="auto"/>
                <w:kern w:val="2"/>
                <w:sz w:val="24"/>
                <w:szCs w:val="24"/>
                <w:lang w:val="en-US" w:eastAsia="zh-CN" w:bidi="ar-SA"/>
              </w:rPr>
              <w:t>小时</w:t>
            </w:r>
            <w:r>
              <w:rPr>
                <w:rFonts w:hint="eastAsia" w:ascii="微软雅黑" w:hAnsi="微软雅黑" w:eastAsia="微软雅黑" w:cs="微软雅黑"/>
                <w:color w:val="auto"/>
                <w:kern w:val="2"/>
                <w:sz w:val="24"/>
                <w:szCs w:val="24"/>
                <w:lang w:val="de-DE" w:eastAsia="zh-CN" w:bidi="ar-SA"/>
              </w:rPr>
              <w:t>内故障响应，</w:t>
            </w:r>
            <w:r>
              <w:rPr>
                <w:rFonts w:hint="eastAsia" w:ascii="微软雅黑" w:hAnsi="微软雅黑" w:eastAsia="微软雅黑" w:cs="微软雅黑"/>
                <w:color w:val="auto"/>
                <w:kern w:val="2"/>
                <w:sz w:val="24"/>
                <w:szCs w:val="24"/>
                <w:lang w:val="en-US" w:eastAsia="zh-CN" w:bidi="ar-SA"/>
              </w:rPr>
              <w:t>4小时</w:t>
            </w:r>
            <w:r>
              <w:rPr>
                <w:rFonts w:hint="eastAsia" w:ascii="微软雅黑" w:hAnsi="微软雅黑" w:eastAsia="微软雅黑" w:cs="微软雅黑"/>
                <w:color w:val="auto"/>
                <w:kern w:val="2"/>
                <w:sz w:val="24"/>
                <w:szCs w:val="24"/>
                <w:lang w:val="de-DE" w:eastAsia="zh-CN" w:bidi="ar-SA"/>
              </w:rPr>
              <w:t>内到达现场，</w:t>
            </w:r>
            <w:r>
              <w:rPr>
                <w:rFonts w:hint="eastAsia" w:ascii="微软雅黑" w:hAnsi="微软雅黑" w:eastAsia="微软雅黑" w:cs="微软雅黑"/>
                <w:color w:val="auto"/>
                <w:kern w:val="2"/>
                <w:sz w:val="24"/>
                <w:szCs w:val="24"/>
                <w:lang w:val="en-US" w:eastAsia="zh-CN" w:bidi="ar-SA"/>
              </w:rPr>
              <w:t>72小时内</w:t>
            </w:r>
            <w:r>
              <w:rPr>
                <w:rFonts w:hint="eastAsia" w:ascii="微软雅黑" w:hAnsi="微软雅黑" w:eastAsia="微软雅黑" w:cs="微软雅黑"/>
                <w:color w:val="auto"/>
                <w:kern w:val="2"/>
                <w:sz w:val="24"/>
                <w:szCs w:val="24"/>
                <w:lang w:val="de-DE" w:eastAsia="zh-CN" w:bidi="ar-SA"/>
              </w:rPr>
              <w:t>解决故障</w:t>
            </w:r>
            <w:r>
              <w:rPr>
                <w:rFonts w:hint="eastAsia" w:ascii="微软雅黑" w:hAnsi="微软雅黑" w:eastAsia="微软雅黑" w:cs="微软雅黑"/>
                <w:color w:val="auto"/>
                <w:kern w:val="2"/>
                <w:sz w:val="24"/>
                <w:szCs w:val="24"/>
                <w:lang w:val="en-US" w:eastAsia="zh-CN" w:bidi="ar-SA"/>
              </w:rPr>
              <w:t>；</w:t>
            </w:r>
          </w:p>
          <w:p>
            <w:pPr>
              <w:spacing w:line="240" w:lineRule="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3.不能解决故障则应48小时内提供备用机或解决方案。</w:t>
            </w:r>
          </w:p>
          <w:p>
            <w:pPr>
              <w:spacing w:line="240" w:lineRule="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4.</w:t>
            </w:r>
            <w:r>
              <w:rPr>
                <w:rFonts w:hint="eastAsia" w:ascii="微软雅黑" w:hAnsi="微软雅黑" w:eastAsia="微软雅黑" w:cs="微软雅黑"/>
                <w:color w:val="auto"/>
                <w:kern w:val="2"/>
                <w:sz w:val="24"/>
                <w:szCs w:val="24"/>
                <w:lang w:val="de-DE" w:eastAsia="zh-CN" w:bidi="ar-SA"/>
              </w:rPr>
              <w:t>提供维修技术资料。</w:t>
            </w:r>
          </w:p>
          <w:p>
            <w:pPr>
              <w:spacing w:line="240" w:lineRule="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5.</w:t>
            </w:r>
            <w:r>
              <w:rPr>
                <w:rFonts w:hint="eastAsia" w:ascii="微软雅黑" w:hAnsi="微软雅黑" w:eastAsia="微软雅黑" w:cs="微软雅黑"/>
                <w:color w:val="auto"/>
                <w:kern w:val="2"/>
                <w:sz w:val="24"/>
                <w:szCs w:val="24"/>
                <w:lang w:val="de-DE" w:eastAsia="zh-CN" w:bidi="ar-SA"/>
              </w:rPr>
              <w:t>维修工程师免费上门安装、培训。</w:t>
            </w:r>
          </w:p>
          <w:p>
            <w:pPr>
              <w:spacing w:line="240" w:lineRule="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6.</w:t>
            </w:r>
            <w:r>
              <w:rPr>
                <w:rFonts w:hint="eastAsia" w:ascii="微软雅黑" w:hAnsi="微软雅黑" w:eastAsia="微软雅黑" w:cs="微软雅黑"/>
                <w:color w:val="auto"/>
                <w:kern w:val="2"/>
                <w:sz w:val="24"/>
                <w:szCs w:val="24"/>
                <w:lang w:val="de-DE" w:eastAsia="zh-CN" w:bidi="ar-SA"/>
              </w:rPr>
              <w:t>一年不低于4次定期维护保养，</w:t>
            </w:r>
            <w:r>
              <w:rPr>
                <w:rFonts w:hint="eastAsia" w:ascii="微软雅黑" w:hAnsi="微软雅黑" w:eastAsia="微软雅黑" w:cs="微软雅黑"/>
                <w:color w:val="auto"/>
                <w:kern w:val="2"/>
                <w:sz w:val="24"/>
                <w:szCs w:val="24"/>
                <w:lang w:val="en-US" w:eastAsia="zh-CN" w:bidi="ar-SA"/>
              </w:rPr>
              <w:t>有故障情况发生，终身免费上门维修</w:t>
            </w:r>
            <w:r>
              <w:rPr>
                <w:rFonts w:hint="eastAsia" w:ascii="微软雅黑" w:hAnsi="微软雅黑" w:eastAsia="微软雅黑" w:cs="微软雅黑"/>
                <w:color w:val="auto"/>
                <w:kern w:val="2"/>
                <w:sz w:val="24"/>
                <w:szCs w:val="24"/>
                <w:lang w:val="de-DE" w:eastAsia="zh-CN" w:bidi="ar-SA"/>
              </w:rPr>
              <w:t>。</w:t>
            </w:r>
          </w:p>
          <w:p>
            <w:pPr>
              <w:spacing w:line="240" w:lineRule="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7.</w:t>
            </w:r>
            <w:r>
              <w:rPr>
                <w:rFonts w:hint="eastAsia" w:ascii="微软雅黑" w:hAnsi="微软雅黑" w:eastAsia="微软雅黑" w:cs="微软雅黑"/>
                <w:color w:val="auto"/>
                <w:kern w:val="2"/>
                <w:sz w:val="24"/>
                <w:szCs w:val="24"/>
                <w:lang w:val="de-DE" w:eastAsia="zh-CN" w:bidi="ar-SA"/>
              </w:rPr>
              <w:t>有西南地区本地化服务机构和服务人员证明并且能够提供证明材料（公司的营业证等复印件加盖公章）。</w:t>
            </w:r>
          </w:p>
          <w:p>
            <w:pPr>
              <w:pStyle w:val="144"/>
              <w:snapToGrid w:val="0"/>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8.中标人对投标产品对应参数需要满足，验收时根据投标响应文件中的技术参数一一验收，如果有一条或者多条不满足，采购人有权取消合同，所产生的损失由中标人承担。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报价要求</w:t>
            </w:r>
          </w:p>
        </w:tc>
        <w:tc>
          <w:tcPr>
            <w:tcW w:w="4303" w:type="pct"/>
            <w:vAlign w:val="center"/>
          </w:tcPr>
          <w:p>
            <w:pPr>
              <w:spacing w:line="240" w:lineRule="auto"/>
              <w:rPr>
                <w:rFonts w:hint="default"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1.该项目可在投标现场进行二次报价。</w:t>
            </w:r>
          </w:p>
          <w:p>
            <w:pPr>
              <w:pStyle w:val="144"/>
              <w:snapToGrid w:val="0"/>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2.该项目报价须对设备包干总价和易损易耗件单价分别进行报价，包括完成货物、运输、验收及其他本项目所需的所有费用及各种应纳的税费。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付款方式</w:t>
            </w:r>
          </w:p>
        </w:tc>
        <w:tc>
          <w:tcPr>
            <w:tcW w:w="4303" w:type="pct"/>
            <w:vAlign w:val="center"/>
          </w:tcPr>
          <w:p>
            <w:pPr>
              <w:spacing w:line="240" w:lineRule="auto"/>
              <w:rPr>
                <w:rFonts w:hint="default"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1.中标人</w:t>
            </w:r>
            <w:r>
              <w:rPr>
                <w:rFonts w:hint="default" w:ascii="微软雅黑" w:hAnsi="微软雅黑" w:eastAsia="微软雅黑" w:cs="微软雅黑"/>
                <w:color w:val="auto"/>
                <w:kern w:val="2"/>
                <w:sz w:val="24"/>
                <w:szCs w:val="24"/>
                <w:lang w:val="en-US" w:eastAsia="zh-CN" w:bidi="ar-SA"/>
              </w:rPr>
              <w:t>按采购合同交货并安装调试完成，经验收合格后采购人出具项目验收报告；</w:t>
            </w:r>
          </w:p>
          <w:p>
            <w:pPr>
              <w:pStyle w:val="144"/>
              <w:snapToGrid w:val="0"/>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2.中标人</w:t>
            </w:r>
            <w:r>
              <w:rPr>
                <w:rFonts w:hint="default" w:ascii="微软雅黑" w:hAnsi="微软雅黑" w:eastAsia="微软雅黑" w:cs="微软雅黑"/>
                <w:color w:val="auto"/>
                <w:kern w:val="2"/>
                <w:sz w:val="24"/>
                <w:szCs w:val="24"/>
                <w:lang w:val="en-US" w:eastAsia="zh-CN" w:bidi="ar-SA"/>
              </w:rPr>
              <w:t>向采购人开具发票，采购人于</w:t>
            </w:r>
            <w:r>
              <w:rPr>
                <w:rFonts w:hint="eastAsia" w:ascii="微软雅黑" w:hAnsi="微软雅黑" w:eastAsia="微软雅黑" w:cs="微软雅黑"/>
                <w:color w:val="auto"/>
                <w:kern w:val="2"/>
                <w:sz w:val="24"/>
                <w:szCs w:val="24"/>
                <w:lang w:val="en-US" w:eastAsia="zh-CN" w:bidi="ar-SA"/>
              </w:rPr>
              <w:t>2个月</w:t>
            </w:r>
            <w:r>
              <w:rPr>
                <w:rFonts w:hint="default" w:ascii="微软雅黑" w:hAnsi="微软雅黑" w:eastAsia="微软雅黑" w:cs="微软雅黑"/>
                <w:color w:val="auto"/>
                <w:kern w:val="2"/>
                <w:sz w:val="24"/>
                <w:szCs w:val="24"/>
                <w:lang w:val="en-US" w:eastAsia="zh-CN" w:bidi="ar-SA"/>
              </w:rPr>
              <w:t>内以转账方式向</w:t>
            </w:r>
            <w:r>
              <w:rPr>
                <w:rFonts w:hint="eastAsia" w:ascii="微软雅黑" w:hAnsi="微软雅黑" w:eastAsia="微软雅黑" w:cs="微软雅黑"/>
                <w:color w:val="auto"/>
                <w:kern w:val="2"/>
                <w:sz w:val="24"/>
                <w:szCs w:val="24"/>
                <w:lang w:val="en-US" w:eastAsia="zh-CN" w:bidi="ar-SA"/>
              </w:rPr>
              <w:t>中标人</w:t>
            </w:r>
            <w:r>
              <w:rPr>
                <w:rFonts w:hint="default" w:ascii="微软雅黑" w:hAnsi="微软雅黑" w:eastAsia="微软雅黑" w:cs="微软雅黑"/>
                <w:color w:val="auto"/>
                <w:kern w:val="2"/>
                <w:sz w:val="24"/>
                <w:szCs w:val="24"/>
                <w:lang w:val="en-US" w:eastAsia="zh-CN" w:bidi="ar-SA"/>
              </w:rPr>
              <w:t>支付合同全款</w:t>
            </w:r>
            <w:r>
              <w:rPr>
                <w:rFonts w:hint="eastAsia" w:ascii="微软雅黑" w:hAnsi="微软雅黑" w:eastAsia="微软雅黑" w:cs="微软雅黑"/>
                <w:color w:val="auto"/>
                <w:kern w:val="2"/>
                <w:sz w:val="24"/>
                <w:szCs w:val="24"/>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lang w:val="en-US" w:eastAsia="zh-CN"/>
              </w:rPr>
            </w:pPr>
            <w:r>
              <w:rPr>
                <w:rFonts w:hint="eastAsia" w:ascii="微软雅黑" w:hAnsi="微软雅黑" w:eastAsia="微软雅黑" w:cs="微软雅黑"/>
                <w:b/>
                <w:bCs/>
                <w:color w:val="auto"/>
                <w:sz w:val="24"/>
                <w:szCs w:val="24"/>
                <w:lang w:val="en-US" w:eastAsia="zh-CN"/>
              </w:rPr>
              <w:t>知识产权</w:t>
            </w:r>
          </w:p>
        </w:tc>
        <w:tc>
          <w:tcPr>
            <w:tcW w:w="4303" w:type="pct"/>
            <w:vAlign w:val="center"/>
          </w:tcPr>
          <w:p>
            <w:pPr>
              <w:pStyle w:val="144"/>
              <w:snapToGrid w:val="0"/>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96"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其他</w:t>
            </w:r>
          </w:p>
        </w:tc>
        <w:tc>
          <w:tcPr>
            <w:tcW w:w="4303" w:type="pct"/>
            <w:vAlign w:val="center"/>
          </w:tcPr>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1.投标人必须在响应文件中对以上条款和服务承诺明确列出，承诺内容必须达到本篇及协商文件其他条款的要求。</w:t>
            </w:r>
          </w:p>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2.其他未尽事宜由供需双方在采购合同中详细约定。</w:t>
            </w:r>
          </w:p>
        </w:tc>
      </w:tr>
    </w:tbl>
    <w:p>
      <w:pPr>
        <w:rPr>
          <w:rFonts w:hint="eastAsia" w:ascii="微软雅黑" w:hAnsi="微软雅黑" w:eastAsia="微软雅黑" w:cs="微软雅黑"/>
          <w:b/>
          <w:sz w:val="44"/>
        </w:rPr>
      </w:pPr>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96" w:name="_Toc19431"/>
      <w:r>
        <w:rPr>
          <w:rFonts w:hint="eastAsia" w:ascii="微软雅黑" w:hAnsi="微软雅黑" w:eastAsia="微软雅黑" w:cs="微软雅黑"/>
          <w:sz w:val="44"/>
        </w:rPr>
        <w:t>第四篇  公开比选采购程序及方法、评审标准、无效响应和采购终止</w:t>
      </w:r>
      <w:bookmarkEnd w:id="93"/>
      <w:bookmarkEnd w:id="94"/>
      <w:bookmarkEnd w:id="95"/>
      <w:bookmarkEnd w:id="96"/>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97" w:name="_Toc26127"/>
      <w:bookmarkStart w:id="98" w:name="_Toc14958"/>
      <w:bookmarkStart w:id="99" w:name="_Toc106030888"/>
      <w:bookmarkStart w:id="100" w:name="_Toc76462333"/>
      <w:r>
        <w:rPr>
          <w:rFonts w:hint="eastAsia" w:ascii="微软雅黑" w:hAnsi="微软雅黑" w:eastAsia="微软雅黑" w:cs="微软雅黑"/>
          <w:sz w:val="24"/>
        </w:rPr>
        <w:t>一、公开比选采购程序</w:t>
      </w:r>
      <w:bookmarkEnd w:id="97"/>
      <w:bookmarkEnd w:id="98"/>
      <w:bookmarkEnd w:id="99"/>
      <w:bookmarkEnd w:id="10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（一）按公开比选采购文件规定的时间和地点进行，投标人须有法定代表人（或其授权代表）或自然人参加。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依据法律法规和公开比选采购文件的规定，对响应文件中的资格证明等进行审查，以确定投标人是否具备比选资格。资格性审查资料表如下：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lang w:val="en-US" w:eastAsia="zh-CN"/>
        </w:rPr>
      </w:pPr>
      <w:bookmarkStart w:id="101" w:name="_Toc10843"/>
      <w:bookmarkStart w:id="102" w:name="_Toc4495"/>
      <w:bookmarkStart w:id="103" w:name="_Toc25824"/>
      <w:bookmarkStart w:id="104" w:name="_Toc102227320"/>
      <w:bookmarkStart w:id="105" w:name="_Toc342913394"/>
      <w:r>
        <w:rPr>
          <w:rFonts w:hint="eastAsia" w:ascii="微软雅黑" w:hAnsi="微软雅黑" w:eastAsia="微软雅黑" w:cs="微软雅黑"/>
          <w:color w:val="auto"/>
          <w:sz w:val="24"/>
          <w:lang w:val="en-US" w:eastAsia="zh-CN"/>
        </w:rPr>
        <w:t>二、报价方式</w:t>
      </w:r>
      <w:bookmarkEnd w:id="101"/>
      <w:bookmarkEnd w:id="102"/>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06" w:name="_Toc27394"/>
      <w:bookmarkStart w:id="107" w:name="_Toc27607"/>
      <w:r>
        <w:rPr>
          <w:rFonts w:hint="eastAsia" w:ascii="微软雅黑" w:hAnsi="微软雅黑" w:eastAsia="微软雅黑" w:cs="微软雅黑"/>
          <w:b w:val="0"/>
          <w:bCs/>
          <w:color w:val="auto"/>
          <w:sz w:val="24"/>
          <w:szCs w:val="24"/>
          <w:lang w:val="en-US" w:eastAsia="zh-CN"/>
        </w:rPr>
        <w:t>本项目可在开标现场进行二次报价。</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lang w:val="en-US" w:eastAsia="zh-CN"/>
        </w:rPr>
        <w:t>三、评标方法</w:t>
      </w:r>
      <w:bookmarkEnd w:id="103"/>
      <w:bookmarkEnd w:id="106"/>
      <w:bookmarkEnd w:id="107"/>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本项目采用综合评分法进行评标。</w:t>
      </w:r>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综合评分法，是指</w:t>
      </w:r>
      <w:r>
        <w:rPr>
          <w:rFonts w:hint="eastAsia" w:ascii="微软雅黑" w:hAnsi="微软雅黑" w:eastAsia="微软雅黑" w:cs="微软雅黑"/>
          <w:color w:val="auto"/>
          <w:kern w:val="0"/>
          <w:sz w:val="24"/>
          <w:szCs w:val="24"/>
          <w:lang w:eastAsia="zh-CN"/>
        </w:rPr>
        <w:t>响应文件</w:t>
      </w:r>
      <w:r>
        <w:rPr>
          <w:rFonts w:hint="eastAsia" w:ascii="微软雅黑" w:hAnsi="微软雅黑" w:eastAsia="微软雅黑" w:cs="微软雅黑"/>
          <w:color w:val="auto"/>
          <w:kern w:val="0"/>
          <w:sz w:val="24"/>
          <w:szCs w:val="24"/>
        </w:rPr>
        <w:t>满足招标文件全部实质性要求且按照评审因素的量化指标评审得分最高的投标人为中标候选人的评标方法。投标人总得分为价格、商务、技术（质量）等评定因素分别按照相应权重值计算分项得分后相加，满分为100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（一）比较与评价。按招标文件中规定的评标方法和标准，对资格审查和符合性审查合格的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进行商务和技术评估。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评审得分相同的，由采购人委托评标委员会按照招标文件规定的方式确定一个投标人获得</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 xml:space="preserve">推荐资格，招标文件未规定的采取随机抽取方式确定，其他同品牌投标人不作为中标候选人。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评标委员会各成员独立对每个有效投标人（通过资格审查、符合性审查的投标人）的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进行评价、打分，然后由评标委员会对各成员打分情况进行核查及复核，个别成员对同一投标人同一评分项的打分偏离较大的，应对投标人的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进行再次核对，确属打分有误的，应及时进行修正。</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复核后，评标委员会汇总每个投标人每项评分因素的得分。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（二）推荐中标候选人名单。</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按评审后得分由高到低的排列顺序推荐综合得分排名前三的投标人为本包（项目）中标候选人，排名第一的为第一中标候选人。得分相同的，按投标报价由低到高顺序排列。得分且投标报价相同的并列。</w:t>
      </w:r>
    </w:p>
    <w:p>
      <w:pPr>
        <w:pStyle w:val="4"/>
        <w:numPr>
          <w:ilvl w:val="0"/>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lang w:val="en-US" w:eastAsia="zh-CN"/>
        </w:rPr>
      </w:pPr>
      <w:bookmarkStart w:id="108" w:name="_Toc18577"/>
      <w:bookmarkStart w:id="109" w:name="_Toc5973"/>
      <w:bookmarkStart w:id="110" w:name="_Toc24201"/>
      <w:bookmarkStart w:id="111" w:name="_Toc30944"/>
      <w:bookmarkStart w:id="112" w:name="_Toc76462334"/>
      <w:bookmarkStart w:id="113" w:name="_Toc106030889"/>
      <w:r>
        <w:rPr>
          <w:rFonts w:hint="eastAsia" w:ascii="微软雅黑" w:hAnsi="微软雅黑" w:eastAsia="微软雅黑" w:cs="微软雅黑"/>
          <w:color w:val="auto"/>
          <w:sz w:val="24"/>
          <w:lang w:val="en-US" w:eastAsia="zh-CN"/>
        </w:rPr>
        <w:t>四、评审标准</w:t>
      </w:r>
      <w:bookmarkEnd w:id="108"/>
      <w:bookmarkEnd w:id="109"/>
      <w:bookmarkEnd w:id="110"/>
      <w:bookmarkEnd w:id="111"/>
      <w:bookmarkEnd w:id="112"/>
      <w:bookmarkEnd w:id="113"/>
    </w:p>
    <w:tbl>
      <w:tblPr>
        <w:tblStyle w:val="58"/>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570"/>
        <w:gridCol w:w="805"/>
        <w:gridCol w:w="3978"/>
        <w:gridCol w:w="2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5"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序号</w:t>
            </w:r>
          </w:p>
        </w:tc>
        <w:tc>
          <w:tcPr>
            <w:tcW w:w="1570"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评分因素</w:t>
            </w:r>
          </w:p>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及权重</w:t>
            </w:r>
          </w:p>
        </w:tc>
        <w:tc>
          <w:tcPr>
            <w:tcW w:w="805"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分值</w:t>
            </w:r>
          </w:p>
        </w:tc>
        <w:tc>
          <w:tcPr>
            <w:tcW w:w="3978"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评分标准</w:t>
            </w:r>
          </w:p>
        </w:tc>
        <w:tc>
          <w:tcPr>
            <w:tcW w:w="2440" w:type="dxa"/>
            <w:vAlign w:val="center"/>
          </w:tcPr>
          <w:p>
            <w:pPr>
              <w:pStyle w:val="238"/>
              <w:spacing w:before="0" w:after="0" w:line="24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1570"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投标报价</w:t>
            </w:r>
          </w:p>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（30%）</w:t>
            </w:r>
          </w:p>
        </w:tc>
        <w:tc>
          <w:tcPr>
            <w:tcW w:w="80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30</w:t>
            </w:r>
          </w:p>
        </w:tc>
        <w:tc>
          <w:tcPr>
            <w:tcW w:w="3978" w:type="dxa"/>
            <w:vAlign w:val="center"/>
          </w:tcPr>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有效的投标报价中的最低价为评标基准价，其价格分为满分。其他投标人的价格分统一按照下列公式计算：</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投标报价得分＝（评标基准价/投标报价）×价格权重×100。</w:t>
            </w:r>
          </w:p>
        </w:tc>
        <w:tc>
          <w:tcPr>
            <w:tcW w:w="2440" w:type="dxa"/>
            <w:vAlign w:val="center"/>
          </w:tcPr>
          <w:p>
            <w:pP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628" w:type="dxa"/>
            <w:gridSpan w:val="5"/>
            <w:vAlign w:val="center"/>
          </w:tcPr>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采购文件“技术（质量）需求”中“※”标注的技术需求为符合性审查中的实质性要求，若不满足按无效投标处理。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p>
        </w:tc>
        <w:tc>
          <w:tcPr>
            <w:tcW w:w="1570"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技术（质量）部分</w:t>
            </w:r>
          </w:p>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（50%）</w:t>
            </w:r>
          </w:p>
        </w:tc>
        <w:tc>
          <w:tcPr>
            <w:tcW w:w="80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50</w:t>
            </w:r>
          </w:p>
        </w:tc>
        <w:tc>
          <w:tcPr>
            <w:tcW w:w="3978" w:type="dxa"/>
            <w:vAlign w:val="center"/>
          </w:tcPr>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1.起评分</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有效投标人的起评分为50分。</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2.扣分条款</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2.1投标文件投标应答有一条不满足招标文件重要技术需求的（本招标文件第二篇中带“▲”号标注的部分，</w:t>
            </w:r>
            <w:r>
              <w:rPr>
                <w:rFonts w:hint="eastAsia" w:ascii="微软雅黑" w:hAnsi="微软雅黑" w:eastAsia="微软雅黑" w:cs="微软雅黑"/>
                <w:color w:val="FF0000"/>
                <w:sz w:val="21"/>
                <w:szCs w:val="21"/>
              </w:rPr>
              <w:t>共计</w:t>
            </w:r>
            <w:r>
              <w:rPr>
                <w:rFonts w:hint="eastAsia" w:ascii="微软雅黑" w:hAnsi="微软雅黑" w:eastAsia="微软雅黑" w:cs="微软雅黑"/>
                <w:sz w:val="21"/>
                <w:szCs w:val="21"/>
              </w:rPr>
              <w:t>9</w:t>
            </w:r>
            <w:r>
              <w:rPr>
                <w:rFonts w:hint="eastAsia" w:ascii="微软雅黑" w:hAnsi="微软雅黑" w:eastAsia="微软雅黑" w:cs="微软雅黑"/>
                <w:color w:val="FF0000"/>
                <w:sz w:val="21"/>
                <w:szCs w:val="21"/>
              </w:rPr>
              <w:t>条</w:t>
            </w:r>
            <w:r>
              <w:rPr>
                <w:rFonts w:hint="eastAsia" w:ascii="微软雅黑" w:hAnsi="微软雅黑" w:eastAsia="微软雅黑" w:cs="微软雅黑"/>
                <w:sz w:val="21"/>
                <w:szCs w:val="21"/>
              </w:rPr>
              <w:t>），从起评分中扣除</w:t>
            </w:r>
            <w:r>
              <w:rPr>
                <w:rFonts w:hint="eastAsia" w:ascii="微软雅黑" w:hAnsi="微软雅黑" w:eastAsia="微软雅黑" w:cs="微软雅黑"/>
                <w:color w:val="FF0000"/>
                <w:sz w:val="21"/>
                <w:szCs w:val="21"/>
              </w:rPr>
              <w:t>2.6</w:t>
            </w:r>
            <w:r>
              <w:rPr>
                <w:rFonts w:hint="eastAsia" w:ascii="微软雅黑" w:hAnsi="微软雅黑" w:eastAsia="微软雅黑" w:cs="微软雅黑"/>
                <w:sz w:val="21"/>
                <w:szCs w:val="21"/>
              </w:rPr>
              <w:t>分，扣完为止。</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2.2投标文件投标应答有一条不满足招标文件一般性技术需求的（本招标文件第二篇中“○”号标注的部分，</w:t>
            </w:r>
            <w:r>
              <w:rPr>
                <w:rFonts w:hint="eastAsia" w:ascii="微软雅黑" w:hAnsi="微软雅黑" w:eastAsia="微软雅黑" w:cs="微软雅黑"/>
                <w:color w:val="FF0000"/>
                <w:sz w:val="21"/>
                <w:szCs w:val="21"/>
              </w:rPr>
              <w:t>共计</w:t>
            </w:r>
            <w:r>
              <w:rPr>
                <w:rFonts w:hint="eastAsia" w:ascii="微软雅黑" w:hAnsi="微软雅黑" w:eastAsia="微软雅黑" w:cs="微软雅黑"/>
                <w:sz w:val="21"/>
                <w:szCs w:val="21"/>
              </w:rPr>
              <w:t>19</w:t>
            </w:r>
            <w:r>
              <w:rPr>
                <w:rFonts w:hint="eastAsia" w:ascii="微软雅黑" w:hAnsi="微软雅黑" w:eastAsia="微软雅黑" w:cs="微软雅黑"/>
                <w:color w:val="FF0000"/>
                <w:sz w:val="21"/>
                <w:szCs w:val="21"/>
              </w:rPr>
              <w:t>条</w:t>
            </w:r>
            <w:r>
              <w:rPr>
                <w:rFonts w:hint="eastAsia" w:ascii="微软雅黑" w:hAnsi="微软雅黑" w:eastAsia="微软雅黑" w:cs="微软雅黑"/>
                <w:sz w:val="21"/>
                <w:szCs w:val="21"/>
              </w:rPr>
              <w:t>），从起评分中扣除</w:t>
            </w:r>
            <w:r>
              <w:rPr>
                <w:rFonts w:hint="eastAsia" w:ascii="微软雅黑" w:hAnsi="微软雅黑" w:eastAsia="微软雅黑" w:cs="微软雅黑"/>
                <w:color w:val="FF0000"/>
                <w:sz w:val="21"/>
                <w:szCs w:val="21"/>
              </w:rPr>
              <w:t>1.4</w:t>
            </w:r>
            <w:r>
              <w:rPr>
                <w:rFonts w:hint="eastAsia" w:ascii="微软雅黑" w:hAnsi="微软雅黑" w:eastAsia="微软雅黑" w:cs="微软雅黑"/>
                <w:sz w:val="21"/>
                <w:szCs w:val="21"/>
              </w:rPr>
              <w:t>分，扣完为止。</w:t>
            </w:r>
          </w:p>
        </w:tc>
        <w:tc>
          <w:tcPr>
            <w:tcW w:w="2440" w:type="dxa"/>
            <w:vAlign w:val="center"/>
          </w:tcPr>
          <w:p>
            <w:pP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628" w:type="dxa"/>
            <w:gridSpan w:val="5"/>
            <w:vAlign w:val="center"/>
          </w:tcPr>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投标人的应答应满足招标文件“商务需求”，有一条不满足的，商务部分得分为0分，不再进入商务部分的评审。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5" w:type="dxa"/>
            <w:vMerge w:val="restart"/>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3</w:t>
            </w:r>
          </w:p>
        </w:tc>
        <w:tc>
          <w:tcPr>
            <w:tcW w:w="1570" w:type="dxa"/>
            <w:vMerge w:val="restart"/>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商务部分</w:t>
            </w:r>
          </w:p>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（20%）</w:t>
            </w:r>
          </w:p>
        </w:tc>
        <w:tc>
          <w:tcPr>
            <w:tcW w:w="805" w:type="dxa"/>
            <w:vMerge w:val="restart"/>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售后服务16</w:t>
            </w:r>
          </w:p>
        </w:tc>
        <w:tc>
          <w:tcPr>
            <w:tcW w:w="3978" w:type="dxa"/>
            <w:vAlign w:val="center"/>
          </w:tcPr>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1.维保服务方案</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投标人提供维保服务方案，方案内容包括日常维修保养、巡查、年度大保养计划。方案内容不存在瑕疵，得</w:t>
            </w:r>
            <w:r>
              <w:rPr>
                <w:rFonts w:hint="eastAsia" w:ascii="微软雅黑" w:hAnsi="微软雅黑" w:eastAsia="微软雅黑" w:cs="微软雅黑"/>
                <w:color w:val="FF0000"/>
                <w:sz w:val="21"/>
                <w:szCs w:val="21"/>
              </w:rPr>
              <w:t>4</w:t>
            </w:r>
            <w:r>
              <w:rPr>
                <w:rFonts w:hint="eastAsia" w:ascii="微软雅黑" w:hAnsi="微软雅黑" w:eastAsia="微软雅黑" w:cs="微软雅黑"/>
                <w:sz w:val="21"/>
                <w:szCs w:val="21"/>
              </w:rPr>
              <w:t>分；</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方案内容存在1处瑕疵，得</w:t>
            </w:r>
            <w:r>
              <w:rPr>
                <w:rFonts w:hint="eastAsia" w:ascii="微软雅黑" w:hAnsi="微软雅黑" w:eastAsia="微软雅黑" w:cs="微软雅黑"/>
                <w:color w:val="FF0000"/>
                <w:sz w:val="21"/>
                <w:szCs w:val="21"/>
              </w:rPr>
              <w:t>3</w:t>
            </w:r>
            <w:r>
              <w:rPr>
                <w:rFonts w:hint="eastAsia" w:ascii="微软雅黑" w:hAnsi="微软雅黑" w:eastAsia="微软雅黑" w:cs="微软雅黑"/>
                <w:sz w:val="21"/>
                <w:szCs w:val="21"/>
              </w:rPr>
              <w:t>分；</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方案内容存在2处瑕疵，得</w:t>
            </w:r>
            <w:r>
              <w:rPr>
                <w:rFonts w:hint="eastAsia" w:ascii="微软雅黑" w:hAnsi="微软雅黑" w:eastAsia="微软雅黑" w:cs="微软雅黑"/>
                <w:color w:val="FF0000"/>
                <w:sz w:val="21"/>
                <w:szCs w:val="21"/>
              </w:rPr>
              <w:t>2</w:t>
            </w:r>
            <w:r>
              <w:rPr>
                <w:rFonts w:hint="eastAsia" w:ascii="微软雅黑" w:hAnsi="微软雅黑" w:eastAsia="微软雅黑" w:cs="微软雅黑"/>
                <w:sz w:val="21"/>
                <w:szCs w:val="21"/>
              </w:rPr>
              <w:t>分；</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方案内容存在3处及以上瑕疵或未提供方案得0分。</w:t>
            </w:r>
          </w:p>
        </w:tc>
        <w:tc>
          <w:tcPr>
            <w:tcW w:w="2440" w:type="dxa"/>
            <w:vMerge w:val="restart"/>
            <w:vAlign w:val="center"/>
          </w:tcPr>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提供方案，格式自拟。</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注：本项内容中所称的“瑕疵”指以下内容：</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①方案内容缺项、内容表述不完整或缺少维保服务内容或售后服务内容中任意一项内容的针对性分析或介绍；</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②方案内容表述前后矛盾、无连贯性；</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③维保服务范围或售后服务范围覆盖不全、服务流程低效；</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④方案内容存在逻辑漏洞、常识错误、维保服务或售后服务流程并不适用本项目特性和或非专门针对本项目特征制定；</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⑤方案内容并无体现时效性的售后处理计划或保养巡查计划安排；</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⑥方案中提出的措施不利于本项目目标的实现；</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⑦现有科学技术条件下不可能实现的情形。</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上述任意一种情形为1处瑕疵。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5" w:type="dxa"/>
            <w:vMerge w:val="continue"/>
            <w:vAlign w:val="center"/>
          </w:tcPr>
          <w:p>
            <w:pPr>
              <w:ind w:firstLine="28"/>
              <w:jc w:val="center"/>
              <w:rPr>
                <w:rFonts w:hint="eastAsia" w:ascii="微软雅黑" w:hAnsi="微软雅黑" w:eastAsia="微软雅黑" w:cs="微软雅黑"/>
                <w:sz w:val="21"/>
                <w:szCs w:val="21"/>
              </w:rPr>
            </w:pPr>
          </w:p>
        </w:tc>
        <w:tc>
          <w:tcPr>
            <w:tcW w:w="1570" w:type="dxa"/>
            <w:vMerge w:val="continue"/>
            <w:vAlign w:val="center"/>
          </w:tcPr>
          <w:p>
            <w:pPr>
              <w:ind w:firstLine="28"/>
              <w:jc w:val="center"/>
              <w:rPr>
                <w:rFonts w:hint="eastAsia" w:ascii="微软雅黑" w:hAnsi="微软雅黑" w:eastAsia="微软雅黑" w:cs="微软雅黑"/>
                <w:sz w:val="21"/>
                <w:szCs w:val="21"/>
              </w:rPr>
            </w:pPr>
          </w:p>
        </w:tc>
        <w:tc>
          <w:tcPr>
            <w:tcW w:w="805" w:type="dxa"/>
            <w:vMerge w:val="continue"/>
            <w:vAlign w:val="center"/>
          </w:tcPr>
          <w:p>
            <w:pPr>
              <w:ind w:firstLine="28"/>
              <w:jc w:val="center"/>
              <w:rPr>
                <w:rFonts w:hint="eastAsia" w:ascii="微软雅黑" w:hAnsi="微软雅黑" w:eastAsia="微软雅黑" w:cs="微软雅黑"/>
                <w:sz w:val="21"/>
                <w:szCs w:val="21"/>
              </w:rPr>
            </w:pPr>
          </w:p>
        </w:tc>
        <w:tc>
          <w:tcPr>
            <w:tcW w:w="3978" w:type="dxa"/>
            <w:vAlign w:val="center"/>
          </w:tcPr>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2.售后服务方案</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根据投标人提供的售后服务方案进行评审，方案内容包括售后服务流程、售后服务范围、维修时间等。</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方案内容不存在瑕疵，得</w:t>
            </w:r>
            <w:r>
              <w:rPr>
                <w:rFonts w:hint="eastAsia" w:ascii="微软雅黑" w:hAnsi="微软雅黑" w:eastAsia="微软雅黑" w:cs="微软雅黑"/>
                <w:color w:val="FF0000"/>
                <w:sz w:val="21"/>
                <w:szCs w:val="21"/>
              </w:rPr>
              <w:t>3</w:t>
            </w:r>
            <w:r>
              <w:rPr>
                <w:rFonts w:hint="eastAsia" w:ascii="微软雅黑" w:hAnsi="微软雅黑" w:eastAsia="微软雅黑" w:cs="微软雅黑"/>
                <w:sz w:val="21"/>
                <w:szCs w:val="21"/>
              </w:rPr>
              <w:t>分；</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方案内容存在1处瑕疵，得</w:t>
            </w:r>
            <w:r>
              <w:rPr>
                <w:rFonts w:hint="eastAsia" w:ascii="微软雅黑" w:hAnsi="微软雅黑" w:eastAsia="微软雅黑" w:cs="微软雅黑"/>
                <w:color w:val="FF0000"/>
                <w:sz w:val="21"/>
                <w:szCs w:val="21"/>
              </w:rPr>
              <w:t>2</w:t>
            </w:r>
            <w:r>
              <w:rPr>
                <w:rFonts w:hint="eastAsia" w:ascii="微软雅黑" w:hAnsi="微软雅黑" w:eastAsia="微软雅黑" w:cs="微软雅黑"/>
                <w:sz w:val="21"/>
                <w:szCs w:val="21"/>
              </w:rPr>
              <w:t>分；</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方案内容存在2处瑕疵，得</w:t>
            </w:r>
            <w:r>
              <w:rPr>
                <w:rFonts w:hint="eastAsia" w:ascii="微软雅黑" w:hAnsi="微软雅黑" w:eastAsia="微软雅黑" w:cs="微软雅黑"/>
                <w:color w:val="FF0000"/>
                <w:sz w:val="21"/>
                <w:szCs w:val="21"/>
              </w:rPr>
              <w:t>1</w:t>
            </w:r>
            <w:r>
              <w:rPr>
                <w:rFonts w:hint="eastAsia" w:ascii="微软雅黑" w:hAnsi="微软雅黑" w:eastAsia="微软雅黑" w:cs="微软雅黑"/>
                <w:sz w:val="21"/>
                <w:szCs w:val="21"/>
              </w:rPr>
              <w:t>分；</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方案内容存在3处及以上瑕疵或未提供方案得0分。</w:t>
            </w:r>
          </w:p>
        </w:tc>
        <w:tc>
          <w:tcPr>
            <w:tcW w:w="2440" w:type="dxa"/>
            <w:vMerge w:val="continue"/>
            <w:vAlign w:val="center"/>
          </w:tcPr>
          <w:p>
            <w:pP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5" w:type="dxa"/>
            <w:vMerge w:val="continue"/>
            <w:vAlign w:val="center"/>
          </w:tcPr>
          <w:p>
            <w:pPr>
              <w:ind w:firstLine="28"/>
              <w:jc w:val="center"/>
              <w:rPr>
                <w:rFonts w:hint="eastAsia" w:ascii="微软雅黑" w:hAnsi="微软雅黑" w:eastAsia="微软雅黑" w:cs="微软雅黑"/>
                <w:sz w:val="21"/>
                <w:szCs w:val="21"/>
              </w:rPr>
            </w:pPr>
          </w:p>
        </w:tc>
        <w:tc>
          <w:tcPr>
            <w:tcW w:w="1570" w:type="dxa"/>
            <w:vMerge w:val="continue"/>
            <w:vAlign w:val="center"/>
          </w:tcPr>
          <w:p>
            <w:pPr>
              <w:ind w:firstLine="28"/>
              <w:jc w:val="center"/>
              <w:rPr>
                <w:rFonts w:hint="eastAsia" w:ascii="微软雅黑" w:hAnsi="微软雅黑" w:eastAsia="微软雅黑" w:cs="微软雅黑"/>
                <w:sz w:val="21"/>
                <w:szCs w:val="21"/>
              </w:rPr>
            </w:pPr>
          </w:p>
        </w:tc>
        <w:tc>
          <w:tcPr>
            <w:tcW w:w="805" w:type="dxa"/>
            <w:vMerge w:val="continue"/>
            <w:vAlign w:val="center"/>
          </w:tcPr>
          <w:p>
            <w:pPr>
              <w:ind w:firstLine="28"/>
              <w:jc w:val="center"/>
              <w:rPr>
                <w:rFonts w:hint="eastAsia" w:ascii="微软雅黑" w:hAnsi="微软雅黑" w:eastAsia="微软雅黑" w:cs="微软雅黑"/>
                <w:sz w:val="21"/>
                <w:szCs w:val="21"/>
              </w:rPr>
            </w:pPr>
          </w:p>
        </w:tc>
        <w:tc>
          <w:tcPr>
            <w:tcW w:w="3978" w:type="dxa"/>
            <w:vAlign w:val="center"/>
          </w:tcPr>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3.质量保证期</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所投产品质量保证期在满足招标文件质保期要求的前提下，每增加1年加</w:t>
            </w:r>
            <w:r>
              <w:rPr>
                <w:rFonts w:hint="eastAsia" w:ascii="微软雅黑" w:hAnsi="微软雅黑" w:eastAsia="微软雅黑" w:cs="微软雅黑"/>
                <w:color w:val="FF0000"/>
                <w:sz w:val="21"/>
                <w:szCs w:val="21"/>
              </w:rPr>
              <w:t>1</w:t>
            </w:r>
            <w:r>
              <w:rPr>
                <w:rFonts w:hint="eastAsia" w:ascii="微软雅黑" w:hAnsi="微软雅黑" w:eastAsia="微软雅黑" w:cs="微软雅黑"/>
                <w:sz w:val="21"/>
                <w:szCs w:val="21"/>
              </w:rPr>
              <w:t>分，本项最多加</w:t>
            </w:r>
            <w:r>
              <w:rPr>
                <w:rFonts w:hint="eastAsia" w:ascii="微软雅黑" w:hAnsi="微软雅黑" w:eastAsia="微软雅黑" w:cs="微软雅黑"/>
                <w:color w:val="FF0000"/>
                <w:sz w:val="21"/>
                <w:szCs w:val="21"/>
              </w:rPr>
              <w:t>3</w:t>
            </w:r>
            <w:r>
              <w:rPr>
                <w:rFonts w:hint="eastAsia" w:ascii="微软雅黑" w:hAnsi="微软雅黑" w:eastAsia="微软雅黑" w:cs="微软雅黑"/>
                <w:sz w:val="21"/>
                <w:szCs w:val="21"/>
              </w:rPr>
              <w:t>分。</w:t>
            </w:r>
          </w:p>
        </w:tc>
        <w:tc>
          <w:tcPr>
            <w:tcW w:w="2440" w:type="dxa"/>
            <w:vAlign w:val="center"/>
          </w:tcPr>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以投标人响应情况或提供承诺函为准（两者二选一提供）。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5" w:type="dxa"/>
            <w:vMerge w:val="continue"/>
            <w:vAlign w:val="center"/>
          </w:tcPr>
          <w:p>
            <w:pPr>
              <w:ind w:firstLine="28"/>
              <w:jc w:val="center"/>
              <w:rPr>
                <w:rFonts w:hint="eastAsia" w:ascii="微软雅黑" w:hAnsi="微软雅黑" w:eastAsia="微软雅黑" w:cs="微软雅黑"/>
                <w:sz w:val="21"/>
                <w:szCs w:val="21"/>
              </w:rPr>
            </w:pPr>
          </w:p>
        </w:tc>
        <w:tc>
          <w:tcPr>
            <w:tcW w:w="1570" w:type="dxa"/>
            <w:vMerge w:val="continue"/>
            <w:vAlign w:val="center"/>
          </w:tcPr>
          <w:p>
            <w:pPr>
              <w:ind w:firstLine="28"/>
              <w:jc w:val="center"/>
              <w:rPr>
                <w:rFonts w:hint="eastAsia" w:ascii="微软雅黑" w:hAnsi="微软雅黑" w:eastAsia="微软雅黑" w:cs="微软雅黑"/>
                <w:sz w:val="21"/>
                <w:szCs w:val="21"/>
              </w:rPr>
            </w:pPr>
          </w:p>
        </w:tc>
        <w:tc>
          <w:tcPr>
            <w:tcW w:w="805" w:type="dxa"/>
            <w:vMerge w:val="continue"/>
            <w:vAlign w:val="center"/>
          </w:tcPr>
          <w:p>
            <w:pPr>
              <w:ind w:firstLine="28"/>
              <w:jc w:val="center"/>
              <w:rPr>
                <w:rFonts w:hint="eastAsia" w:ascii="微软雅黑" w:hAnsi="微软雅黑" w:eastAsia="微软雅黑" w:cs="微软雅黑"/>
                <w:sz w:val="21"/>
                <w:szCs w:val="21"/>
              </w:rPr>
            </w:pPr>
          </w:p>
        </w:tc>
        <w:tc>
          <w:tcPr>
            <w:tcW w:w="3978" w:type="dxa"/>
            <w:vAlign w:val="center"/>
          </w:tcPr>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4.质保期后要求</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投标人承诺，质保期到期后，每年所投产品维保费≤中标单价金额的2%得</w:t>
            </w:r>
            <w:r>
              <w:rPr>
                <w:rFonts w:hint="eastAsia" w:ascii="微软雅黑" w:hAnsi="微软雅黑" w:eastAsia="微软雅黑" w:cs="微软雅黑"/>
                <w:color w:val="FF0000"/>
                <w:sz w:val="21"/>
                <w:szCs w:val="21"/>
              </w:rPr>
              <w:t>6</w:t>
            </w:r>
            <w:r>
              <w:rPr>
                <w:rFonts w:hint="eastAsia" w:ascii="微软雅黑" w:hAnsi="微软雅黑" w:eastAsia="微软雅黑" w:cs="微软雅黑"/>
                <w:sz w:val="21"/>
                <w:szCs w:val="21"/>
              </w:rPr>
              <w:t>分，维保费为中标单价金额的3%得</w:t>
            </w:r>
            <w:r>
              <w:rPr>
                <w:rFonts w:hint="eastAsia" w:ascii="微软雅黑" w:hAnsi="微软雅黑" w:eastAsia="微软雅黑" w:cs="微软雅黑"/>
                <w:color w:val="FF0000"/>
                <w:sz w:val="21"/>
                <w:szCs w:val="21"/>
              </w:rPr>
              <w:t>4</w:t>
            </w:r>
            <w:r>
              <w:rPr>
                <w:rFonts w:hint="eastAsia" w:ascii="微软雅黑" w:hAnsi="微软雅黑" w:eastAsia="微软雅黑" w:cs="微软雅黑"/>
                <w:sz w:val="21"/>
                <w:szCs w:val="21"/>
              </w:rPr>
              <w:t>分，维保费为中标单价金额的4%得</w:t>
            </w:r>
            <w:r>
              <w:rPr>
                <w:rFonts w:hint="eastAsia" w:ascii="微软雅黑" w:hAnsi="微软雅黑" w:eastAsia="微软雅黑" w:cs="微软雅黑"/>
                <w:color w:val="FF0000"/>
                <w:sz w:val="21"/>
                <w:szCs w:val="21"/>
              </w:rPr>
              <w:t>2</w:t>
            </w:r>
            <w:r>
              <w:rPr>
                <w:rFonts w:hint="eastAsia" w:ascii="微软雅黑" w:hAnsi="微软雅黑" w:eastAsia="微软雅黑" w:cs="微软雅黑"/>
                <w:sz w:val="21"/>
                <w:szCs w:val="21"/>
              </w:rPr>
              <w:t>分，维保费为中标单价金额的5%得0分，超出中标单价金额/中标金额的5%或未提供承诺函得0分。</w:t>
            </w:r>
          </w:p>
        </w:tc>
        <w:tc>
          <w:tcPr>
            <w:tcW w:w="2440" w:type="dxa"/>
            <w:vAlign w:val="center"/>
          </w:tcPr>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提供承诺函，格式自拟。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5" w:type="dxa"/>
            <w:vMerge w:val="continue"/>
            <w:vAlign w:val="center"/>
          </w:tcPr>
          <w:p>
            <w:pPr>
              <w:ind w:firstLine="28"/>
              <w:jc w:val="center"/>
              <w:rPr>
                <w:rFonts w:hint="eastAsia" w:ascii="微软雅黑" w:hAnsi="微软雅黑" w:eastAsia="微软雅黑" w:cs="微软雅黑"/>
                <w:sz w:val="21"/>
                <w:szCs w:val="21"/>
              </w:rPr>
            </w:pPr>
          </w:p>
        </w:tc>
        <w:tc>
          <w:tcPr>
            <w:tcW w:w="1570" w:type="dxa"/>
            <w:vMerge w:val="continue"/>
            <w:vAlign w:val="center"/>
          </w:tcPr>
          <w:p>
            <w:pPr>
              <w:ind w:firstLine="28"/>
              <w:jc w:val="center"/>
              <w:rPr>
                <w:rFonts w:hint="eastAsia" w:ascii="微软雅黑" w:hAnsi="微软雅黑" w:eastAsia="微软雅黑" w:cs="微软雅黑"/>
                <w:sz w:val="21"/>
                <w:szCs w:val="21"/>
              </w:rPr>
            </w:pPr>
          </w:p>
        </w:tc>
        <w:tc>
          <w:tcPr>
            <w:tcW w:w="80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履约能力</w:t>
            </w:r>
          </w:p>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4</w:t>
            </w:r>
          </w:p>
        </w:tc>
        <w:tc>
          <w:tcPr>
            <w:tcW w:w="3978" w:type="dxa"/>
            <w:vAlign w:val="center"/>
          </w:tcPr>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202</w:t>
            </w:r>
            <w:r>
              <w:rPr>
                <w:rFonts w:hint="eastAsia" w:ascii="微软雅黑" w:hAnsi="微软雅黑" w:eastAsia="微软雅黑" w:cs="微软雅黑"/>
                <w:color w:val="FF0000"/>
                <w:sz w:val="21"/>
                <w:szCs w:val="21"/>
              </w:rPr>
              <w:t>1</w:t>
            </w:r>
            <w:r>
              <w:rPr>
                <w:rFonts w:hint="eastAsia" w:ascii="微软雅黑" w:hAnsi="微软雅黑" w:eastAsia="微软雅黑" w:cs="微软雅黑"/>
                <w:sz w:val="21"/>
                <w:szCs w:val="21"/>
              </w:rPr>
              <w:t>年1月1日至投标截止时间止（以合同签订时间为准)，</w:t>
            </w:r>
            <w:r>
              <w:rPr>
                <w:rFonts w:hint="eastAsia" w:ascii="微软雅黑" w:hAnsi="微软雅黑" w:eastAsia="微软雅黑" w:cs="微软雅黑"/>
                <w:color w:val="FF0000"/>
                <w:sz w:val="21"/>
                <w:szCs w:val="21"/>
              </w:rPr>
              <w:t>投标人或所投产品制造商</w:t>
            </w:r>
            <w:r>
              <w:rPr>
                <w:rFonts w:hint="eastAsia" w:ascii="微软雅黑" w:hAnsi="微软雅黑" w:eastAsia="微软雅黑" w:cs="微软雅黑"/>
                <w:sz w:val="21"/>
                <w:szCs w:val="21"/>
              </w:rPr>
              <w:t>有所投</w:t>
            </w:r>
            <w:r>
              <w:rPr>
                <w:rFonts w:hint="eastAsia" w:ascii="微软雅黑" w:hAnsi="微软雅黑" w:eastAsia="微软雅黑" w:cs="微软雅黑"/>
                <w:color w:val="FF0000"/>
                <w:sz w:val="21"/>
                <w:szCs w:val="21"/>
              </w:rPr>
              <w:t>同</w:t>
            </w:r>
            <w:r>
              <w:rPr>
                <w:rFonts w:hint="eastAsia" w:ascii="微软雅黑" w:hAnsi="微软雅黑" w:eastAsia="微软雅黑" w:cs="微软雅黑"/>
                <w:sz w:val="21"/>
                <w:szCs w:val="21"/>
              </w:rPr>
              <w:t>品牌同型号产品的销售业绩</w:t>
            </w:r>
            <w:r>
              <w:rPr>
                <w:rFonts w:hint="eastAsia" w:ascii="微软雅黑" w:hAnsi="微软雅黑" w:eastAsia="微软雅黑" w:cs="微软雅黑"/>
                <w:color w:val="FF0000"/>
                <w:sz w:val="21"/>
                <w:szCs w:val="21"/>
              </w:rPr>
              <w:t>（买方非经销商或代理商）</w:t>
            </w:r>
            <w:r>
              <w:rPr>
                <w:rFonts w:hint="eastAsia" w:ascii="微软雅黑" w:hAnsi="微软雅黑" w:eastAsia="微软雅黑" w:cs="微软雅黑"/>
                <w:sz w:val="21"/>
                <w:szCs w:val="21"/>
              </w:rPr>
              <w:t>，提供一个业绩得</w:t>
            </w:r>
            <w:r>
              <w:rPr>
                <w:rFonts w:hint="eastAsia" w:ascii="微软雅黑" w:hAnsi="微软雅黑" w:eastAsia="微软雅黑" w:cs="微软雅黑"/>
                <w:color w:val="FF0000"/>
                <w:sz w:val="21"/>
                <w:szCs w:val="21"/>
              </w:rPr>
              <w:t>1</w:t>
            </w:r>
            <w:r>
              <w:rPr>
                <w:rFonts w:hint="eastAsia" w:ascii="微软雅黑" w:hAnsi="微软雅黑" w:eastAsia="微软雅黑" w:cs="微软雅黑"/>
                <w:sz w:val="21"/>
                <w:szCs w:val="21"/>
              </w:rPr>
              <w:t>分，本项最多得</w:t>
            </w:r>
            <w:r>
              <w:rPr>
                <w:rFonts w:hint="eastAsia" w:ascii="微软雅黑" w:hAnsi="微软雅黑" w:eastAsia="微软雅黑" w:cs="微软雅黑"/>
                <w:color w:val="FF0000"/>
                <w:sz w:val="21"/>
                <w:szCs w:val="21"/>
              </w:rPr>
              <w:t>4</w:t>
            </w:r>
            <w:r>
              <w:rPr>
                <w:rFonts w:hint="eastAsia" w:ascii="微软雅黑" w:hAnsi="微软雅黑" w:eastAsia="微软雅黑" w:cs="微软雅黑"/>
                <w:sz w:val="21"/>
                <w:szCs w:val="21"/>
              </w:rPr>
              <w:t>分，不满足或未提供</w:t>
            </w:r>
            <w:r>
              <w:rPr>
                <w:rFonts w:hint="eastAsia" w:ascii="微软雅黑" w:hAnsi="微软雅黑" w:eastAsia="微软雅黑" w:cs="微软雅黑"/>
                <w:color w:val="FF0000"/>
                <w:sz w:val="21"/>
                <w:szCs w:val="21"/>
              </w:rPr>
              <w:t>对应佐证材料</w:t>
            </w:r>
            <w:r>
              <w:rPr>
                <w:rFonts w:hint="eastAsia" w:ascii="微软雅黑" w:hAnsi="微软雅黑" w:eastAsia="微软雅黑" w:cs="微软雅黑"/>
                <w:sz w:val="21"/>
                <w:szCs w:val="21"/>
              </w:rPr>
              <w:t>的得0分。</w:t>
            </w:r>
          </w:p>
        </w:tc>
        <w:tc>
          <w:tcPr>
            <w:tcW w:w="2440" w:type="dxa"/>
            <w:vAlign w:val="center"/>
          </w:tcPr>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1.提供业绩合同复印件（合同内容至少包含合同首页，产品信息页（内容包含产品型号规格和数量）、签字盖章页）；</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2.业绩合同对应佐证材料：验收合格报告复印件或中标/成交结果公示（公告）复印件或对应业绩合同的付款凭证（转账凭证）复印件，以上三选一提供；</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3.同一业绩合同只计分一次。</w:t>
            </w:r>
          </w:p>
        </w:tc>
      </w:tr>
    </w:tbl>
    <w:p>
      <w:pPr>
        <w:snapToGrid w:val="0"/>
        <w:spacing w:line="400" w:lineRule="exact"/>
        <w:ind w:firstLine="465"/>
        <w:rPr>
          <w:rFonts w:hint="eastAsia" w:ascii="微软雅黑" w:hAnsi="微软雅黑" w:eastAsia="微软雅黑" w:cs="微软雅黑"/>
          <w:b w:val="0"/>
          <w:bCs w:val="0"/>
          <w:color w:val="auto"/>
          <w:sz w:val="24"/>
        </w:rPr>
      </w:pPr>
      <w:bookmarkStart w:id="114" w:name="_Toc31497"/>
      <w:bookmarkStart w:id="115" w:name="_Toc76462335"/>
      <w:bookmarkStart w:id="116" w:name="_Toc106030890"/>
      <w:r>
        <w:rPr>
          <w:rFonts w:hint="eastAsia" w:ascii="微软雅黑" w:hAnsi="微软雅黑" w:eastAsia="微软雅黑" w:cs="微软雅黑"/>
          <w:b w:val="0"/>
          <w:bCs w:val="0"/>
          <w:color w:val="auto"/>
          <w:sz w:val="24"/>
        </w:rPr>
        <w:t xml:space="preserve"> 注：</w:t>
      </w:r>
      <w:r>
        <w:rPr>
          <w:rFonts w:hint="eastAsia" w:ascii="微软雅黑" w:hAnsi="微软雅黑" w:eastAsia="微软雅黑" w:cs="微软雅黑"/>
          <w:b w:val="0"/>
          <w:bCs w:val="0"/>
          <w:color w:val="auto"/>
          <w:sz w:val="24"/>
          <w:lang w:eastAsia="zh-CN"/>
        </w:rPr>
        <w:t>设备报价</w:t>
      </w:r>
      <w:r>
        <w:rPr>
          <w:rFonts w:hint="eastAsia" w:ascii="微软雅黑" w:hAnsi="微软雅黑" w:eastAsia="微软雅黑" w:cs="微软雅黑"/>
          <w:b w:val="0"/>
          <w:bCs w:val="0"/>
          <w:color w:val="auto"/>
          <w:sz w:val="24"/>
        </w:rPr>
        <w:t>异常低价问题有关事项的说明</w:t>
      </w:r>
    </w:p>
    <w:p>
      <w:pPr>
        <w:snapToGrid w:val="0"/>
        <w:spacing w:line="400" w:lineRule="exact"/>
        <w:ind w:firstLine="465"/>
        <w:rPr>
          <w:rFonts w:hint="eastAsia" w:ascii="微软雅黑" w:hAnsi="微软雅黑" w:eastAsia="微软雅黑" w:cs="微软雅黑"/>
          <w:b w:val="0"/>
          <w:bCs w:val="0"/>
          <w:color w:val="auto"/>
          <w:sz w:val="24"/>
        </w:rPr>
      </w:pPr>
      <w:r>
        <w:rPr>
          <w:rFonts w:hint="eastAsia" w:ascii="微软雅黑" w:hAnsi="微软雅黑" w:eastAsia="微软雅黑" w:cs="微软雅黑"/>
          <w:b w:val="0"/>
          <w:bCs w:val="0"/>
          <w:color w:val="auto"/>
          <w:sz w:val="24"/>
        </w:rPr>
        <w:t>（一）</w:t>
      </w:r>
      <w:r>
        <w:rPr>
          <w:rFonts w:hint="eastAsia" w:ascii="微软雅黑" w:hAnsi="微软雅黑" w:eastAsia="微软雅黑" w:cs="微软雅黑"/>
          <w:b w:val="0"/>
          <w:bCs w:val="0"/>
          <w:color w:val="auto"/>
          <w:sz w:val="24"/>
          <w:lang w:val="en-US" w:eastAsia="zh-CN"/>
        </w:rPr>
        <w:t>该项目</w:t>
      </w:r>
      <w:r>
        <w:rPr>
          <w:rFonts w:hint="eastAsia" w:ascii="微软雅黑" w:hAnsi="微软雅黑" w:eastAsia="微软雅黑" w:cs="微软雅黑"/>
          <w:b w:val="0"/>
          <w:bCs w:val="0"/>
          <w:color w:val="auto"/>
          <w:sz w:val="24"/>
        </w:rPr>
        <w:t>采购评审中出现下列情形之一的，</w:t>
      </w:r>
      <w:r>
        <w:rPr>
          <w:rFonts w:hint="default" w:ascii="微软雅黑" w:hAnsi="微软雅黑" w:eastAsia="微软雅黑" w:cs="微软雅黑"/>
          <w:b w:val="0"/>
          <w:bCs w:val="0"/>
          <w:color w:val="auto"/>
          <w:sz w:val="24"/>
          <w:lang w:eastAsia="zh-CN"/>
        </w:rPr>
        <w:t>评标小组</w:t>
      </w:r>
      <w:r>
        <w:rPr>
          <w:rFonts w:hint="eastAsia" w:ascii="微软雅黑" w:hAnsi="微软雅黑" w:eastAsia="微软雅黑" w:cs="微软雅黑"/>
          <w:b w:val="0"/>
          <w:bCs w:val="0"/>
          <w:color w:val="auto"/>
          <w:sz w:val="24"/>
        </w:rPr>
        <w:t>应当启动异常低价投标审查程序：</w:t>
      </w:r>
    </w:p>
    <w:p>
      <w:pPr>
        <w:snapToGrid w:val="0"/>
        <w:spacing w:line="400" w:lineRule="exact"/>
        <w:ind w:firstLine="465"/>
        <w:rPr>
          <w:rFonts w:hint="eastAsia" w:ascii="微软雅黑" w:hAnsi="微软雅黑" w:eastAsia="微软雅黑" w:cs="微软雅黑"/>
          <w:b w:val="0"/>
          <w:bCs w:val="0"/>
          <w:color w:val="auto"/>
          <w:sz w:val="24"/>
        </w:rPr>
      </w:pPr>
      <w:r>
        <w:rPr>
          <w:rFonts w:hint="eastAsia" w:ascii="微软雅黑" w:hAnsi="微软雅黑" w:eastAsia="微软雅黑" w:cs="微软雅黑"/>
          <w:b w:val="0"/>
          <w:bCs w:val="0"/>
          <w:color w:val="auto"/>
          <w:sz w:val="24"/>
        </w:rPr>
        <w:t>1.</w:t>
      </w:r>
      <w:r>
        <w:rPr>
          <w:rFonts w:hint="eastAsia" w:ascii="微软雅黑" w:hAnsi="微软雅黑" w:eastAsia="微软雅黑" w:cs="微软雅黑"/>
          <w:b w:val="0"/>
          <w:bCs w:val="0"/>
          <w:color w:val="auto"/>
          <w:sz w:val="24"/>
          <w:lang w:eastAsia="zh-CN"/>
        </w:rPr>
        <w:t>设备</w:t>
      </w:r>
      <w:r>
        <w:rPr>
          <w:rFonts w:hint="eastAsia" w:ascii="微软雅黑" w:hAnsi="微软雅黑" w:eastAsia="微软雅黑" w:cs="微软雅黑"/>
          <w:b w:val="0"/>
          <w:bCs w:val="0"/>
          <w:color w:val="auto"/>
          <w:sz w:val="24"/>
        </w:rPr>
        <w:t>投标报价低于全部通过符合性审查投标人投标报价平均值50%的，即</w:t>
      </w:r>
      <w:r>
        <w:rPr>
          <w:rFonts w:hint="eastAsia" w:ascii="微软雅黑" w:hAnsi="微软雅黑" w:eastAsia="微软雅黑" w:cs="微软雅黑"/>
          <w:b w:val="0"/>
          <w:bCs w:val="0"/>
          <w:color w:val="auto"/>
          <w:sz w:val="24"/>
          <w:lang w:val="en-US" w:eastAsia="zh-CN"/>
        </w:rPr>
        <w:t>设备</w:t>
      </w:r>
      <w:r>
        <w:rPr>
          <w:rFonts w:hint="eastAsia" w:ascii="微软雅黑" w:hAnsi="微软雅黑" w:eastAsia="微软雅黑" w:cs="微软雅黑"/>
          <w:b w:val="0"/>
          <w:bCs w:val="0"/>
          <w:color w:val="auto"/>
          <w:sz w:val="24"/>
        </w:rPr>
        <w:t>投标报价＜全部通过符合性审查投标人投标报价平均值×50%；</w:t>
      </w:r>
    </w:p>
    <w:p>
      <w:pPr>
        <w:snapToGrid w:val="0"/>
        <w:spacing w:line="400" w:lineRule="exact"/>
        <w:ind w:firstLine="465"/>
        <w:rPr>
          <w:rFonts w:hint="eastAsia" w:ascii="微软雅黑" w:hAnsi="微软雅黑" w:eastAsia="微软雅黑" w:cs="微软雅黑"/>
          <w:b w:val="0"/>
          <w:bCs w:val="0"/>
          <w:color w:val="auto"/>
          <w:sz w:val="24"/>
        </w:rPr>
      </w:pPr>
      <w:r>
        <w:rPr>
          <w:rFonts w:hint="eastAsia" w:ascii="微软雅黑" w:hAnsi="微软雅黑" w:eastAsia="微软雅黑" w:cs="微软雅黑"/>
          <w:b w:val="0"/>
          <w:bCs w:val="0"/>
          <w:color w:val="auto"/>
          <w:sz w:val="24"/>
        </w:rPr>
        <w:t>2.</w:t>
      </w:r>
      <w:r>
        <w:rPr>
          <w:rFonts w:hint="eastAsia" w:ascii="微软雅黑" w:hAnsi="微软雅黑" w:eastAsia="微软雅黑" w:cs="微软雅黑"/>
          <w:b w:val="0"/>
          <w:bCs w:val="0"/>
          <w:color w:val="auto"/>
          <w:sz w:val="24"/>
          <w:lang w:val="en-US" w:eastAsia="zh-CN"/>
        </w:rPr>
        <w:t>设备</w:t>
      </w:r>
      <w:r>
        <w:rPr>
          <w:rFonts w:hint="eastAsia" w:ascii="微软雅黑" w:hAnsi="微软雅黑" w:eastAsia="微软雅黑" w:cs="微软雅黑"/>
          <w:b w:val="0"/>
          <w:bCs w:val="0"/>
          <w:color w:val="auto"/>
          <w:sz w:val="24"/>
        </w:rPr>
        <w:t>投标报价低于通过符合性审查的次低报价投标人投标报价50%的，即</w:t>
      </w:r>
      <w:r>
        <w:rPr>
          <w:rFonts w:hint="eastAsia" w:ascii="微软雅黑" w:hAnsi="微软雅黑" w:eastAsia="微软雅黑" w:cs="微软雅黑"/>
          <w:b w:val="0"/>
          <w:bCs w:val="0"/>
          <w:color w:val="auto"/>
          <w:sz w:val="24"/>
          <w:lang w:val="en-US" w:eastAsia="zh-CN"/>
        </w:rPr>
        <w:t>设备</w:t>
      </w:r>
      <w:r>
        <w:rPr>
          <w:rFonts w:hint="eastAsia" w:ascii="微软雅黑" w:hAnsi="微软雅黑" w:eastAsia="微软雅黑" w:cs="微软雅黑"/>
          <w:b w:val="0"/>
          <w:bCs w:val="0"/>
          <w:color w:val="auto"/>
          <w:sz w:val="24"/>
        </w:rPr>
        <w:t>投标报价＜通过符合性审查的次低报价投标人投标报价×50%；</w:t>
      </w:r>
    </w:p>
    <w:p>
      <w:pPr>
        <w:snapToGrid w:val="0"/>
        <w:spacing w:line="400" w:lineRule="exact"/>
        <w:ind w:firstLine="465"/>
        <w:rPr>
          <w:rFonts w:hint="eastAsia" w:ascii="微软雅黑" w:hAnsi="微软雅黑" w:eastAsia="微软雅黑" w:cs="微软雅黑"/>
          <w:b w:val="0"/>
          <w:bCs w:val="0"/>
          <w:color w:val="auto"/>
          <w:sz w:val="24"/>
        </w:rPr>
      </w:pPr>
      <w:r>
        <w:rPr>
          <w:rFonts w:hint="eastAsia" w:ascii="微软雅黑" w:hAnsi="微软雅黑" w:eastAsia="微软雅黑" w:cs="微软雅黑"/>
          <w:b w:val="0"/>
          <w:bCs w:val="0"/>
          <w:color w:val="auto"/>
          <w:sz w:val="24"/>
        </w:rPr>
        <w:t>3.</w:t>
      </w:r>
      <w:r>
        <w:rPr>
          <w:rFonts w:hint="eastAsia" w:ascii="微软雅黑" w:hAnsi="微软雅黑" w:eastAsia="微软雅黑" w:cs="微软雅黑"/>
          <w:b w:val="0"/>
          <w:bCs w:val="0"/>
          <w:color w:val="auto"/>
          <w:sz w:val="24"/>
          <w:lang w:val="en-US" w:eastAsia="zh-CN"/>
        </w:rPr>
        <w:t>设备</w:t>
      </w:r>
      <w:r>
        <w:rPr>
          <w:rFonts w:hint="eastAsia" w:ascii="微软雅黑" w:hAnsi="微软雅黑" w:eastAsia="微软雅黑" w:cs="微软雅黑"/>
          <w:b w:val="0"/>
          <w:bCs w:val="0"/>
          <w:color w:val="auto"/>
          <w:sz w:val="24"/>
        </w:rPr>
        <w:t>投标报价低于采购项目最高限价45%的，即</w:t>
      </w:r>
      <w:r>
        <w:rPr>
          <w:rFonts w:hint="eastAsia" w:ascii="微软雅黑" w:hAnsi="微软雅黑" w:eastAsia="微软雅黑" w:cs="微软雅黑"/>
          <w:b w:val="0"/>
          <w:bCs w:val="0"/>
          <w:color w:val="auto"/>
          <w:sz w:val="24"/>
          <w:lang w:val="en-US" w:eastAsia="zh-CN"/>
        </w:rPr>
        <w:t>设备</w:t>
      </w:r>
      <w:r>
        <w:rPr>
          <w:rFonts w:hint="eastAsia" w:ascii="微软雅黑" w:hAnsi="微软雅黑" w:eastAsia="微软雅黑" w:cs="微软雅黑"/>
          <w:b w:val="0"/>
          <w:bCs w:val="0"/>
          <w:color w:val="auto"/>
          <w:sz w:val="24"/>
        </w:rPr>
        <w:t>投标报价＜采购项目</w:t>
      </w:r>
      <w:r>
        <w:rPr>
          <w:rFonts w:hint="eastAsia" w:ascii="微软雅黑" w:hAnsi="微软雅黑" w:eastAsia="微软雅黑" w:cs="微软雅黑"/>
          <w:b w:val="0"/>
          <w:bCs w:val="0"/>
          <w:color w:val="auto"/>
          <w:sz w:val="24"/>
          <w:lang w:eastAsia="zh-CN"/>
        </w:rPr>
        <w:t>设备</w:t>
      </w:r>
      <w:r>
        <w:rPr>
          <w:rFonts w:hint="eastAsia" w:ascii="微软雅黑" w:hAnsi="微软雅黑" w:eastAsia="微软雅黑" w:cs="微软雅黑"/>
          <w:b w:val="0"/>
          <w:bCs w:val="0"/>
          <w:color w:val="auto"/>
          <w:sz w:val="24"/>
        </w:rPr>
        <w:t>最高限价×45%；</w:t>
      </w:r>
    </w:p>
    <w:p>
      <w:pPr>
        <w:snapToGrid w:val="0"/>
        <w:spacing w:line="400" w:lineRule="exact"/>
        <w:ind w:firstLine="465"/>
        <w:rPr>
          <w:rFonts w:hint="eastAsia" w:ascii="微软雅黑" w:hAnsi="微软雅黑" w:eastAsia="微软雅黑" w:cs="微软雅黑"/>
          <w:b w:val="0"/>
          <w:bCs w:val="0"/>
          <w:color w:val="auto"/>
          <w:sz w:val="24"/>
        </w:rPr>
      </w:pPr>
      <w:r>
        <w:rPr>
          <w:rFonts w:hint="eastAsia" w:ascii="微软雅黑" w:hAnsi="微软雅黑" w:eastAsia="微软雅黑" w:cs="微软雅黑"/>
          <w:b w:val="0"/>
          <w:bCs w:val="0"/>
          <w:color w:val="auto"/>
          <w:sz w:val="24"/>
        </w:rPr>
        <w:t>4.</w:t>
      </w:r>
      <w:r>
        <w:rPr>
          <w:rFonts w:hint="default" w:ascii="微软雅黑" w:hAnsi="微软雅黑" w:eastAsia="微软雅黑" w:cs="微软雅黑"/>
          <w:b w:val="0"/>
          <w:bCs w:val="0"/>
          <w:color w:val="auto"/>
          <w:sz w:val="24"/>
          <w:lang w:eastAsia="zh-CN"/>
        </w:rPr>
        <w:t>评标小组</w:t>
      </w:r>
      <w:r>
        <w:rPr>
          <w:rFonts w:hint="eastAsia" w:ascii="微软雅黑" w:hAnsi="微软雅黑" w:eastAsia="微软雅黑" w:cs="微软雅黑"/>
          <w:b w:val="0"/>
          <w:bCs w:val="0"/>
          <w:color w:val="auto"/>
          <w:sz w:val="24"/>
        </w:rPr>
        <w:t>基于专业判断，认为投标人</w:t>
      </w:r>
      <w:r>
        <w:rPr>
          <w:rFonts w:hint="eastAsia" w:ascii="微软雅黑" w:hAnsi="微软雅黑" w:eastAsia="微软雅黑" w:cs="微软雅黑"/>
          <w:b w:val="0"/>
          <w:bCs w:val="0"/>
          <w:color w:val="auto"/>
          <w:sz w:val="24"/>
          <w:lang w:eastAsia="zh-CN"/>
        </w:rPr>
        <w:t>设备</w:t>
      </w:r>
      <w:r>
        <w:rPr>
          <w:rFonts w:hint="eastAsia" w:ascii="微软雅黑" w:hAnsi="微软雅黑" w:eastAsia="微软雅黑" w:cs="微软雅黑"/>
          <w:b w:val="0"/>
          <w:bCs w:val="0"/>
          <w:color w:val="auto"/>
          <w:sz w:val="24"/>
        </w:rPr>
        <w:t>报价过低，有可能影响产品质量或者不能诚信履约的其他情形。</w:t>
      </w:r>
    </w:p>
    <w:p>
      <w:pPr>
        <w:snapToGrid w:val="0"/>
        <w:spacing w:line="400" w:lineRule="exact"/>
        <w:ind w:firstLine="465"/>
        <w:rPr>
          <w:rFonts w:hint="eastAsia" w:ascii="微软雅黑" w:hAnsi="微软雅黑" w:eastAsia="微软雅黑" w:cs="微软雅黑"/>
          <w:b w:val="0"/>
          <w:bCs w:val="0"/>
          <w:color w:val="auto"/>
          <w:sz w:val="24"/>
        </w:rPr>
      </w:pPr>
      <w:r>
        <w:rPr>
          <w:rFonts w:hint="eastAsia" w:ascii="微软雅黑" w:hAnsi="微软雅黑" w:eastAsia="微软雅黑" w:cs="微软雅黑"/>
          <w:b w:val="0"/>
          <w:bCs w:val="0"/>
          <w:color w:val="auto"/>
          <w:sz w:val="24"/>
        </w:rPr>
        <w:t>（二）</w:t>
      </w:r>
      <w:r>
        <w:rPr>
          <w:rFonts w:hint="default" w:ascii="微软雅黑" w:hAnsi="微软雅黑" w:eastAsia="微软雅黑" w:cs="微软雅黑"/>
          <w:b w:val="0"/>
          <w:bCs w:val="0"/>
          <w:color w:val="auto"/>
          <w:sz w:val="24"/>
          <w:lang w:eastAsia="zh-CN"/>
        </w:rPr>
        <w:t>评标小组</w:t>
      </w:r>
      <w:r>
        <w:rPr>
          <w:rFonts w:hint="eastAsia" w:ascii="微软雅黑" w:hAnsi="微软雅黑" w:eastAsia="微软雅黑" w:cs="微软雅黑"/>
          <w:b w:val="0"/>
          <w:bCs w:val="0"/>
          <w:color w:val="auto"/>
          <w:sz w:val="24"/>
        </w:rPr>
        <w:t>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审现场可不再重复提交。</w:t>
      </w:r>
    </w:p>
    <w:p>
      <w:pPr>
        <w:snapToGrid w:val="0"/>
        <w:spacing w:line="400" w:lineRule="exact"/>
        <w:ind w:firstLine="480" w:firstLineChars="200"/>
        <w:rPr>
          <w:rFonts w:hint="eastAsia" w:ascii="微软雅黑" w:hAnsi="微软雅黑" w:eastAsia="微软雅黑" w:cs="微软雅黑"/>
          <w:sz w:val="24"/>
        </w:rPr>
      </w:pPr>
      <w:r>
        <w:rPr>
          <w:rFonts w:hint="default" w:ascii="微软雅黑" w:hAnsi="微软雅黑" w:eastAsia="微软雅黑" w:cs="微软雅黑"/>
          <w:b w:val="0"/>
          <w:bCs w:val="0"/>
          <w:color w:val="auto"/>
          <w:sz w:val="24"/>
          <w:lang w:eastAsia="zh-CN"/>
        </w:rPr>
        <w:t>评标小组</w:t>
      </w:r>
      <w:r>
        <w:rPr>
          <w:rFonts w:hint="eastAsia" w:ascii="微软雅黑" w:hAnsi="微软雅黑" w:eastAsia="微软雅黑" w:cs="微软雅黑"/>
          <w:b w:val="0"/>
          <w:bCs w:val="0"/>
          <w:color w:val="auto"/>
          <w:sz w:val="24"/>
        </w:rPr>
        <w:t>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default" w:ascii="微软雅黑" w:hAnsi="微软雅黑" w:eastAsia="微软雅黑" w:cs="微软雅黑"/>
          <w:b w:val="0"/>
          <w:bCs w:val="0"/>
          <w:color w:val="auto"/>
          <w:sz w:val="24"/>
          <w:lang w:eastAsia="zh-CN"/>
        </w:rPr>
        <w:t>评标小组</w:t>
      </w:r>
      <w:r>
        <w:rPr>
          <w:rFonts w:hint="eastAsia" w:ascii="微软雅黑" w:hAnsi="微软雅黑" w:eastAsia="微软雅黑" w:cs="微软雅黑"/>
          <w:b w:val="0"/>
          <w:bCs w:val="0"/>
          <w:color w:val="auto"/>
          <w:sz w:val="24"/>
        </w:rPr>
        <w:t>应当将其作为无效投标处理。</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7" w:name="_Toc17606"/>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、无效响应</w:t>
      </w:r>
      <w:bookmarkEnd w:id="114"/>
      <w:bookmarkEnd w:id="115"/>
      <w:bookmarkEnd w:id="116"/>
      <w:bookmarkEnd w:id="117"/>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在采购人规定时间内到达开标现场进行签到并提交纸质版响应文件的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lang w:val="en-US" w:eastAsia="zh-CN"/>
        </w:rPr>
        <w:t>授权</w:t>
      </w:r>
      <w:r>
        <w:rPr>
          <w:rFonts w:hint="eastAsia" w:ascii="微软雅黑" w:hAnsi="微软雅黑" w:eastAsia="微软雅黑" w:cs="微软雅黑"/>
          <w:sz w:val="24"/>
          <w:szCs w:val="24"/>
        </w:rPr>
        <w:t>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（十）法律、法规和</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lang w:eastAsia="zh-CN"/>
        </w:rPr>
        <w:t>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8" w:name="_Toc12222"/>
      <w:bookmarkStart w:id="119" w:name="_Toc76462336"/>
      <w:bookmarkStart w:id="120" w:name="_Toc10687"/>
      <w:bookmarkStart w:id="121" w:name="_Toc106030891"/>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w:t>
      </w:r>
      <w:bookmarkEnd w:id="104"/>
      <w:bookmarkEnd w:id="105"/>
      <w:bookmarkEnd w:id="118"/>
      <w:bookmarkEnd w:id="119"/>
      <w:bookmarkEnd w:id="120"/>
      <w:bookmarkEnd w:id="121"/>
      <w:r>
        <w:rPr>
          <w:rFonts w:hint="eastAsia" w:ascii="微软雅黑" w:hAnsi="微软雅黑" w:eastAsia="微软雅黑" w:cs="微软雅黑"/>
          <w:sz w:val="24"/>
        </w:rPr>
        <w:t>废标条款</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（二）出现影响采购公正的违法、违规行为的；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（三）在采购过程中符合要求的有效投标人不足</w:t>
      </w:r>
      <w:r>
        <w:rPr>
          <w:rFonts w:hint="eastAsia" w:ascii="微软雅黑" w:hAnsi="微软雅黑" w:eastAsia="微软雅黑" w:cs="微软雅黑"/>
          <w:color w:val="auto"/>
          <w:sz w:val="24"/>
          <w:szCs w:val="24"/>
          <w:lang w:val="en-US" w:eastAsia="zh-CN"/>
        </w:rPr>
        <w:t>3</w:t>
      </w:r>
      <w:r>
        <w:rPr>
          <w:rFonts w:hint="eastAsia" w:ascii="微软雅黑" w:hAnsi="微软雅黑" w:eastAsia="微软雅黑" w:cs="微软雅黑"/>
          <w:color w:val="auto"/>
          <w:sz w:val="24"/>
          <w:szCs w:val="24"/>
        </w:rPr>
        <w:t>家的（挂网公示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大于等于3次的除外）；</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22" w:name="_Toc76462337"/>
      <w:bookmarkStart w:id="123" w:name="_Toc106030892"/>
      <w:bookmarkStart w:id="124" w:name="_Toc102227313"/>
      <w:bookmarkStart w:id="125" w:name="_Toc13119"/>
      <w:bookmarkStart w:id="126" w:name="_Toc29948"/>
      <w:r>
        <w:rPr>
          <w:rFonts w:hint="eastAsia" w:ascii="微软雅黑" w:hAnsi="微软雅黑" w:eastAsia="微软雅黑" w:cs="微软雅黑"/>
          <w:sz w:val="44"/>
        </w:rPr>
        <w:t>第五篇  投标人须知</w:t>
      </w:r>
      <w:bookmarkEnd w:id="122"/>
      <w:bookmarkEnd w:id="123"/>
      <w:bookmarkEnd w:id="124"/>
      <w:bookmarkEnd w:id="125"/>
      <w:bookmarkEnd w:id="126"/>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7" w:name="_Toc342913389"/>
      <w:bookmarkStart w:id="128" w:name="_Toc20271"/>
      <w:bookmarkStart w:id="129" w:name="_Toc26717"/>
      <w:bookmarkStart w:id="130" w:name="_Toc106030893"/>
      <w:bookmarkStart w:id="131" w:name="_Toc76462338"/>
      <w:r>
        <w:rPr>
          <w:rFonts w:hint="eastAsia" w:ascii="微软雅黑" w:hAnsi="微软雅黑" w:eastAsia="微软雅黑" w:cs="微软雅黑"/>
          <w:sz w:val="24"/>
        </w:rPr>
        <w:t>一、公开比选费用</w:t>
      </w:r>
      <w:bookmarkEnd w:id="127"/>
      <w:bookmarkEnd w:id="128"/>
      <w:bookmarkEnd w:id="129"/>
      <w:bookmarkEnd w:id="130"/>
      <w:bookmarkEnd w:id="131"/>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2" w:name="_Toc15712"/>
      <w:bookmarkStart w:id="133" w:name="_Toc106030894"/>
      <w:bookmarkStart w:id="134" w:name="_Toc27891"/>
      <w:bookmarkStart w:id="135" w:name="_Toc76462339"/>
      <w:bookmarkStart w:id="136" w:name="_Toc342913391"/>
      <w:r>
        <w:rPr>
          <w:rFonts w:hint="eastAsia" w:ascii="微软雅黑" w:hAnsi="微软雅黑" w:eastAsia="微软雅黑" w:cs="微软雅黑"/>
          <w:sz w:val="24"/>
        </w:rPr>
        <w:t>二、公开比选采购文件</w:t>
      </w:r>
      <w:bookmarkEnd w:id="132"/>
      <w:bookmarkEnd w:id="133"/>
      <w:bookmarkEnd w:id="134"/>
      <w:bookmarkEnd w:id="135"/>
      <w:bookmarkEnd w:id="13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（一）公开比选采购文件由采购邀请书、项目服务需求、投标人须知、项目商务需求、比选程序及方法、评审标准、无效响应和采购终止、投标人须知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（二）采购人所作的一切有效的书面通知、修改及补充，都是公开比选采购文件不可分割的部分。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（三）公开比选采购文件的解释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37" w:name="_Toc318159349"/>
      <w:bookmarkStart w:id="138" w:name="_Toc318159160"/>
      <w:bookmarkStart w:id="139" w:name="_Toc318166429"/>
      <w:bookmarkStart w:id="140" w:name="_Toc318159780"/>
    </w:p>
    <w:bookmarkEnd w:id="137"/>
    <w:bookmarkEnd w:id="138"/>
    <w:bookmarkEnd w:id="139"/>
    <w:bookmarkEnd w:id="140"/>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1" w:name="_Toc179714297"/>
      <w:bookmarkStart w:id="142" w:name="_Toc26007"/>
      <w:bookmarkStart w:id="143" w:name="_Toc76462340"/>
      <w:bookmarkStart w:id="144" w:name="_Toc20510"/>
      <w:bookmarkStart w:id="145" w:name="_Toc102227318"/>
      <w:bookmarkStart w:id="146" w:name="_Toc106030895"/>
      <w:bookmarkStart w:id="147" w:name="_Toc342913392"/>
      <w:r>
        <w:rPr>
          <w:rFonts w:hint="eastAsia" w:ascii="微软雅黑" w:hAnsi="微软雅黑" w:eastAsia="微软雅黑" w:cs="微软雅黑"/>
          <w:sz w:val="24"/>
        </w:rPr>
        <w:t>三、比选要求</w:t>
      </w:r>
      <w:bookmarkEnd w:id="141"/>
      <w:bookmarkEnd w:id="142"/>
      <w:bookmarkEnd w:id="143"/>
      <w:bookmarkEnd w:id="144"/>
      <w:bookmarkEnd w:id="145"/>
      <w:bookmarkEnd w:id="146"/>
      <w:bookmarkEnd w:id="14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响应文件按公开比选采购文件“第六篇响应文件编制要求”要求签署或盖章。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8" w:name="_Toc6435"/>
      <w:bookmarkStart w:id="149" w:name="_Toc32166"/>
      <w:bookmarkStart w:id="150" w:name="_Toc106030896"/>
      <w:bookmarkStart w:id="151" w:name="_Toc76462341"/>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48"/>
      <w:bookmarkEnd w:id="149"/>
      <w:bookmarkEnd w:id="150"/>
      <w:bookmarkEnd w:id="151"/>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拒绝与采购人签订合同的，采购人可以按照评标报告推荐的成交候选投标人顺序，确定排名下一位的候选人为</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2" w:name="_Toc102227321"/>
      <w:bookmarkStart w:id="153" w:name="_Toc342913395"/>
      <w:bookmarkStart w:id="154" w:name="_Toc76462342"/>
      <w:bookmarkStart w:id="155" w:name="_Toc106030897"/>
      <w:bookmarkStart w:id="156" w:name="_Toc2729"/>
      <w:bookmarkStart w:id="157" w:name="_Toc21532"/>
      <w:r>
        <w:rPr>
          <w:rFonts w:hint="eastAsia" w:ascii="微软雅黑" w:hAnsi="微软雅黑" w:eastAsia="微软雅黑" w:cs="微软雅黑"/>
          <w:sz w:val="24"/>
        </w:rPr>
        <w:t>五、成交通知</w:t>
      </w:r>
      <w:bookmarkEnd w:id="152"/>
      <w:bookmarkEnd w:id="153"/>
      <w:bookmarkEnd w:id="154"/>
      <w:bookmarkEnd w:id="155"/>
      <w:bookmarkEnd w:id="156"/>
      <w:bookmarkEnd w:id="15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8" w:name="_Toc4796"/>
      <w:bookmarkStart w:id="159" w:name="_Toc76462343"/>
      <w:bookmarkStart w:id="160" w:name="_Toc106030898"/>
      <w:bookmarkStart w:id="161" w:name="_Toc21448"/>
      <w:r>
        <w:rPr>
          <w:rFonts w:hint="eastAsia" w:ascii="微软雅黑" w:hAnsi="微软雅黑" w:eastAsia="微软雅黑" w:cs="微软雅黑"/>
          <w:sz w:val="24"/>
        </w:rPr>
        <w:t>六、质疑处理</w:t>
      </w:r>
      <w:bookmarkEnd w:id="158"/>
      <w:bookmarkEnd w:id="159"/>
      <w:bookmarkEnd w:id="160"/>
      <w:bookmarkEnd w:id="16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62" w:name="_Toc106030899"/>
      <w:bookmarkStart w:id="163" w:name="_Toc76462344"/>
      <w:bookmarkStart w:id="164" w:name="_Toc28334"/>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65" w:name="_Toc23896"/>
      <w:r>
        <w:rPr>
          <w:rFonts w:hint="eastAsia" w:ascii="微软雅黑" w:hAnsi="微软雅黑" w:eastAsia="微软雅黑" w:cs="微软雅黑"/>
          <w:sz w:val="24"/>
        </w:rPr>
        <w:t>七、</w:t>
      </w:r>
      <w:bookmarkEnd w:id="162"/>
      <w:bookmarkEnd w:id="163"/>
      <w:bookmarkEnd w:id="164"/>
      <w:bookmarkStart w:id="166" w:name="_Toc102227322"/>
      <w:bookmarkStart w:id="167" w:name="_Toc76462346"/>
      <w:bookmarkStart w:id="168" w:name="_Toc342913396"/>
      <w:bookmarkStart w:id="169" w:name="_Toc3372"/>
      <w:bookmarkStart w:id="170" w:name="_Toc106030901"/>
      <w:bookmarkStart w:id="171" w:name="_Toc11641055"/>
      <w:bookmarkStart w:id="172" w:name="_Toc12789059"/>
      <w:r>
        <w:rPr>
          <w:rFonts w:hint="eastAsia" w:ascii="微软雅黑" w:hAnsi="微软雅黑" w:eastAsia="微软雅黑" w:cs="微软雅黑"/>
          <w:sz w:val="24"/>
        </w:rPr>
        <w:t>签订</w:t>
      </w:r>
      <w:bookmarkEnd w:id="166"/>
      <w:r>
        <w:rPr>
          <w:rFonts w:hint="eastAsia" w:ascii="微软雅黑" w:hAnsi="微软雅黑" w:eastAsia="微软雅黑" w:cs="微软雅黑"/>
          <w:sz w:val="24"/>
        </w:rPr>
        <w:t>合同</w:t>
      </w:r>
      <w:bookmarkEnd w:id="165"/>
      <w:bookmarkEnd w:id="167"/>
      <w:bookmarkEnd w:id="168"/>
      <w:bookmarkEnd w:id="169"/>
      <w:bookmarkEnd w:id="170"/>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（一）中标人应于收到中标通知书之日起5个工作日内，按照中标项目的公开比选采购文件与响应文件递交采购合同。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71"/>
      <w:bookmarkEnd w:id="172"/>
    </w:p>
    <w:p>
      <w:pPr>
        <w:pStyle w:val="4"/>
        <w:spacing w:before="200" w:after="200" w:line="240" w:lineRule="auto"/>
        <w:jc w:val="center"/>
        <w:rPr>
          <w:rFonts w:hint="eastAsia" w:ascii="微软雅黑" w:hAnsi="微软雅黑" w:eastAsia="微软雅黑" w:cs="微软雅黑"/>
          <w:b/>
          <w:sz w:val="44"/>
          <w:szCs w:val="20"/>
        </w:rPr>
      </w:pPr>
      <w:bookmarkStart w:id="173" w:name="_Hlt41879464"/>
      <w:bookmarkEnd w:id="173"/>
      <w:bookmarkStart w:id="174" w:name="_Toc21717"/>
      <w:bookmarkStart w:id="175" w:name="_Toc106030905"/>
      <w:bookmarkStart w:id="176" w:name="_Toc27984"/>
      <w:bookmarkStart w:id="177" w:name="_Toc76462349"/>
      <w:r>
        <w:rPr>
          <w:rFonts w:hint="eastAsia" w:ascii="微软雅黑" w:hAnsi="微软雅黑" w:eastAsia="微软雅黑" w:cs="微软雅黑"/>
          <w:b/>
          <w:sz w:val="44"/>
          <w:szCs w:val="20"/>
        </w:rPr>
        <w:t>第六篇  响应文件编制要求</w:t>
      </w:r>
      <w:bookmarkEnd w:id="174"/>
      <w:bookmarkEnd w:id="175"/>
      <w:bookmarkEnd w:id="176"/>
      <w:bookmarkEnd w:id="17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综合评标服务部分应答材料（格式内容自拟）</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综合评标商务部分应答材料（格式内容自拟）</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360" w:lineRule="auto"/>
        <w:jc w:val="both"/>
        <w:outlineLvl w:val="0"/>
        <w:rPr>
          <w:rFonts w:hint="eastAsia" w:ascii="微软雅黑" w:hAnsi="微软雅黑" w:eastAsia="微软雅黑" w:cs="微软雅黑"/>
          <w:lang w:eastAsia="zh-CN"/>
        </w:rPr>
      </w:pPr>
      <w:r>
        <w:rPr>
          <w:rFonts w:hint="eastAsia" w:ascii="微软雅黑" w:hAnsi="微软雅黑" w:eastAsia="微软雅黑" w:cs="微软雅黑"/>
          <w:sz w:val="24"/>
          <w:szCs w:val="24"/>
        </w:rPr>
        <w:t>五、其他资料</w:t>
      </w: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1"/>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4"/>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3"/>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65CFF"/>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031A07"/>
    <w:rsid w:val="01CD03B0"/>
    <w:rsid w:val="026C7369"/>
    <w:rsid w:val="030620E3"/>
    <w:rsid w:val="041E1336"/>
    <w:rsid w:val="04631E70"/>
    <w:rsid w:val="05986724"/>
    <w:rsid w:val="05B83278"/>
    <w:rsid w:val="079B568B"/>
    <w:rsid w:val="07F103E0"/>
    <w:rsid w:val="089E34BE"/>
    <w:rsid w:val="092E6FC0"/>
    <w:rsid w:val="093441FC"/>
    <w:rsid w:val="0BB87E47"/>
    <w:rsid w:val="0CB1205F"/>
    <w:rsid w:val="0D1F249B"/>
    <w:rsid w:val="0D26388C"/>
    <w:rsid w:val="0D2D45FA"/>
    <w:rsid w:val="0F4F0F37"/>
    <w:rsid w:val="1009316D"/>
    <w:rsid w:val="103C28BA"/>
    <w:rsid w:val="128D10D0"/>
    <w:rsid w:val="1317485C"/>
    <w:rsid w:val="137173BB"/>
    <w:rsid w:val="13C7366D"/>
    <w:rsid w:val="143E2110"/>
    <w:rsid w:val="147A5E14"/>
    <w:rsid w:val="14D11CFB"/>
    <w:rsid w:val="15935DB5"/>
    <w:rsid w:val="15BB3449"/>
    <w:rsid w:val="16404E7B"/>
    <w:rsid w:val="167215B9"/>
    <w:rsid w:val="17324323"/>
    <w:rsid w:val="17A1211B"/>
    <w:rsid w:val="18ED7A84"/>
    <w:rsid w:val="19255AF5"/>
    <w:rsid w:val="1A7E6296"/>
    <w:rsid w:val="1F0D01CA"/>
    <w:rsid w:val="1FB21338"/>
    <w:rsid w:val="20CA13E8"/>
    <w:rsid w:val="21226BB2"/>
    <w:rsid w:val="21864056"/>
    <w:rsid w:val="222348FC"/>
    <w:rsid w:val="22F860AB"/>
    <w:rsid w:val="23DB3147"/>
    <w:rsid w:val="242C5890"/>
    <w:rsid w:val="242D67AE"/>
    <w:rsid w:val="2486441F"/>
    <w:rsid w:val="25013478"/>
    <w:rsid w:val="25A07F04"/>
    <w:rsid w:val="263535D3"/>
    <w:rsid w:val="28426BC2"/>
    <w:rsid w:val="2863744A"/>
    <w:rsid w:val="29601F8B"/>
    <w:rsid w:val="296F02CD"/>
    <w:rsid w:val="2AA01F44"/>
    <w:rsid w:val="2B712B53"/>
    <w:rsid w:val="2C43216E"/>
    <w:rsid w:val="2CD472B8"/>
    <w:rsid w:val="2DB02B6B"/>
    <w:rsid w:val="2E966F2B"/>
    <w:rsid w:val="2EB54030"/>
    <w:rsid w:val="2F1B1412"/>
    <w:rsid w:val="300C58E0"/>
    <w:rsid w:val="30607DAE"/>
    <w:rsid w:val="31093DAE"/>
    <w:rsid w:val="31DA5A58"/>
    <w:rsid w:val="32EF600F"/>
    <w:rsid w:val="32FD7152"/>
    <w:rsid w:val="332D1E43"/>
    <w:rsid w:val="33673EF7"/>
    <w:rsid w:val="33CC1769"/>
    <w:rsid w:val="35680ADC"/>
    <w:rsid w:val="361F2D7D"/>
    <w:rsid w:val="37556B60"/>
    <w:rsid w:val="38CD7FDC"/>
    <w:rsid w:val="3ACE5D4F"/>
    <w:rsid w:val="3C55524B"/>
    <w:rsid w:val="3C740F54"/>
    <w:rsid w:val="3CCE1388"/>
    <w:rsid w:val="3DF6488D"/>
    <w:rsid w:val="3F1C71CA"/>
    <w:rsid w:val="406334F2"/>
    <w:rsid w:val="406D5057"/>
    <w:rsid w:val="409F14A1"/>
    <w:rsid w:val="415F6EA3"/>
    <w:rsid w:val="41E22EB6"/>
    <w:rsid w:val="440F6794"/>
    <w:rsid w:val="446528DF"/>
    <w:rsid w:val="44890FF5"/>
    <w:rsid w:val="44F64ED7"/>
    <w:rsid w:val="452C7897"/>
    <w:rsid w:val="46151D23"/>
    <w:rsid w:val="46BB1B1D"/>
    <w:rsid w:val="46D026EE"/>
    <w:rsid w:val="475E104C"/>
    <w:rsid w:val="47AA1B14"/>
    <w:rsid w:val="47DF47C8"/>
    <w:rsid w:val="47E44DA2"/>
    <w:rsid w:val="494C6B8D"/>
    <w:rsid w:val="497B7CB3"/>
    <w:rsid w:val="4A8845CE"/>
    <w:rsid w:val="4AE01270"/>
    <w:rsid w:val="4B2D12E0"/>
    <w:rsid w:val="4BC960F2"/>
    <w:rsid w:val="4BEB6B31"/>
    <w:rsid w:val="4CAB5FE1"/>
    <w:rsid w:val="4D06649A"/>
    <w:rsid w:val="4DD36371"/>
    <w:rsid w:val="4EEC1F3B"/>
    <w:rsid w:val="4F070047"/>
    <w:rsid w:val="4F3C244F"/>
    <w:rsid w:val="4FCD30B4"/>
    <w:rsid w:val="50067945"/>
    <w:rsid w:val="5115115D"/>
    <w:rsid w:val="521E4A24"/>
    <w:rsid w:val="52D92ACB"/>
    <w:rsid w:val="53B4776F"/>
    <w:rsid w:val="53DF1E3A"/>
    <w:rsid w:val="540F25CE"/>
    <w:rsid w:val="545B425C"/>
    <w:rsid w:val="558E730F"/>
    <w:rsid w:val="573C43EC"/>
    <w:rsid w:val="57857077"/>
    <w:rsid w:val="58242DA9"/>
    <w:rsid w:val="58EA1C45"/>
    <w:rsid w:val="59A45271"/>
    <w:rsid w:val="59D52FEA"/>
    <w:rsid w:val="5CA67F0E"/>
    <w:rsid w:val="5DAD4E7C"/>
    <w:rsid w:val="5DC3283D"/>
    <w:rsid w:val="5E16050E"/>
    <w:rsid w:val="5E3D2C1E"/>
    <w:rsid w:val="5EE04623"/>
    <w:rsid w:val="5F7C4D42"/>
    <w:rsid w:val="60CB5C8F"/>
    <w:rsid w:val="61743609"/>
    <w:rsid w:val="61DB1F11"/>
    <w:rsid w:val="62772D29"/>
    <w:rsid w:val="63191BCC"/>
    <w:rsid w:val="63463B04"/>
    <w:rsid w:val="6379050D"/>
    <w:rsid w:val="648E3C9A"/>
    <w:rsid w:val="64DA4767"/>
    <w:rsid w:val="65170F5B"/>
    <w:rsid w:val="65215328"/>
    <w:rsid w:val="670A099E"/>
    <w:rsid w:val="68BD663A"/>
    <w:rsid w:val="68CA1C56"/>
    <w:rsid w:val="692F74C0"/>
    <w:rsid w:val="696405DD"/>
    <w:rsid w:val="69BE2355"/>
    <w:rsid w:val="6B75107A"/>
    <w:rsid w:val="6D5236ED"/>
    <w:rsid w:val="6F7E3D26"/>
    <w:rsid w:val="6FE969BF"/>
    <w:rsid w:val="701245F9"/>
    <w:rsid w:val="71175C34"/>
    <w:rsid w:val="721C10A9"/>
    <w:rsid w:val="74D70DF7"/>
    <w:rsid w:val="750950F5"/>
    <w:rsid w:val="750D16CF"/>
    <w:rsid w:val="75282A69"/>
    <w:rsid w:val="773622B4"/>
    <w:rsid w:val="780B6D9F"/>
    <w:rsid w:val="789F3DA6"/>
    <w:rsid w:val="78A52377"/>
    <w:rsid w:val="79082185"/>
    <w:rsid w:val="79D7056D"/>
    <w:rsid w:val="7A6F77AB"/>
    <w:rsid w:val="7ABA3FBA"/>
    <w:rsid w:val="7AF5256C"/>
    <w:rsid w:val="7B5B7497"/>
    <w:rsid w:val="7BEF5F10"/>
    <w:rsid w:val="7C745D1B"/>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45"/>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2">
    <w:name w:val="heading 3"/>
    <w:basedOn w:val="1"/>
    <w:next w:val="1"/>
    <w:link w:val="72"/>
    <w:qFormat/>
    <w:uiPriority w:val="0"/>
    <w:pPr>
      <w:keepNext/>
      <w:keepLines/>
      <w:spacing w:before="260" w:after="260" w:line="413" w:lineRule="auto"/>
      <w:outlineLvl w:val="2"/>
    </w:pPr>
    <w:rPr>
      <w:b/>
      <w:sz w:val="32"/>
    </w:rPr>
  </w:style>
  <w:style w:type="paragraph" w:styleId="5">
    <w:name w:val="heading 4"/>
    <w:basedOn w:val="1"/>
    <w:next w:val="1"/>
    <w:qFormat/>
    <w:uiPriority w:val="0"/>
    <w:pPr>
      <w:keepNext/>
      <w:keepLines/>
      <w:spacing w:before="280" w:after="290" w:line="372" w:lineRule="auto"/>
      <w:outlineLvl w:val="3"/>
    </w:pPr>
    <w:rPr>
      <w:rFonts w:ascii="Arial" w:hAnsi="Arial" w:eastAsia="黑体"/>
      <w:b/>
    </w:rPr>
  </w:style>
  <w:style w:type="paragraph" w:styleId="6">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7">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8">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9">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0">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adjustRightInd w:val="0"/>
      <w:snapToGrid w:val="0"/>
      <w:spacing w:line="360" w:lineRule="auto"/>
      <w:ind w:left="100" w:leftChars="400" w:hanging="200" w:hangingChars="200"/>
    </w:pPr>
    <w:rPr>
      <w:sz w:val="24"/>
    </w:rPr>
  </w:style>
  <w:style w:type="paragraph" w:styleId="12">
    <w:name w:val="toc 7"/>
    <w:basedOn w:val="1"/>
    <w:next w:val="1"/>
    <w:qFormat/>
    <w:uiPriority w:val="0"/>
    <w:pPr>
      <w:ind w:left="2520" w:leftChars="1200"/>
    </w:pPr>
  </w:style>
  <w:style w:type="paragraph" w:styleId="13">
    <w:name w:val="List Number 2"/>
    <w:basedOn w:val="1"/>
    <w:qFormat/>
    <w:uiPriority w:val="0"/>
    <w:pPr>
      <w:numPr>
        <w:ilvl w:val="0"/>
        <w:numId w:val="1"/>
      </w:numPr>
      <w:tabs>
        <w:tab w:val="left" w:pos="780"/>
        <w:tab w:val="clear" w:pos="425"/>
      </w:tabs>
      <w:spacing w:line="360" w:lineRule="auto"/>
    </w:pPr>
    <w:rPr>
      <w:sz w:val="24"/>
    </w:rPr>
  </w:style>
  <w:style w:type="paragraph" w:styleId="14">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5">
    <w:name w:val="Normal Indent"/>
    <w:basedOn w:val="1"/>
    <w:qFormat/>
    <w:uiPriority w:val="0"/>
    <w:pPr>
      <w:adjustRightInd w:val="0"/>
      <w:snapToGrid w:val="0"/>
      <w:spacing w:line="360" w:lineRule="auto"/>
      <w:ind w:firstLine="420"/>
    </w:pPr>
    <w:rPr>
      <w:sz w:val="24"/>
    </w:rPr>
  </w:style>
  <w:style w:type="paragraph" w:styleId="16">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7">
    <w:name w:val="Document Map"/>
    <w:basedOn w:val="1"/>
    <w:qFormat/>
    <w:uiPriority w:val="0"/>
    <w:pPr>
      <w:shd w:val="clear" w:color="auto" w:fill="000080"/>
    </w:pPr>
  </w:style>
  <w:style w:type="paragraph" w:styleId="18">
    <w:name w:val="toa heading"/>
    <w:basedOn w:val="1"/>
    <w:next w:val="1"/>
    <w:qFormat/>
    <w:uiPriority w:val="0"/>
    <w:pPr>
      <w:spacing w:before="120"/>
    </w:pPr>
    <w:rPr>
      <w:rFonts w:ascii="Arial" w:hAnsi="Arial"/>
      <w:sz w:val="24"/>
    </w:rPr>
  </w:style>
  <w:style w:type="paragraph" w:styleId="19">
    <w:name w:val="annotation text"/>
    <w:basedOn w:val="1"/>
    <w:link w:val="73"/>
    <w:qFormat/>
    <w:uiPriority w:val="0"/>
    <w:pPr>
      <w:adjustRightInd w:val="0"/>
      <w:spacing w:line="360" w:lineRule="atLeast"/>
      <w:jc w:val="left"/>
      <w:textAlignment w:val="baseline"/>
    </w:pPr>
    <w:rPr>
      <w:kern w:val="0"/>
      <w:sz w:val="24"/>
    </w:rPr>
  </w:style>
  <w:style w:type="paragraph" w:styleId="20">
    <w:name w:val="Body Text 3"/>
    <w:basedOn w:val="1"/>
    <w:qFormat/>
    <w:uiPriority w:val="0"/>
    <w:pPr>
      <w:adjustRightInd w:val="0"/>
      <w:snapToGrid w:val="0"/>
      <w:spacing w:after="120" w:line="360" w:lineRule="auto"/>
    </w:pPr>
    <w:rPr>
      <w:sz w:val="16"/>
    </w:rPr>
  </w:style>
  <w:style w:type="paragraph" w:styleId="21">
    <w:name w:val="List Bullet 3"/>
    <w:basedOn w:val="1"/>
    <w:qFormat/>
    <w:uiPriority w:val="0"/>
    <w:pPr>
      <w:numPr>
        <w:ilvl w:val="0"/>
        <w:numId w:val="3"/>
      </w:numPr>
      <w:adjustRightInd w:val="0"/>
      <w:snapToGrid w:val="0"/>
      <w:spacing w:line="360" w:lineRule="auto"/>
    </w:pPr>
    <w:rPr>
      <w:sz w:val="24"/>
    </w:rPr>
  </w:style>
  <w:style w:type="paragraph" w:styleId="22">
    <w:name w:val="Body Text"/>
    <w:basedOn w:val="1"/>
    <w:next w:val="1"/>
    <w:qFormat/>
    <w:uiPriority w:val="0"/>
    <w:rPr>
      <w:rFonts w:ascii="仿宋_GB2312" w:eastAsia="仿宋_GB2312"/>
      <w:sz w:val="32"/>
    </w:rPr>
  </w:style>
  <w:style w:type="paragraph" w:styleId="23">
    <w:name w:val="Body Text Indent"/>
    <w:basedOn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next w:val="16"/>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19"/>
    <w:next w:val="19"/>
    <w:link w:val="78"/>
    <w:qFormat/>
    <w:uiPriority w:val="0"/>
    <w:pPr>
      <w:adjustRightInd/>
      <w:spacing w:line="240" w:lineRule="auto"/>
      <w:textAlignment w:val="auto"/>
    </w:pPr>
  </w:style>
  <w:style w:type="paragraph" w:styleId="56">
    <w:name w:val="Body Text First Indent"/>
    <w:basedOn w:val="22"/>
    <w:next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2"/>
    <w:qFormat/>
    <w:uiPriority w:val="0"/>
    <w:rPr>
      <w:rFonts w:eastAsia="宋体"/>
      <w:b/>
      <w:kern w:val="2"/>
      <w:sz w:val="32"/>
      <w:lang w:val="en-US" w:eastAsia="zh-CN"/>
    </w:rPr>
  </w:style>
  <w:style w:type="character" w:customStyle="1" w:styleId="73">
    <w:name w:val="批注文字 字符"/>
    <w:link w:val="19"/>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2"/>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5"/>
    <w:qFormat/>
    <w:uiPriority w:val="0"/>
    <w:pPr>
      <w:numPr>
        <w:ilvl w:val="0"/>
        <w:numId w:val="8"/>
      </w:numPr>
      <w:spacing w:before="560" w:line="400" w:lineRule="exact"/>
      <w:jc w:val="center"/>
      <w:outlineLvl w:val="0"/>
    </w:pPr>
    <w:rPr>
      <w:b w:val="0"/>
      <w:sz w:val="44"/>
    </w:rPr>
  </w:style>
  <w:style w:type="paragraph" w:customStyle="1" w:styleId="142">
    <w:name w:val="内容标题"/>
    <w:basedOn w:val="17"/>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7"/>
    <w:qFormat/>
    <w:uiPriority w:val="0"/>
    <w:rPr>
      <w:rFonts w:ascii="宋体" w:hAnsi="Tahoma"/>
    </w:rPr>
  </w:style>
  <w:style w:type="paragraph" w:customStyle="1" w:styleId="148">
    <w:name w:val="样式 标题 6第五层条 + 三号 段前: 0.5 行"/>
    <w:basedOn w:val="7"/>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5"/>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2"/>
    <w:qFormat/>
    <w:uiPriority w:val="0"/>
    <w:pPr>
      <w:numPr>
        <w:ilvl w:val="2"/>
        <w:numId w:val="2"/>
      </w:numPr>
      <w:tabs>
        <w:tab w:val="left" w:pos="709"/>
        <w:tab w:val="left" w:pos="1620"/>
      </w:tabs>
    </w:pPr>
  </w:style>
  <w:style w:type="paragraph" w:customStyle="1" w:styleId="176">
    <w:name w:val="样式4"/>
    <w:basedOn w:val="5"/>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5"/>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243">
    <w:name w:val="font11"/>
    <w:basedOn w:val="60"/>
    <w:qFormat/>
    <w:uiPriority w:val="0"/>
    <w:rPr>
      <w:rFonts w:hint="eastAsia" w:ascii="宋体" w:hAnsi="宋体" w:eastAsia="宋体" w:cs="宋体"/>
      <w:color w:val="000000"/>
      <w:sz w:val="22"/>
      <w:szCs w:val="22"/>
      <w:u w:val="none"/>
    </w:rPr>
  </w:style>
  <w:style w:type="character" w:customStyle="1" w:styleId="244">
    <w:name w:val="font21"/>
    <w:basedOn w:val="60"/>
    <w:qFormat/>
    <w:uiPriority w:val="0"/>
    <w:rPr>
      <w:rFonts w:hint="default" w:ascii="Arial" w:hAnsi="Arial" w:cs="Arial"/>
      <w:color w:val="000000"/>
      <w:sz w:val="22"/>
      <w:szCs w:val="22"/>
      <w:u w:val="none"/>
    </w:rPr>
  </w:style>
  <w:style w:type="character" w:customStyle="1" w:styleId="245">
    <w:name w:val="NormalCharacter"/>
    <w:link w:val="1"/>
    <w:semiHidden/>
    <w:qFormat/>
    <w:uiPriority w:val="0"/>
    <w:rPr>
      <w:rFonts w:ascii="Times New Roman" w:hAnsi="Times New Roman" w:eastAsia="宋体" w:cs="Times New Roman"/>
      <w:kern w:val="2"/>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2254</Words>
  <Characters>12851</Characters>
  <Lines>107</Lines>
  <Paragraphs>30</Paragraphs>
  <TotalTime>1</TotalTime>
  <ScaleCrop>false</ScaleCrop>
  <LinksUpToDate>false</LinksUpToDate>
  <CharactersWithSpaces>15075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Administrator</cp:lastModifiedBy>
  <cp:lastPrinted>2015-03-25T02:14:00Z</cp:lastPrinted>
  <dcterms:modified xsi:type="dcterms:W3CDTF">2026-07-17T08:10:56Z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E7169EA3599E4CD89A8D423750049C9E</vt:lpwstr>
  </property>
</Properties>
</file>