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color w:val="auto"/>
        </w:rPr>
      </w:pPr>
      <w:bookmarkStart w:id="0" w:name="_Toc106030887"/>
      <w:bookmarkStart w:id="1" w:name="_Toc76462332"/>
      <w:bookmarkStart w:id="2" w:name="_Toc6692"/>
      <w:bookmarkStart w:id="3" w:name="_Toc7651"/>
      <w:bookmarkStart w:id="4" w:name="OLE_LINK1"/>
    </w:p>
    <w:p>
      <w:pPr>
        <w:spacing w:line="1600" w:lineRule="exact"/>
        <w:jc w:val="center"/>
        <w:outlineLvl w:val="0"/>
        <w:rPr>
          <w:rFonts w:hint="eastAsia" w:ascii="微软雅黑" w:hAnsi="微软雅黑" w:eastAsia="微软雅黑" w:cs="微软雅黑"/>
          <w:color w:val="auto"/>
          <w:sz w:val="100"/>
        </w:rPr>
      </w:pPr>
    </w:p>
    <w:p>
      <w:pPr>
        <w:spacing w:line="1600" w:lineRule="exact"/>
        <w:jc w:val="center"/>
        <w:outlineLvl w:val="0"/>
        <w:rPr>
          <w:rFonts w:hint="eastAsia" w:ascii="微软雅黑" w:hAnsi="微软雅黑" w:eastAsia="微软雅黑" w:cs="微软雅黑"/>
          <w:color w:val="auto"/>
          <w:sz w:val="130"/>
          <w:szCs w:val="130"/>
        </w:rPr>
      </w:pPr>
      <w:r>
        <w:rPr>
          <w:rFonts w:hint="eastAsia" w:ascii="微软雅黑" w:hAnsi="微软雅黑" w:eastAsia="微软雅黑" w:cs="微软雅黑"/>
          <w:color w:val="auto"/>
          <w:sz w:val="130"/>
          <w:szCs w:val="130"/>
        </w:rPr>
        <w:t>公开比选</w:t>
      </w:r>
    </w:p>
    <w:p>
      <w:pPr>
        <w:spacing w:line="1600" w:lineRule="exact"/>
        <w:jc w:val="center"/>
        <w:outlineLvl w:val="0"/>
        <w:rPr>
          <w:rFonts w:hint="eastAsia" w:ascii="微软雅黑" w:hAnsi="微软雅黑" w:eastAsia="微软雅黑" w:cs="微软雅黑"/>
          <w:color w:val="auto"/>
          <w:sz w:val="130"/>
          <w:szCs w:val="130"/>
        </w:rPr>
      </w:pPr>
      <w:r>
        <w:rPr>
          <w:rFonts w:hint="eastAsia" w:ascii="微软雅黑" w:hAnsi="微软雅黑" w:eastAsia="微软雅黑" w:cs="微软雅黑"/>
          <w:color w:val="auto"/>
          <w:sz w:val="130"/>
          <w:szCs w:val="130"/>
        </w:rPr>
        <w:t>采购文件</w:t>
      </w:r>
    </w:p>
    <w:p>
      <w:pPr>
        <w:pStyle w:val="69"/>
        <w:spacing w:before="100" w:after="100" w:line="300" w:lineRule="auto"/>
        <w:jc w:val="center"/>
        <w:rPr>
          <w:rFonts w:hint="eastAsia" w:ascii="微软雅黑" w:hAnsi="微软雅黑" w:eastAsia="微软雅黑" w:cs="微软雅黑"/>
          <w:color w:val="auto"/>
          <w:sz w:val="32"/>
        </w:rPr>
      </w:pPr>
      <w:r>
        <w:rPr>
          <w:rFonts w:hint="eastAsia" w:ascii="微软雅黑" w:hAnsi="微软雅黑" w:eastAsia="微软雅黑" w:cs="微软雅黑"/>
          <w:b w:val="0"/>
          <w:color w:val="auto"/>
          <w:sz w:val="130"/>
          <w:szCs w:val="130"/>
        </w:rPr>
        <w:t xml:space="preserve">   </w:t>
      </w:r>
    </w:p>
    <w:p>
      <w:pPr>
        <w:pStyle w:val="70"/>
        <w:rPr>
          <w:rFonts w:hint="eastAsia" w:ascii="微软雅黑" w:hAnsi="微软雅黑" w:eastAsia="微软雅黑" w:cs="微软雅黑"/>
          <w:color w:val="auto"/>
          <w:kern w:val="2"/>
          <w:sz w:val="44"/>
          <w:szCs w:val="44"/>
        </w:rPr>
      </w:pPr>
    </w:p>
    <w:p>
      <w:pPr>
        <w:pStyle w:val="70"/>
        <w:rPr>
          <w:rFonts w:hint="eastAsia" w:ascii="微软雅黑" w:hAnsi="微软雅黑" w:eastAsia="微软雅黑" w:cs="微软雅黑"/>
          <w:color w:val="auto"/>
          <w:kern w:val="2"/>
          <w:sz w:val="44"/>
          <w:szCs w:val="44"/>
        </w:rPr>
      </w:pPr>
    </w:p>
    <w:p>
      <w:pPr>
        <w:spacing w:line="360" w:lineRule="auto"/>
        <w:ind w:firstLine="1800" w:firstLineChars="500"/>
        <w:outlineLvl w:val="0"/>
        <w:rPr>
          <w:rFonts w:hint="default" w:ascii="微软雅黑" w:hAnsi="微软雅黑" w:eastAsia="微软雅黑" w:cs="微软雅黑"/>
          <w:color w:val="auto"/>
          <w:sz w:val="36"/>
          <w:szCs w:val="36"/>
          <w:lang w:val="en-US" w:eastAsia="zh-CN"/>
        </w:rPr>
      </w:pPr>
      <w:r>
        <w:rPr>
          <w:rFonts w:hint="eastAsia" w:ascii="微软雅黑" w:hAnsi="微软雅黑" w:eastAsia="微软雅黑" w:cs="微软雅黑"/>
          <w:color w:val="auto"/>
          <w:sz w:val="36"/>
          <w:szCs w:val="36"/>
        </w:rPr>
        <w:t>项目编号：</w:t>
      </w:r>
      <w:r>
        <w:rPr>
          <w:rFonts w:hint="eastAsia" w:ascii="微软雅黑" w:hAnsi="微软雅黑" w:eastAsia="微软雅黑" w:cs="微软雅黑"/>
          <w:color w:val="auto"/>
          <w:sz w:val="36"/>
          <w:szCs w:val="36"/>
          <w:u w:val="single"/>
          <w:lang w:val="en-US" w:eastAsia="zh-CN"/>
        </w:rPr>
        <w:t>YSB260072</w:t>
      </w:r>
    </w:p>
    <w:p>
      <w:pPr>
        <w:spacing w:line="360" w:lineRule="auto"/>
        <w:ind w:firstLine="1800" w:firstLineChars="500"/>
        <w:outlineLvl w:val="0"/>
        <w:rPr>
          <w:rFonts w:hint="eastAsia"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项目名称：</w:t>
      </w:r>
      <w:r>
        <w:rPr>
          <w:rFonts w:hint="eastAsia" w:ascii="微软雅黑" w:hAnsi="微软雅黑" w:eastAsia="微软雅黑" w:cs="微软雅黑"/>
          <w:color w:val="auto"/>
          <w:sz w:val="36"/>
          <w:szCs w:val="36"/>
          <w:u w:val="single"/>
        </w:rPr>
        <w:t>全功能心脏离体灌流系统</w:t>
      </w:r>
    </w:p>
    <w:p>
      <w:pPr>
        <w:spacing w:line="360" w:lineRule="auto"/>
        <w:ind w:firstLine="1800" w:firstLineChars="500"/>
        <w:outlineLvl w:val="0"/>
        <w:rPr>
          <w:rFonts w:hint="eastAsia" w:ascii="微软雅黑" w:hAnsi="微软雅黑" w:eastAsia="微软雅黑" w:cs="微软雅黑"/>
          <w:color w:val="auto"/>
          <w:sz w:val="36"/>
          <w:szCs w:val="36"/>
          <w:u w:val="single"/>
        </w:rPr>
      </w:pPr>
    </w:p>
    <w:p>
      <w:pPr>
        <w:pStyle w:val="2"/>
        <w:rPr>
          <w:rFonts w:hint="eastAsia"/>
          <w:color w:val="auto"/>
        </w:rPr>
      </w:pPr>
    </w:p>
    <w:p>
      <w:pPr>
        <w:pStyle w:val="2"/>
        <w:rPr>
          <w:rFonts w:hint="eastAsia"/>
          <w:color w:val="auto"/>
        </w:rPr>
      </w:pPr>
    </w:p>
    <w:p>
      <w:pPr>
        <w:spacing w:line="360" w:lineRule="auto"/>
        <w:jc w:val="center"/>
        <w:outlineLvl w:val="0"/>
        <w:rPr>
          <w:rFonts w:hint="eastAsia" w:ascii="微软雅黑" w:hAnsi="微软雅黑" w:eastAsia="微软雅黑" w:cs="微软雅黑"/>
          <w:color w:val="auto"/>
          <w:sz w:val="36"/>
          <w:szCs w:val="36"/>
          <w:u w:val="single"/>
        </w:rPr>
      </w:pPr>
      <w:r>
        <w:rPr>
          <w:rFonts w:hint="eastAsia" w:ascii="微软雅黑" w:hAnsi="微软雅黑" w:eastAsia="微软雅黑" w:cs="微软雅黑"/>
          <w:color w:val="auto"/>
          <w:sz w:val="36"/>
          <w:szCs w:val="36"/>
          <w:u w:val="single"/>
        </w:rPr>
        <w:t>重庆医科大学附属儿童医院</w:t>
      </w:r>
    </w:p>
    <w:p>
      <w:pPr>
        <w:spacing w:line="360" w:lineRule="auto"/>
        <w:jc w:val="center"/>
        <w:outlineLvl w:val="0"/>
        <w:rPr>
          <w:rFonts w:hint="eastAsia" w:ascii="微软雅黑" w:hAnsi="微软雅黑" w:eastAsia="微软雅黑" w:cs="微软雅黑"/>
          <w:color w:val="auto"/>
          <w:sz w:val="36"/>
          <w:szCs w:val="36"/>
          <w:u w:val="single"/>
        </w:rPr>
      </w:pPr>
      <w:r>
        <w:rPr>
          <w:rFonts w:hint="eastAsia" w:ascii="微软雅黑" w:hAnsi="微软雅黑" w:eastAsia="微软雅黑" w:cs="微软雅黑"/>
          <w:color w:val="auto"/>
          <w:sz w:val="36"/>
          <w:szCs w:val="36"/>
          <w:u w:val="single"/>
        </w:rPr>
        <w:t>202</w:t>
      </w:r>
      <w:r>
        <w:rPr>
          <w:rFonts w:hint="eastAsia" w:ascii="微软雅黑" w:hAnsi="微软雅黑" w:eastAsia="微软雅黑" w:cs="微软雅黑"/>
          <w:color w:val="auto"/>
          <w:sz w:val="36"/>
          <w:szCs w:val="36"/>
          <w:u w:val="single"/>
          <w:lang w:val="en-US" w:eastAsia="zh-CN"/>
        </w:rPr>
        <w:t>6</w:t>
      </w:r>
      <w:r>
        <w:rPr>
          <w:rFonts w:hint="eastAsia" w:ascii="微软雅黑" w:hAnsi="微软雅黑" w:eastAsia="微软雅黑" w:cs="微软雅黑"/>
          <w:color w:val="auto"/>
          <w:sz w:val="36"/>
          <w:szCs w:val="36"/>
          <w:u w:val="single"/>
        </w:rPr>
        <w:t>年</w:t>
      </w:r>
      <w:r>
        <w:rPr>
          <w:rFonts w:hint="eastAsia" w:ascii="微软雅黑" w:hAnsi="微软雅黑" w:eastAsia="微软雅黑" w:cs="微软雅黑"/>
          <w:color w:val="auto"/>
          <w:sz w:val="36"/>
          <w:szCs w:val="36"/>
          <w:u w:val="single"/>
          <w:lang w:val="en-US" w:eastAsia="zh-CN"/>
        </w:rPr>
        <w:t>3</w:t>
      </w:r>
      <w:r>
        <w:rPr>
          <w:rFonts w:hint="eastAsia" w:ascii="微软雅黑" w:hAnsi="微软雅黑" w:eastAsia="微软雅黑" w:cs="微软雅黑"/>
          <w:color w:val="auto"/>
          <w:sz w:val="36"/>
          <w:szCs w:val="36"/>
          <w:u w:val="single"/>
        </w:rPr>
        <w:t>月</w:t>
      </w:r>
    </w:p>
    <w:p>
      <w:pPr>
        <w:spacing w:line="720" w:lineRule="exact"/>
        <w:jc w:val="center"/>
        <w:outlineLvl w:val="0"/>
        <w:rPr>
          <w:rFonts w:hint="eastAsia" w:ascii="微软雅黑" w:hAnsi="微软雅黑" w:eastAsia="微软雅黑" w:cs="微软雅黑"/>
          <w:color w:val="auto"/>
          <w:sz w:val="24"/>
          <w:szCs w:val="24"/>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color w:val="auto"/>
          <w:sz w:val="24"/>
          <w:szCs w:val="24"/>
        </w:rPr>
      </w:pPr>
      <w:bookmarkStart w:id="5" w:name="_Toc317775178"/>
      <w:r>
        <w:rPr>
          <w:rFonts w:hint="eastAsia" w:ascii="微软雅黑" w:hAnsi="微软雅黑" w:eastAsia="微软雅黑" w:cs="微软雅黑"/>
          <w:color w:val="auto"/>
          <w:sz w:val="44"/>
          <w:szCs w:val="44"/>
        </w:rPr>
        <w:t>目   录</w:t>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TOC \o "1-3" \h \z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_Toc26011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第一篇  采购邀请书</w:t>
      </w:r>
      <w:r>
        <w:rPr>
          <w:color w:val="auto"/>
          <w:sz w:val="24"/>
          <w:szCs w:val="24"/>
        </w:rPr>
        <w:tab/>
      </w:r>
      <w:r>
        <w:rPr>
          <w:color w:val="auto"/>
          <w:sz w:val="24"/>
          <w:szCs w:val="24"/>
        </w:rPr>
        <w:fldChar w:fldCharType="begin"/>
      </w:r>
      <w:r>
        <w:rPr>
          <w:color w:val="auto"/>
          <w:sz w:val="24"/>
          <w:szCs w:val="24"/>
        </w:rPr>
        <w:instrText xml:space="preserve"> PAGEREF _Toc26011 \h </w:instrText>
      </w:r>
      <w:r>
        <w:rPr>
          <w:color w:val="auto"/>
          <w:sz w:val="24"/>
          <w:szCs w:val="24"/>
        </w:rPr>
        <w:fldChar w:fldCharType="separate"/>
      </w:r>
      <w:r>
        <w:rPr>
          <w:color w:val="auto"/>
          <w:sz w:val="24"/>
          <w:szCs w:val="24"/>
        </w:rPr>
        <w:t>- 3 -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_Toc23226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一、公开比选采购内容</w:t>
      </w:r>
      <w:r>
        <w:rPr>
          <w:color w:val="auto"/>
          <w:sz w:val="24"/>
          <w:szCs w:val="24"/>
        </w:rPr>
        <w:tab/>
      </w:r>
      <w:r>
        <w:rPr>
          <w:color w:val="auto"/>
          <w:sz w:val="24"/>
          <w:szCs w:val="24"/>
        </w:rPr>
        <w:fldChar w:fldCharType="begin"/>
      </w:r>
      <w:r>
        <w:rPr>
          <w:color w:val="auto"/>
          <w:sz w:val="24"/>
          <w:szCs w:val="24"/>
        </w:rPr>
        <w:instrText xml:space="preserve"> PAGEREF _Toc23226 \h </w:instrText>
      </w:r>
      <w:r>
        <w:rPr>
          <w:color w:val="auto"/>
          <w:sz w:val="24"/>
          <w:szCs w:val="24"/>
        </w:rPr>
        <w:fldChar w:fldCharType="separate"/>
      </w:r>
      <w:r>
        <w:rPr>
          <w:color w:val="auto"/>
          <w:sz w:val="24"/>
          <w:szCs w:val="24"/>
        </w:rPr>
        <w:t>- 3 -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_Toc5097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二、投标人资格条件</w:t>
      </w:r>
      <w:r>
        <w:rPr>
          <w:color w:val="auto"/>
          <w:sz w:val="24"/>
          <w:szCs w:val="24"/>
        </w:rPr>
        <w:tab/>
      </w:r>
      <w:r>
        <w:rPr>
          <w:color w:val="auto"/>
          <w:sz w:val="24"/>
          <w:szCs w:val="24"/>
        </w:rPr>
        <w:fldChar w:fldCharType="begin"/>
      </w:r>
      <w:r>
        <w:rPr>
          <w:color w:val="auto"/>
          <w:sz w:val="24"/>
          <w:szCs w:val="24"/>
        </w:rPr>
        <w:instrText xml:space="preserve"> PAGEREF _Toc5097 \h </w:instrText>
      </w:r>
      <w:r>
        <w:rPr>
          <w:color w:val="auto"/>
          <w:sz w:val="24"/>
          <w:szCs w:val="24"/>
        </w:rPr>
        <w:fldChar w:fldCharType="separate"/>
      </w:r>
      <w:r>
        <w:rPr>
          <w:color w:val="auto"/>
          <w:sz w:val="24"/>
          <w:szCs w:val="24"/>
        </w:rPr>
        <w:t>- 3 -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_Toc10792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三、比选有关说明</w:t>
      </w:r>
      <w:r>
        <w:rPr>
          <w:color w:val="auto"/>
          <w:sz w:val="24"/>
          <w:szCs w:val="24"/>
        </w:rPr>
        <w:tab/>
      </w:r>
      <w:r>
        <w:rPr>
          <w:color w:val="auto"/>
          <w:sz w:val="24"/>
          <w:szCs w:val="24"/>
        </w:rPr>
        <w:fldChar w:fldCharType="begin"/>
      </w:r>
      <w:r>
        <w:rPr>
          <w:color w:val="auto"/>
          <w:sz w:val="24"/>
          <w:szCs w:val="24"/>
        </w:rPr>
        <w:instrText xml:space="preserve"> PAGEREF _Toc10792 \h </w:instrText>
      </w:r>
      <w:r>
        <w:rPr>
          <w:color w:val="auto"/>
          <w:sz w:val="24"/>
          <w:szCs w:val="24"/>
        </w:rPr>
        <w:fldChar w:fldCharType="separate"/>
      </w:r>
      <w:r>
        <w:rPr>
          <w:color w:val="auto"/>
          <w:sz w:val="24"/>
          <w:szCs w:val="24"/>
        </w:rPr>
        <w:t>- 3 -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_Toc16311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lang w:val="en-US" w:eastAsia="zh-CN"/>
        </w:rPr>
        <w:t>四</w:t>
      </w:r>
      <w:r>
        <w:rPr>
          <w:rFonts w:hint="eastAsia" w:ascii="微软雅黑" w:hAnsi="微软雅黑" w:eastAsia="微软雅黑" w:cs="微软雅黑"/>
          <w:color w:val="auto"/>
          <w:sz w:val="24"/>
          <w:szCs w:val="24"/>
        </w:rPr>
        <w:t>、保证金</w:t>
      </w:r>
      <w:r>
        <w:rPr>
          <w:color w:val="auto"/>
          <w:sz w:val="24"/>
          <w:szCs w:val="24"/>
        </w:rPr>
        <w:tab/>
      </w:r>
      <w:r>
        <w:rPr>
          <w:color w:val="auto"/>
          <w:sz w:val="24"/>
          <w:szCs w:val="24"/>
        </w:rPr>
        <w:fldChar w:fldCharType="begin"/>
      </w:r>
      <w:r>
        <w:rPr>
          <w:color w:val="auto"/>
          <w:sz w:val="24"/>
          <w:szCs w:val="24"/>
        </w:rPr>
        <w:instrText xml:space="preserve"> PAGEREF _Toc16311 \h </w:instrText>
      </w:r>
      <w:r>
        <w:rPr>
          <w:color w:val="auto"/>
          <w:sz w:val="24"/>
          <w:szCs w:val="24"/>
        </w:rPr>
        <w:fldChar w:fldCharType="separate"/>
      </w:r>
      <w:r>
        <w:rPr>
          <w:color w:val="auto"/>
          <w:sz w:val="24"/>
          <w:szCs w:val="24"/>
        </w:rPr>
        <w:t>- 3 -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_Toc30228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lang w:val="en-US" w:eastAsia="zh-CN"/>
        </w:rPr>
        <w:t>五、</w:t>
      </w:r>
      <w:r>
        <w:rPr>
          <w:rFonts w:hint="eastAsia" w:ascii="微软雅黑" w:hAnsi="微软雅黑" w:eastAsia="微软雅黑" w:cs="微软雅黑"/>
          <w:color w:val="auto"/>
          <w:sz w:val="24"/>
          <w:szCs w:val="24"/>
          <w:lang w:eastAsia="zh-CN"/>
        </w:rPr>
        <w:t>其他</w:t>
      </w:r>
      <w:r>
        <w:rPr>
          <w:color w:val="auto"/>
          <w:sz w:val="24"/>
          <w:szCs w:val="24"/>
        </w:rPr>
        <w:tab/>
      </w:r>
      <w:r>
        <w:rPr>
          <w:color w:val="auto"/>
          <w:sz w:val="24"/>
          <w:szCs w:val="24"/>
        </w:rPr>
        <w:fldChar w:fldCharType="begin"/>
      </w:r>
      <w:r>
        <w:rPr>
          <w:color w:val="auto"/>
          <w:sz w:val="24"/>
          <w:szCs w:val="24"/>
        </w:rPr>
        <w:instrText xml:space="preserve"> PAGEREF _Toc30228 \h </w:instrText>
      </w:r>
      <w:r>
        <w:rPr>
          <w:color w:val="auto"/>
          <w:sz w:val="24"/>
          <w:szCs w:val="24"/>
        </w:rPr>
        <w:fldChar w:fldCharType="separate"/>
      </w:r>
      <w:r>
        <w:rPr>
          <w:color w:val="auto"/>
          <w:sz w:val="24"/>
          <w:szCs w:val="24"/>
        </w:rPr>
        <w:t>- 4 -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_Toc30276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lang w:val="en-US" w:eastAsia="zh-CN"/>
        </w:rPr>
        <w:t>六</w:t>
      </w:r>
      <w:r>
        <w:rPr>
          <w:rFonts w:hint="eastAsia" w:ascii="微软雅黑" w:hAnsi="微软雅黑" w:eastAsia="微软雅黑" w:cs="微软雅黑"/>
          <w:color w:val="auto"/>
          <w:sz w:val="24"/>
          <w:szCs w:val="24"/>
        </w:rPr>
        <w:t>、联系方式</w:t>
      </w:r>
      <w:r>
        <w:rPr>
          <w:color w:val="auto"/>
          <w:sz w:val="24"/>
          <w:szCs w:val="24"/>
        </w:rPr>
        <w:tab/>
      </w:r>
      <w:r>
        <w:rPr>
          <w:color w:val="auto"/>
          <w:sz w:val="24"/>
          <w:szCs w:val="24"/>
        </w:rPr>
        <w:fldChar w:fldCharType="begin"/>
      </w:r>
      <w:r>
        <w:rPr>
          <w:color w:val="auto"/>
          <w:sz w:val="24"/>
          <w:szCs w:val="24"/>
        </w:rPr>
        <w:instrText xml:space="preserve"> PAGEREF _Toc30276 \h </w:instrText>
      </w:r>
      <w:r>
        <w:rPr>
          <w:color w:val="auto"/>
          <w:sz w:val="24"/>
          <w:szCs w:val="24"/>
        </w:rPr>
        <w:fldChar w:fldCharType="separate"/>
      </w:r>
      <w:r>
        <w:rPr>
          <w:color w:val="auto"/>
          <w:sz w:val="24"/>
          <w:szCs w:val="24"/>
        </w:rPr>
        <w:t>- 4 -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38"/>
        <w:tabs>
          <w:tab w:val="right" w:leader="dot" w:pos="9412"/>
        </w:tabs>
        <w:ind w:leftChars="200"/>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_Toc30927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第二篇 项目技术（质量）需求</w:t>
      </w:r>
      <w:r>
        <w:rPr>
          <w:color w:val="auto"/>
          <w:sz w:val="24"/>
          <w:szCs w:val="24"/>
        </w:rPr>
        <w:tab/>
      </w:r>
      <w:r>
        <w:rPr>
          <w:color w:val="auto"/>
          <w:sz w:val="24"/>
          <w:szCs w:val="24"/>
        </w:rPr>
        <w:fldChar w:fldCharType="begin"/>
      </w:r>
      <w:r>
        <w:rPr>
          <w:color w:val="auto"/>
          <w:sz w:val="24"/>
          <w:szCs w:val="24"/>
        </w:rPr>
        <w:instrText xml:space="preserve"> PAGEREF _Toc30927 \h </w:instrText>
      </w:r>
      <w:r>
        <w:rPr>
          <w:color w:val="auto"/>
          <w:sz w:val="24"/>
          <w:szCs w:val="24"/>
        </w:rPr>
        <w:fldChar w:fldCharType="separate"/>
      </w:r>
      <w:r>
        <w:rPr>
          <w:color w:val="auto"/>
          <w:sz w:val="24"/>
          <w:szCs w:val="24"/>
        </w:rPr>
        <w:t>- 5 -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_Toc31179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第三篇  项目商务需求</w:t>
      </w:r>
      <w:r>
        <w:rPr>
          <w:color w:val="auto"/>
          <w:sz w:val="24"/>
          <w:szCs w:val="24"/>
        </w:rPr>
        <w:tab/>
      </w:r>
      <w:r>
        <w:rPr>
          <w:color w:val="auto"/>
          <w:sz w:val="24"/>
          <w:szCs w:val="24"/>
        </w:rPr>
        <w:fldChar w:fldCharType="begin"/>
      </w:r>
      <w:r>
        <w:rPr>
          <w:color w:val="auto"/>
          <w:sz w:val="24"/>
          <w:szCs w:val="24"/>
        </w:rPr>
        <w:instrText xml:space="preserve"> PAGEREF _Toc31179 \h </w:instrText>
      </w:r>
      <w:r>
        <w:rPr>
          <w:color w:val="auto"/>
          <w:sz w:val="24"/>
          <w:szCs w:val="24"/>
        </w:rPr>
        <w:fldChar w:fldCharType="separate"/>
      </w:r>
      <w:r>
        <w:rPr>
          <w:color w:val="auto"/>
          <w:sz w:val="24"/>
          <w:szCs w:val="24"/>
        </w:rPr>
        <w:t>- 6 -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_Toc26417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w:t>
      </w:r>
      <w:r>
        <w:rPr>
          <w:rFonts w:hint="eastAsia" w:ascii="微软雅黑" w:hAnsi="微软雅黑" w:eastAsia="微软雅黑" w:cs="微软雅黑"/>
          <w:color w:val="auto"/>
          <w:sz w:val="24"/>
          <w:szCs w:val="24"/>
          <w:lang w:val="en-US" w:eastAsia="zh-CN"/>
        </w:rPr>
        <w:t>四</w:t>
      </w:r>
      <w:r>
        <w:rPr>
          <w:rFonts w:hint="eastAsia" w:ascii="微软雅黑" w:hAnsi="微软雅黑" w:eastAsia="微软雅黑" w:cs="微软雅黑"/>
          <w:color w:val="auto"/>
          <w:sz w:val="24"/>
          <w:szCs w:val="24"/>
        </w:rPr>
        <w:t>篇  公开比选采购程序及方法、评审标准、无效响应和采购终止</w:t>
      </w:r>
      <w:r>
        <w:rPr>
          <w:color w:val="auto"/>
          <w:sz w:val="24"/>
          <w:szCs w:val="24"/>
        </w:rPr>
        <w:tab/>
      </w:r>
      <w:r>
        <w:rPr>
          <w:color w:val="auto"/>
          <w:sz w:val="24"/>
          <w:szCs w:val="24"/>
        </w:rPr>
        <w:fldChar w:fldCharType="begin"/>
      </w:r>
      <w:r>
        <w:rPr>
          <w:color w:val="auto"/>
          <w:sz w:val="24"/>
          <w:szCs w:val="24"/>
        </w:rPr>
        <w:instrText xml:space="preserve"> PAGEREF _Toc26417 \h </w:instrText>
      </w:r>
      <w:r>
        <w:rPr>
          <w:color w:val="auto"/>
          <w:sz w:val="24"/>
          <w:szCs w:val="24"/>
        </w:rPr>
        <w:fldChar w:fldCharType="separate"/>
      </w:r>
      <w:r>
        <w:rPr>
          <w:color w:val="auto"/>
          <w:sz w:val="24"/>
          <w:szCs w:val="24"/>
        </w:rPr>
        <w:t>- 7 -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_Toc28513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一、公开比选采购程序</w:t>
      </w:r>
      <w:r>
        <w:rPr>
          <w:color w:val="auto"/>
          <w:sz w:val="24"/>
          <w:szCs w:val="24"/>
        </w:rPr>
        <w:tab/>
      </w:r>
      <w:r>
        <w:rPr>
          <w:color w:val="auto"/>
          <w:sz w:val="24"/>
          <w:szCs w:val="24"/>
        </w:rPr>
        <w:fldChar w:fldCharType="begin"/>
      </w:r>
      <w:r>
        <w:rPr>
          <w:color w:val="auto"/>
          <w:sz w:val="24"/>
          <w:szCs w:val="24"/>
        </w:rPr>
        <w:instrText xml:space="preserve"> PAGEREF _Toc28513 \h </w:instrText>
      </w:r>
      <w:r>
        <w:rPr>
          <w:color w:val="auto"/>
          <w:sz w:val="24"/>
          <w:szCs w:val="24"/>
        </w:rPr>
        <w:fldChar w:fldCharType="separate"/>
      </w:r>
      <w:r>
        <w:rPr>
          <w:color w:val="auto"/>
          <w:sz w:val="24"/>
          <w:szCs w:val="24"/>
        </w:rPr>
        <w:t>- 7 -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_Toc16728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lang w:val="en-US" w:eastAsia="zh-CN"/>
        </w:rPr>
        <w:t>二、评标方法</w:t>
      </w:r>
      <w:r>
        <w:rPr>
          <w:color w:val="auto"/>
          <w:sz w:val="24"/>
          <w:szCs w:val="24"/>
        </w:rPr>
        <w:tab/>
      </w:r>
      <w:r>
        <w:rPr>
          <w:color w:val="auto"/>
          <w:sz w:val="24"/>
          <w:szCs w:val="24"/>
        </w:rPr>
        <w:fldChar w:fldCharType="begin"/>
      </w:r>
      <w:r>
        <w:rPr>
          <w:color w:val="auto"/>
          <w:sz w:val="24"/>
          <w:szCs w:val="24"/>
        </w:rPr>
        <w:instrText xml:space="preserve"> PAGEREF _Toc16728 \h </w:instrText>
      </w:r>
      <w:r>
        <w:rPr>
          <w:color w:val="auto"/>
          <w:sz w:val="24"/>
          <w:szCs w:val="24"/>
        </w:rPr>
        <w:fldChar w:fldCharType="separate"/>
      </w:r>
      <w:r>
        <w:rPr>
          <w:color w:val="auto"/>
          <w:sz w:val="24"/>
          <w:szCs w:val="24"/>
        </w:rPr>
        <w:t>- 8 -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_Toc14542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lang w:val="en-US" w:eastAsia="zh-CN"/>
        </w:rPr>
        <w:t>三、评审标准</w:t>
      </w:r>
      <w:r>
        <w:rPr>
          <w:color w:val="auto"/>
          <w:sz w:val="24"/>
          <w:szCs w:val="24"/>
        </w:rPr>
        <w:tab/>
      </w:r>
      <w:r>
        <w:rPr>
          <w:color w:val="auto"/>
          <w:sz w:val="24"/>
          <w:szCs w:val="24"/>
        </w:rPr>
        <w:fldChar w:fldCharType="begin"/>
      </w:r>
      <w:r>
        <w:rPr>
          <w:color w:val="auto"/>
          <w:sz w:val="24"/>
          <w:szCs w:val="24"/>
        </w:rPr>
        <w:instrText xml:space="preserve"> PAGEREF _Toc14542 \h </w:instrText>
      </w:r>
      <w:r>
        <w:rPr>
          <w:color w:val="auto"/>
          <w:sz w:val="24"/>
          <w:szCs w:val="24"/>
        </w:rPr>
        <w:fldChar w:fldCharType="separate"/>
      </w:r>
      <w:r>
        <w:rPr>
          <w:color w:val="auto"/>
          <w:sz w:val="24"/>
          <w:szCs w:val="24"/>
        </w:rPr>
        <w:t>- 8 -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_Toc17288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四、无效响应</w:t>
      </w:r>
      <w:r>
        <w:rPr>
          <w:color w:val="auto"/>
          <w:sz w:val="24"/>
          <w:szCs w:val="24"/>
        </w:rPr>
        <w:tab/>
      </w:r>
      <w:r>
        <w:rPr>
          <w:color w:val="auto"/>
          <w:sz w:val="24"/>
          <w:szCs w:val="24"/>
        </w:rPr>
        <w:fldChar w:fldCharType="begin"/>
      </w:r>
      <w:r>
        <w:rPr>
          <w:color w:val="auto"/>
          <w:sz w:val="24"/>
          <w:szCs w:val="24"/>
        </w:rPr>
        <w:instrText xml:space="preserve"> PAGEREF _Toc17288 \h </w:instrText>
      </w:r>
      <w:r>
        <w:rPr>
          <w:color w:val="auto"/>
          <w:sz w:val="24"/>
          <w:szCs w:val="24"/>
        </w:rPr>
        <w:fldChar w:fldCharType="separate"/>
      </w:r>
      <w:r>
        <w:rPr>
          <w:color w:val="auto"/>
          <w:sz w:val="24"/>
          <w:szCs w:val="24"/>
        </w:rPr>
        <w:t>- 9 -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_Toc25723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五、废标条款</w:t>
      </w:r>
      <w:r>
        <w:rPr>
          <w:color w:val="auto"/>
          <w:sz w:val="24"/>
          <w:szCs w:val="24"/>
        </w:rPr>
        <w:tab/>
      </w:r>
      <w:r>
        <w:rPr>
          <w:color w:val="auto"/>
          <w:sz w:val="24"/>
          <w:szCs w:val="24"/>
        </w:rPr>
        <w:fldChar w:fldCharType="begin"/>
      </w:r>
      <w:r>
        <w:rPr>
          <w:color w:val="auto"/>
          <w:sz w:val="24"/>
          <w:szCs w:val="24"/>
        </w:rPr>
        <w:instrText xml:space="preserve"> PAGEREF _Toc25723 \h </w:instrText>
      </w:r>
      <w:r>
        <w:rPr>
          <w:color w:val="auto"/>
          <w:sz w:val="24"/>
          <w:szCs w:val="24"/>
        </w:rPr>
        <w:fldChar w:fldCharType="separate"/>
      </w:r>
      <w:r>
        <w:rPr>
          <w:color w:val="auto"/>
          <w:sz w:val="24"/>
          <w:szCs w:val="24"/>
        </w:rPr>
        <w:t>- 9 -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_Toc16624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w:t>
      </w:r>
      <w:r>
        <w:rPr>
          <w:rFonts w:hint="eastAsia" w:ascii="微软雅黑" w:hAnsi="微软雅黑" w:eastAsia="微软雅黑" w:cs="微软雅黑"/>
          <w:color w:val="auto"/>
          <w:sz w:val="24"/>
          <w:szCs w:val="24"/>
          <w:lang w:val="en-US" w:eastAsia="zh-CN"/>
        </w:rPr>
        <w:t>五</w:t>
      </w:r>
      <w:r>
        <w:rPr>
          <w:rFonts w:hint="eastAsia" w:ascii="微软雅黑" w:hAnsi="微软雅黑" w:eastAsia="微软雅黑" w:cs="微软雅黑"/>
          <w:color w:val="auto"/>
          <w:sz w:val="24"/>
          <w:szCs w:val="24"/>
        </w:rPr>
        <w:t>篇  投标人须知</w:t>
      </w:r>
      <w:r>
        <w:rPr>
          <w:color w:val="auto"/>
          <w:sz w:val="24"/>
          <w:szCs w:val="24"/>
        </w:rPr>
        <w:tab/>
      </w:r>
      <w:r>
        <w:rPr>
          <w:color w:val="auto"/>
          <w:sz w:val="24"/>
          <w:szCs w:val="24"/>
        </w:rPr>
        <w:fldChar w:fldCharType="begin"/>
      </w:r>
      <w:r>
        <w:rPr>
          <w:color w:val="auto"/>
          <w:sz w:val="24"/>
          <w:szCs w:val="24"/>
        </w:rPr>
        <w:instrText xml:space="preserve"> PAGEREF _Toc16624 \h </w:instrText>
      </w:r>
      <w:r>
        <w:rPr>
          <w:color w:val="auto"/>
          <w:sz w:val="24"/>
          <w:szCs w:val="24"/>
        </w:rPr>
        <w:fldChar w:fldCharType="separate"/>
      </w:r>
      <w:r>
        <w:rPr>
          <w:color w:val="auto"/>
          <w:sz w:val="24"/>
          <w:szCs w:val="24"/>
        </w:rPr>
        <w:t>- 10 -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_Toc9624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一、公开比选费用</w:t>
      </w:r>
      <w:r>
        <w:rPr>
          <w:color w:val="auto"/>
          <w:sz w:val="24"/>
          <w:szCs w:val="24"/>
        </w:rPr>
        <w:tab/>
      </w:r>
      <w:r>
        <w:rPr>
          <w:color w:val="auto"/>
          <w:sz w:val="24"/>
          <w:szCs w:val="24"/>
        </w:rPr>
        <w:fldChar w:fldCharType="begin"/>
      </w:r>
      <w:r>
        <w:rPr>
          <w:color w:val="auto"/>
          <w:sz w:val="24"/>
          <w:szCs w:val="24"/>
        </w:rPr>
        <w:instrText xml:space="preserve"> PAGEREF _Toc9624 \h </w:instrText>
      </w:r>
      <w:r>
        <w:rPr>
          <w:color w:val="auto"/>
          <w:sz w:val="24"/>
          <w:szCs w:val="24"/>
        </w:rPr>
        <w:fldChar w:fldCharType="separate"/>
      </w:r>
      <w:r>
        <w:rPr>
          <w:color w:val="auto"/>
          <w:sz w:val="24"/>
          <w:szCs w:val="24"/>
        </w:rPr>
        <w:t>- 10 -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_Toc8631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二、公开比选采购文件</w:t>
      </w:r>
      <w:r>
        <w:rPr>
          <w:color w:val="auto"/>
          <w:sz w:val="24"/>
          <w:szCs w:val="24"/>
        </w:rPr>
        <w:tab/>
      </w:r>
      <w:r>
        <w:rPr>
          <w:color w:val="auto"/>
          <w:sz w:val="24"/>
          <w:szCs w:val="24"/>
        </w:rPr>
        <w:fldChar w:fldCharType="begin"/>
      </w:r>
      <w:r>
        <w:rPr>
          <w:color w:val="auto"/>
          <w:sz w:val="24"/>
          <w:szCs w:val="24"/>
        </w:rPr>
        <w:instrText xml:space="preserve"> PAGEREF _Toc8631 \h </w:instrText>
      </w:r>
      <w:r>
        <w:rPr>
          <w:color w:val="auto"/>
          <w:sz w:val="24"/>
          <w:szCs w:val="24"/>
        </w:rPr>
        <w:fldChar w:fldCharType="separate"/>
      </w:r>
      <w:r>
        <w:rPr>
          <w:color w:val="auto"/>
          <w:sz w:val="24"/>
          <w:szCs w:val="24"/>
        </w:rPr>
        <w:t>- 10 -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_Toc9861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三、比选要求</w:t>
      </w:r>
      <w:r>
        <w:rPr>
          <w:color w:val="auto"/>
          <w:sz w:val="24"/>
          <w:szCs w:val="24"/>
        </w:rPr>
        <w:tab/>
      </w:r>
      <w:r>
        <w:rPr>
          <w:color w:val="auto"/>
          <w:sz w:val="24"/>
          <w:szCs w:val="24"/>
        </w:rPr>
        <w:fldChar w:fldCharType="begin"/>
      </w:r>
      <w:r>
        <w:rPr>
          <w:color w:val="auto"/>
          <w:sz w:val="24"/>
          <w:szCs w:val="24"/>
        </w:rPr>
        <w:instrText xml:space="preserve"> PAGEREF _Toc9861 \h </w:instrText>
      </w:r>
      <w:r>
        <w:rPr>
          <w:color w:val="auto"/>
          <w:sz w:val="24"/>
          <w:szCs w:val="24"/>
        </w:rPr>
        <w:fldChar w:fldCharType="separate"/>
      </w:r>
      <w:r>
        <w:rPr>
          <w:color w:val="auto"/>
          <w:sz w:val="24"/>
          <w:szCs w:val="24"/>
        </w:rPr>
        <w:t>- 10 -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_Toc1612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四、中标人的确认和变更</w:t>
      </w:r>
      <w:r>
        <w:rPr>
          <w:color w:val="auto"/>
          <w:sz w:val="24"/>
          <w:szCs w:val="24"/>
        </w:rPr>
        <w:tab/>
      </w:r>
      <w:r>
        <w:rPr>
          <w:color w:val="auto"/>
          <w:sz w:val="24"/>
          <w:szCs w:val="24"/>
        </w:rPr>
        <w:fldChar w:fldCharType="begin"/>
      </w:r>
      <w:r>
        <w:rPr>
          <w:color w:val="auto"/>
          <w:sz w:val="24"/>
          <w:szCs w:val="24"/>
        </w:rPr>
        <w:instrText xml:space="preserve"> PAGEREF _Toc1612 \h </w:instrText>
      </w:r>
      <w:r>
        <w:rPr>
          <w:color w:val="auto"/>
          <w:sz w:val="24"/>
          <w:szCs w:val="24"/>
        </w:rPr>
        <w:fldChar w:fldCharType="separate"/>
      </w:r>
      <w:r>
        <w:rPr>
          <w:color w:val="auto"/>
          <w:sz w:val="24"/>
          <w:szCs w:val="24"/>
        </w:rPr>
        <w:t>- 11 -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_Toc20309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五、成交通知</w:t>
      </w:r>
      <w:r>
        <w:rPr>
          <w:color w:val="auto"/>
          <w:sz w:val="24"/>
          <w:szCs w:val="24"/>
        </w:rPr>
        <w:tab/>
      </w:r>
      <w:r>
        <w:rPr>
          <w:color w:val="auto"/>
          <w:sz w:val="24"/>
          <w:szCs w:val="24"/>
        </w:rPr>
        <w:fldChar w:fldCharType="begin"/>
      </w:r>
      <w:r>
        <w:rPr>
          <w:color w:val="auto"/>
          <w:sz w:val="24"/>
          <w:szCs w:val="24"/>
        </w:rPr>
        <w:instrText xml:space="preserve"> PAGEREF _Toc20309 \h </w:instrText>
      </w:r>
      <w:r>
        <w:rPr>
          <w:color w:val="auto"/>
          <w:sz w:val="24"/>
          <w:szCs w:val="24"/>
        </w:rPr>
        <w:fldChar w:fldCharType="separate"/>
      </w:r>
      <w:r>
        <w:rPr>
          <w:color w:val="auto"/>
          <w:sz w:val="24"/>
          <w:szCs w:val="24"/>
        </w:rPr>
        <w:t>- 11 -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_Toc25162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六、质疑处理</w:t>
      </w:r>
      <w:r>
        <w:rPr>
          <w:color w:val="auto"/>
          <w:sz w:val="24"/>
          <w:szCs w:val="24"/>
        </w:rPr>
        <w:tab/>
      </w:r>
      <w:r>
        <w:rPr>
          <w:color w:val="auto"/>
          <w:sz w:val="24"/>
          <w:szCs w:val="24"/>
        </w:rPr>
        <w:fldChar w:fldCharType="begin"/>
      </w:r>
      <w:r>
        <w:rPr>
          <w:color w:val="auto"/>
          <w:sz w:val="24"/>
          <w:szCs w:val="24"/>
        </w:rPr>
        <w:instrText xml:space="preserve"> PAGEREF _Toc25162 \h </w:instrText>
      </w:r>
      <w:r>
        <w:rPr>
          <w:color w:val="auto"/>
          <w:sz w:val="24"/>
          <w:szCs w:val="24"/>
        </w:rPr>
        <w:fldChar w:fldCharType="separate"/>
      </w:r>
      <w:r>
        <w:rPr>
          <w:color w:val="auto"/>
          <w:sz w:val="24"/>
          <w:szCs w:val="24"/>
        </w:rPr>
        <w:t>- 11 -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_Toc10669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七、签订合同</w:t>
      </w:r>
      <w:r>
        <w:rPr>
          <w:color w:val="auto"/>
          <w:sz w:val="24"/>
          <w:szCs w:val="24"/>
        </w:rPr>
        <w:tab/>
      </w:r>
      <w:r>
        <w:rPr>
          <w:color w:val="auto"/>
          <w:sz w:val="24"/>
          <w:szCs w:val="24"/>
        </w:rPr>
        <w:fldChar w:fldCharType="begin"/>
      </w:r>
      <w:r>
        <w:rPr>
          <w:color w:val="auto"/>
          <w:sz w:val="24"/>
          <w:szCs w:val="24"/>
        </w:rPr>
        <w:instrText xml:space="preserve"> PAGEREF _Toc10669 \h </w:instrText>
      </w:r>
      <w:r>
        <w:rPr>
          <w:color w:val="auto"/>
          <w:sz w:val="24"/>
          <w:szCs w:val="24"/>
        </w:rPr>
        <w:fldChar w:fldCharType="separate"/>
      </w:r>
      <w:r>
        <w:rPr>
          <w:color w:val="auto"/>
          <w:sz w:val="24"/>
          <w:szCs w:val="24"/>
        </w:rPr>
        <w:t>- 12 -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_Toc13170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w:t>
      </w:r>
      <w:r>
        <w:rPr>
          <w:rFonts w:hint="eastAsia" w:ascii="微软雅黑" w:hAnsi="微软雅黑" w:eastAsia="微软雅黑" w:cs="微软雅黑"/>
          <w:color w:val="auto"/>
          <w:sz w:val="24"/>
          <w:szCs w:val="24"/>
          <w:lang w:val="en-US" w:eastAsia="zh-CN"/>
        </w:rPr>
        <w:t>六</w:t>
      </w:r>
      <w:r>
        <w:rPr>
          <w:rFonts w:hint="eastAsia" w:ascii="微软雅黑" w:hAnsi="微软雅黑" w:eastAsia="微软雅黑" w:cs="微软雅黑"/>
          <w:color w:val="auto"/>
          <w:sz w:val="24"/>
          <w:szCs w:val="24"/>
        </w:rPr>
        <w:t>篇  响应文件编制要求</w:t>
      </w:r>
      <w:r>
        <w:rPr>
          <w:color w:val="auto"/>
          <w:sz w:val="24"/>
          <w:szCs w:val="24"/>
        </w:rPr>
        <w:tab/>
      </w:r>
      <w:r>
        <w:rPr>
          <w:color w:val="auto"/>
          <w:sz w:val="24"/>
          <w:szCs w:val="24"/>
        </w:rPr>
        <w:fldChar w:fldCharType="begin"/>
      </w:r>
      <w:r>
        <w:rPr>
          <w:color w:val="auto"/>
          <w:sz w:val="24"/>
          <w:szCs w:val="24"/>
        </w:rPr>
        <w:instrText xml:space="preserve"> PAGEREF _Toc13170 \h </w:instrText>
      </w:r>
      <w:r>
        <w:rPr>
          <w:color w:val="auto"/>
          <w:sz w:val="24"/>
          <w:szCs w:val="24"/>
        </w:rPr>
        <w:fldChar w:fldCharType="separate"/>
      </w:r>
      <w:r>
        <w:rPr>
          <w:color w:val="auto"/>
          <w:sz w:val="24"/>
          <w:szCs w:val="24"/>
        </w:rPr>
        <w:t>- 13 -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_Toc5191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一、经济部分</w:t>
      </w:r>
      <w:r>
        <w:rPr>
          <w:color w:val="auto"/>
          <w:sz w:val="24"/>
          <w:szCs w:val="24"/>
        </w:rPr>
        <w:tab/>
      </w:r>
      <w:r>
        <w:rPr>
          <w:color w:val="auto"/>
          <w:sz w:val="24"/>
          <w:szCs w:val="24"/>
        </w:rPr>
        <w:fldChar w:fldCharType="begin"/>
      </w:r>
      <w:r>
        <w:rPr>
          <w:color w:val="auto"/>
          <w:sz w:val="24"/>
          <w:szCs w:val="24"/>
        </w:rPr>
        <w:instrText xml:space="preserve"> PAGEREF _Toc5191 \h </w:instrText>
      </w:r>
      <w:r>
        <w:rPr>
          <w:color w:val="auto"/>
          <w:sz w:val="24"/>
          <w:szCs w:val="24"/>
        </w:rPr>
        <w:fldChar w:fldCharType="separate"/>
      </w:r>
      <w:r>
        <w:rPr>
          <w:color w:val="auto"/>
          <w:sz w:val="24"/>
          <w:szCs w:val="24"/>
        </w:rPr>
        <w:t>- 15 -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_Toc23947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二、技术部分</w:t>
      </w:r>
      <w:r>
        <w:rPr>
          <w:color w:val="auto"/>
          <w:sz w:val="24"/>
          <w:szCs w:val="24"/>
        </w:rPr>
        <w:tab/>
      </w:r>
      <w:r>
        <w:rPr>
          <w:color w:val="auto"/>
          <w:sz w:val="24"/>
          <w:szCs w:val="24"/>
        </w:rPr>
        <w:fldChar w:fldCharType="begin"/>
      </w:r>
      <w:r>
        <w:rPr>
          <w:color w:val="auto"/>
          <w:sz w:val="24"/>
          <w:szCs w:val="24"/>
        </w:rPr>
        <w:instrText xml:space="preserve"> PAGEREF _Toc23947 \h </w:instrText>
      </w:r>
      <w:r>
        <w:rPr>
          <w:color w:val="auto"/>
          <w:sz w:val="24"/>
          <w:szCs w:val="24"/>
        </w:rPr>
        <w:fldChar w:fldCharType="separate"/>
      </w:r>
      <w:r>
        <w:rPr>
          <w:color w:val="auto"/>
          <w:sz w:val="24"/>
          <w:szCs w:val="24"/>
        </w:rPr>
        <w:t>- 18 -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_Toc19426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三、商务部分</w:t>
      </w:r>
      <w:r>
        <w:rPr>
          <w:color w:val="auto"/>
          <w:sz w:val="24"/>
          <w:szCs w:val="24"/>
        </w:rPr>
        <w:tab/>
      </w:r>
      <w:r>
        <w:rPr>
          <w:color w:val="auto"/>
          <w:sz w:val="24"/>
          <w:szCs w:val="24"/>
        </w:rPr>
        <w:fldChar w:fldCharType="begin"/>
      </w:r>
      <w:r>
        <w:rPr>
          <w:color w:val="auto"/>
          <w:sz w:val="24"/>
          <w:szCs w:val="24"/>
        </w:rPr>
        <w:instrText xml:space="preserve"> PAGEREF _Toc19426 \h </w:instrText>
      </w:r>
      <w:r>
        <w:rPr>
          <w:color w:val="auto"/>
          <w:sz w:val="24"/>
          <w:szCs w:val="24"/>
        </w:rPr>
        <w:fldChar w:fldCharType="separate"/>
      </w:r>
      <w:r>
        <w:rPr>
          <w:color w:val="auto"/>
          <w:sz w:val="24"/>
          <w:szCs w:val="24"/>
        </w:rPr>
        <w:t>- 20 -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_Toc14888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四、资格条件</w:t>
      </w:r>
      <w:r>
        <w:rPr>
          <w:color w:val="auto"/>
          <w:sz w:val="24"/>
          <w:szCs w:val="24"/>
        </w:rPr>
        <w:tab/>
      </w:r>
      <w:r>
        <w:rPr>
          <w:color w:val="auto"/>
          <w:sz w:val="24"/>
          <w:szCs w:val="24"/>
        </w:rPr>
        <w:fldChar w:fldCharType="begin"/>
      </w:r>
      <w:r>
        <w:rPr>
          <w:color w:val="auto"/>
          <w:sz w:val="24"/>
          <w:szCs w:val="24"/>
        </w:rPr>
        <w:instrText xml:space="preserve"> PAGEREF _Toc14888 \h </w:instrText>
      </w:r>
      <w:r>
        <w:rPr>
          <w:color w:val="auto"/>
          <w:sz w:val="24"/>
          <w:szCs w:val="24"/>
        </w:rPr>
        <w:fldChar w:fldCharType="separate"/>
      </w:r>
      <w:r>
        <w:rPr>
          <w:color w:val="auto"/>
          <w:sz w:val="24"/>
          <w:szCs w:val="24"/>
        </w:rPr>
        <w:t>- 22 -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_Toc15465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五、</w:t>
      </w:r>
      <w:r>
        <w:rPr>
          <w:rFonts w:hint="eastAsia" w:ascii="微软雅黑" w:hAnsi="微软雅黑" w:eastAsia="微软雅黑" w:cs="微软雅黑"/>
          <w:color w:val="auto"/>
          <w:sz w:val="24"/>
          <w:szCs w:val="24"/>
          <w:lang w:val="en-US" w:eastAsia="zh-CN"/>
        </w:rPr>
        <w:t>综合评标</w:t>
      </w:r>
      <w:r>
        <w:rPr>
          <w:rFonts w:hint="eastAsia" w:ascii="微软雅黑" w:hAnsi="微软雅黑" w:eastAsia="微软雅黑" w:cs="微软雅黑"/>
          <w:color w:val="auto"/>
          <w:sz w:val="24"/>
          <w:szCs w:val="24"/>
        </w:rPr>
        <w:t>资料</w:t>
      </w:r>
      <w:r>
        <w:rPr>
          <w:color w:val="auto"/>
          <w:sz w:val="24"/>
          <w:szCs w:val="24"/>
        </w:rPr>
        <w:tab/>
      </w:r>
      <w:r>
        <w:rPr>
          <w:color w:val="auto"/>
          <w:sz w:val="24"/>
          <w:szCs w:val="24"/>
        </w:rPr>
        <w:fldChar w:fldCharType="begin"/>
      </w:r>
      <w:r>
        <w:rPr>
          <w:color w:val="auto"/>
          <w:sz w:val="24"/>
          <w:szCs w:val="24"/>
        </w:rPr>
        <w:instrText xml:space="preserve"> PAGEREF _Toc15465 \h </w:instrText>
      </w:r>
      <w:r>
        <w:rPr>
          <w:color w:val="auto"/>
          <w:sz w:val="24"/>
          <w:szCs w:val="24"/>
        </w:rPr>
        <w:fldChar w:fldCharType="separate"/>
      </w:r>
      <w:r>
        <w:rPr>
          <w:color w:val="auto"/>
          <w:sz w:val="24"/>
          <w:szCs w:val="24"/>
        </w:rPr>
        <w:t>- 28 -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color w:val="auto"/>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color w:val="auto"/>
          <w:szCs w:val="24"/>
        </w:rPr>
        <w:fldChar w:fldCharType="end"/>
      </w:r>
    </w:p>
    <w:p>
      <w:pPr>
        <w:pStyle w:val="4"/>
        <w:spacing w:before="200" w:after="200" w:line="240" w:lineRule="auto"/>
        <w:jc w:val="center"/>
        <w:rPr>
          <w:rFonts w:hint="eastAsia" w:ascii="微软雅黑" w:hAnsi="微软雅黑" w:eastAsia="微软雅黑" w:cs="微软雅黑"/>
          <w:color w:val="auto"/>
          <w:sz w:val="44"/>
        </w:rPr>
      </w:pPr>
      <w:bookmarkStart w:id="6" w:name="_Toc12789052"/>
      <w:bookmarkStart w:id="7" w:name="_Toc26011"/>
      <w:bookmarkStart w:id="8" w:name="_Toc76462316"/>
      <w:bookmarkStart w:id="9" w:name="_Toc106030870"/>
      <w:bookmarkStart w:id="10" w:name="_Toc11641050"/>
      <w:bookmarkStart w:id="11" w:name="_Toc24037"/>
      <w:r>
        <w:rPr>
          <w:rFonts w:hint="eastAsia" w:ascii="微软雅黑" w:hAnsi="微软雅黑" w:eastAsia="微软雅黑" w:cs="微软雅黑"/>
          <w:color w:val="auto"/>
          <w:sz w:val="44"/>
        </w:rPr>
        <w:t>第一篇  采购邀请书</w:t>
      </w:r>
      <w:bookmarkEnd w:id="6"/>
      <w:bookmarkEnd w:id="7"/>
      <w:bookmarkEnd w:id="8"/>
      <w:bookmarkEnd w:id="9"/>
      <w:bookmarkEnd w:id="10"/>
      <w:bookmarkEnd w:id="11"/>
    </w:p>
    <w:p>
      <w:pPr>
        <w:rPr>
          <w:rFonts w:hint="eastAsia" w:ascii="微软雅黑" w:hAnsi="微软雅黑" w:eastAsia="微软雅黑" w:cs="微软雅黑"/>
          <w:color w:val="auto"/>
        </w:rPr>
      </w:pPr>
      <w:r>
        <w:rPr>
          <w:rFonts w:hint="eastAsia" w:ascii="微软雅黑" w:hAnsi="微软雅黑" w:eastAsia="微软雅黑" w:cs="微软雅黑"/>
          <w:color w:val="auto"/>
          <w:sz w:val="24"/>
          <w:szCs w:val="24"/>
        </w:rPr>
        <w:t xml:space="preserve">    重庆医科大学附属儿童医院对</w:t>
      </w:r>
      <w:r>
        <w:rPr>
          <w:rFonts w:hint="eastAsia" w:ascii="微软雅黑" w:hAnsi="微软雅黑" w:eastAsia="微软雅黑" w:cs="微软雅黑"/>
          <w:color w:val="auto"/>
          <w:sz w:val="24"/>
          <w:szCs w:val="24"/>
          <w:u w:val="single"/>
        </w:rPr>
        <w:t>全功能心脏离体灌流系统</w:t>
      </w:r>
      <w:r>
        <w:rPr>
          <w:rFonts w:hint="eastAsia" w:ascii="微软雅黑" w:hAnsi="微软雅黑" w:eastAsia="微软雅黑" w:cs="微软雅黑"/>
          <w:color w:val="auto"/>
          <w:sz w:val="24"/>
          <w:szCs w:val="24"/>
        </w:rPr>
        <w:t>项目进行公开比选采购。欢迎有资格的投标人前来参与。</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2" w:name="_Toc76462317"/>
      <w:bookmarkStart w:id="13" w:name="_Toc313893526"/>
      <w:bookmarkStart w:id="14" w:name="_Toc106030871"/>
      <w:bookmarkStart w:id="15" w:name="_Toc317775175"/>
      <w:bookmarkStart w:id="16" w:name="_Toc3856"/>
      <w:bookmarkStart w:id="17" w:name="_Toc23226"/>
      <w:r>
        <w:rPr>
          <w:rFonts w:hint="eastAsia" w:ascii="微软雅黑" w:hAnsi="微软雅黑" w:eastAsia="微软雅黑" w:cs="微软雅黑"/>
          <w:color w:val="auto"/>
          <w:sz w:val="24"/>
        </w:rPr>
        <w:t>一、公开比选采购内容</w:t>
      </w:r>
      <w:bookmarkEnd w:id="12"/>
      <w:bookmarkEnd w:id="13"/>
      <w:bookmarkEnd w:id="14"/>
      <w:bookmarkEnd w:id="15"/>
      <w:bookmarkEnd w:id="16"/>
      <w:bookmarkEnd w:id="17"/>
    </w:p>
    <w:tbl>
      <w:tblPr>
        <w:tblStyle w:val="58"/>
        <w:tblW w:w="45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8"/>
        <w:gridCol w:w="2786"/>
        <w:gridCol w:w="1421"/>
        <w:gridCol w:w="1662"/>
        <w:gridCol w:w="12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833"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rPr>
            </w:pPr>
            <w:bookmarkStart w:id="18" w:name="_Toc106030872"/>
            <w:bookmarkStart w:id="19" w:name="_Toc76462318"/>
            <w:bookmarkStart w:id="20" w:name="_Toc373860293"/>
            <w:r>
              <w:rPr>
                <w:rFonts w:hint="eastAsia" w:ascii="微软雅黑" w:hAnsi="微软雅黑" w:eastAsia="微软雅黑" w:cs="微软雅黑"/>
                <w:b/>
                <w:bCs/>
                <w:color w:val="auto"/>
                <w:kern w:val="0"/>
                <w:sz w:val="21"/>
                <w:szCs w:val="24"/>
              </w:rPr>
              <w:t>项目编号</w:t>
            </w:r>
          </w:p>
        </w:tc>
        <w:tc>
          <w:tcPr>
            <w:tcW w:w="1625"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rPr>
            </w:pPr>
            <w:r>
              <w:rPr>
                <w:rFonts w:hint="eastAsia" w:ascii="微软雅黑" w:hAnsi="微软雅黑" w:eastAsia="微软雅黑" w:cs="微软雅黑"/>
                <w:b/>
                <w:bCs/>
                <w:color w:val="auto"/>
                <w:kern w:val="0"/>
                <w:sz w:val="21"/>
                <w:szCs w:val="24"/>
              </w:rPr>
              <w:t>项目名称</w:t>
            </w:r>
          </w:p>
        </w:tc>
        <w:tc>
          <w:tcPr>
            <w:tcW w:w="828"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rPr>
            </w:pPr>
            <w:r>
              <w:rPr>
                <w:rFonts w:hint="eastAsia" w:ascii="微软雅黑" w:hAnsi="微软雅黑" w:eastAsia="微软雅黑" w:cs="微软雅黑"/>
                <w:b/>
                <w:bCs/>
                <w:color w:val="auto"/>
                <w:kern w:val="0"/>
                <w:sz w:val="21"/>
                <w:szCs w:val="24"/>
              </w:rPr>
              <w:t>最高限价</w:t>
            </w:r>
          </w:p>
        </w:tc>
        <w:tc>
          <w:tcPr>
            <w:tcW w:w="969"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lang w:val="en-US" w:eastAsia="zh-CN"/>
              </w:rPr>
            </w:pPr>
            <w:r>
              <w:rPr>
                <w:rFonts w:hint="eastAsia" w:ascii="微软雅黑" w:hAnsi="微软雅黑" w:eastAsia="微软雅黑" w:cs="微软雅黑"/>
                <w:b/>
                <w:bCs/>
                <w:color w:val="auto"/>
                <w:kern w:val="0"/>
                <w:sz w:val="21"/>
                <w:szCs w:val="24"/>
                <w:lang w:val="en-US" w:eastAsia="zh-CN"/>
              </w:rPr>
              <w:t>投标保证金</w:t>
            </w:r>
          </w:p>
        </w:tc>
        <w:tc>
          <w:tcPr>
            <w:tcW w:w="742" w:type="pct"/>
            <w:tcBorders>
              <w:top w:val="single" w:color="auto" w:sz="4" w:space="0"/>
              <w:left w:val="single" w:color="auto" w:sz="4" w:space="0"/>
              <w:right w:val="single" w:color="auto" w:sz="4" w:space="0"/>
            </w:tcBorders>
            <w:vAlign w:val="center"/>
          </w:tcPr>
          <w:p>
            <w:pPr>
              <w:widowControl/>
              <w:jc w:val="center"/>
              <w:rPr>
                <w:rFonts w:hint="default" w:ascii="微软雅黑" w:hAnsi="微软雅黑" w:eastAsia="微软雅黑" w:cs="微软雅黑"/>
                <w:b/>
                <w:bCs/>
                <w:color w:val="auto"/>
                <w:kern w:val="0"/>
                <w:sz w:val="21"/>
                <w:szCs w:val="24"/>
                <w:lang w:val="en-US" w:eastAsia="zh-CN"/>
              </w:rPr>
            </w:pPr>
            <w:r>
              <w:rPr>
                <w:rFonts w:hint="eastAsia" w:ascii="微软雅黑" w:hAnsi="微软雅黑" w:eastAsia="微软雅黑" w:cs="微软雅黑"/>
                <w:b/>
                <w:bCs/>
                <w:color w:val="auto"/>
                <w:kern w:val="0"/>
                <w:sz w:val="21"/>
                <w:szCs w:val="24"/>
                <w:lang w:val="en-US" w:eastAsia="zh-CN"/>
              </w:rPr>
              <w:t>中标人数量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33"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color w:val="auto"/>
                <w:kern w:val="0"/>
                <w:sz w:val="21"/>
                <w:szCs w:val="24"/>
                <w:lang w:val="en-US" w:eastAsia="zh-CN"/>
              </w:rPr>
            </w:pPr>
            <w:r>
              <w:rPr>
                <w:rFonts w:hint="eastAsia" w:ascii="微软雅黑" w:hAnsi="微软雅黑" w:eastAsia="微软雅黑" w:cs="微软雅黑"/>
                <w:color w:val="auto"/>
                <w:kern w:val="0"/>
                <w:sz w:val="21"/>
                <w:szCs w:val="24"/>
                <w:lang w:val="en-US" w:eastAsia="zh-CN"/>
              </w:rPr>
              <w:t>YSB260072</w:t>
            </w:r>
          </w:p>
        </w:tc>
        <w:tc>
          <w:tcPr>
            <w:tcW w:w="162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全功能心脏离体灌流系统</w:t>
            </w:r>
          </w:p>
        </w:tc>
        <w:tc>
          <w:tcPr>
            <w:tcW w:w="828"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40万元</w:t>
            </w:r>
          </w:p>
        </w:tc>
        <w:tc>
          <w:tcPr>
            <w:tcW w:w="969"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2000元</w:t>
            </w:r>
          </w:p>
        </w:tc>
        <w:tc>
          <w:tcPr>
            <w:tcW w:w="742"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1" w:name="_Toc9755"/>
      <w:bookmarkStart w:id="22" w:name="_Toc5097"/>
      <w:r>
        <w:rPr>
          <w:rFonts w:hint="eastAsia" w:ascii="微软雅黑" w:hAnsi="微软雅黑" w:eastAsia="微软雅黑" w:cs="微软雅黑"/>
          <w:color w:val="auto"/>
          <w:sz w:val="24"/>
        </w:rPr>
        <w:t>二、</w:t>
      </w:r>
      <w:bookmarkEnd w:id="18"/>
      <w:bookmarkEnd w:id="19"/>
      <w:bookmarkEnd w:id="21"/>
      <w:bookmarkStart w:id="23" w:name="_Toc76462319"/>
      <w:bookmarkStart w:id="24" w:name="_Toc4480"/>
      <w:bookmarkStart w:id="25" w:name="_Toc106030873"/>
      <w:r>
        <w:rPr>
          <w:rFonts w:hint="eastAsia" w:ascii="微软雅黑" w:hAnsi="微软雅黑" w:eastAsia="微软雅黑" w:cs="微软雅黑"/>
          <w:color w:val="auto"/>
          <w:sz w:val="24"/>
        </w:rPr>
        <w:t>投标人资格条件</w:t>
      </w:r>
      <w:bookmarkEnd w:id="22"/>
      <w:bookmarkEnd w:id="23"/>
      <w:bookmarkEnd w:id="24"/>
      <w:bookmarkEnd w:id="25"/>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（一）满足《中华人民共和国政府采购法》第二十二条规定；</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（二）本项目的特定资格要求：</w:t>
      </w:r>
      <w:bookmarkStart w:id="26" w:name="_Toc106030874"/>
      <w:bookmarkStart w:id="27" w:name="_Toc27954"/>
      <w:bookmarkStart w:id="28" w:name="_Toc76462320"/>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投标人为所投标产品制造商或经销商。若为经销商投标，须具备投标产品制造商或制造商中国境内代表机构认可的经销资格;</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投标人医疗器械经营许可证;</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3</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生产企业的医疗器械生产企业许可证和生产目录表;</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4</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所投产品属三类医疗器械的，须具备有效期内《医疗器械经营企业许可证》或《医</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疗器械经营许可证》及产品注册证;</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5</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所提供产品属二类医疗器械的，须具备有效期内《医疗器械经营企业许可证》或</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《第二类医疗器械经营备案凭证》及产品注册证;</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6</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须具有所提供产品《第一类医疗器械备案凭证》及《第一类医疗器械备案信息表》</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及产品备案;</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7.</w:t>
      </w:r>
      <w:r>
        <w:rPr>
          <w:rFonts w:hint="eastAsia" w:ascii="微软雅黑" w:hAnsi="微软雅黑" w:eastAsia="微软雅黑" w:cs="微软雅黑"/>
          <w:color w:val="auto"/>
          <w:sz w:val="24"/>
          <w:szCs w:val="24"/>
        </w:rPr>
        <w:t>所提供产品不属于医疗器械的</w:t>
      </w:r>
      <w:r>
        <w:rPr>
          <w:rFonts w:hint="eastAsia" w:ascii="微软雅黑" w:hAnsi="微软雅黑" w:eastAsia="微软雅黑" w:cs="微软雅黑"/>
          <w:color w:val="auto"/>
          <w:sz w:val="24"/>
          <w:szCs w:val="24"/>
          <w:lang w:eastAsia="zh-CN"/>
        </w:rPr>
        <w:t>无需提供上述第</w:t>
      </w:r>
      <w:r>
        <w:rPr>
          <w:rFonts w:hint="eastAsia" w:ascii="微软雅黑" w:hAnsi="微软雅黑" w:eastAsia="微软雅黑" w:cs="微软雅黑"/>
          <w:color w:val="auto"/>
          <w:sz w:val="24"/>
          <w:szCs w:val="24"/>
        </w:rPr>
        <w:t>2-6</w:t>
      </w:r>
      <w:r>
        <w:rPr>
          <w:rFonts w:hint="eastAsia" w:ascii="微软雅黑" w:hAnsi="微软雅黑" w:eastAsia="微软雅黑" w:cs="微软雅黑"/>
          <w:color w:val="auto"/>
          <w:sz w:val="24"/>
          <w:szCs w:val="24"/>
          <w:lang w:eastAsia="zh-CN"/>
        </w:rPr>
        <w:t>款</w:t>
      </w:r>
      <w:r>
        <w:rPr>
          <w:rFonts w:hint="eastAsia" w:ascii="微软雅黑" w:hAnsi="微软雅黑" w:eastAsia="微软雅黑" w:cs="微软雅黑"/>
          <w:color w:val="auto"/>
          <w:sz w:val="24"/>
          <w:szCs w:val="24"/>
          <w:lang w:val="en-US" w:eastAsia="zh-CN"/>
        </w:rPr>
        <w:t>材料。</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9" w:name="_Toc10792"/>
      <w:r>
        <w:rPr>
          <w:rFonts w:hint="eastAsia" w:ascii="微软雅黑" w:hAnsi="微软雅黑" w:eastAsia="微软雅黑" w:cs="微软雅黑"/>
          <w:color w:val="auto"/>
          <w:sz w:val="24"/>
        </w:rPr>
        <w:t>三、比选有关说明</w:t>
      </w:r>
      <w:bookmarkEnd w:id="20"/>
      <w:bookmarkEnd w:id="26"/>
      <w:bookmarkEnd w:id="27"/>
      <w:bookmarkEnd w:id="28"/>
      <w:bookmarkEnd w:id="29"/>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（一）投标人应通过重庆医科大学附属儿童医院电子招投标平台（zbb.chcmu-com.cn）进行注册和报名。</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（二）凡有意参加公开比选采购的投标人，请在重庆医科大学附属儿童医院电子招投标平台下载本项目公开比选采购文件以及</w:t>
      </w:r>
      <w:r>
        <w:rPr>
          <w:rFonts w:hint="eastAsia" w:ascii="微软雅黑" w:hAnsi="微软雅黑" w:eastAsia="微软雅黑" w:cs="微软雅黑"/>
          <w:color w:val="auto"/>
          <w:sz w:val="24"/>
          <w:szCs w:val="24"/>
          <w:lang w:eastAsia="zh-CN"/>
        </w:rPr>
        <w:t>其他</w:t>
      </w:r>
      <w:r>
        <w:rPr>
          <w:rFonts w:hint="eastAsia" w:ascii="微软雅黑" w:hAnsi="微软雅黑" w:eastAsia="微软雅黑" w:cs="微软雅黑"/>
          <w:color w:val="auto"/>
          <w:sz w:val="24"/>
          <w:szCs w:val="24"/>
        </w:rPr>
        <w:t>所有项目资料，无论投标人下载与否，均视为已知晓所有公开比选采购实质性要求内容。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（三）投标人须在重庆医科大学附属儿童医院电子招投标平台按要求上传电子版响应文件后才视为完成项目报名。</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（四）公开比选采购公告期限及报名截止期限：详见电子招投标平台该项目公告内容。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30" w:name="_Toc106034626"/>
      <w:bookmarkStart w:id="31" w:name="_Toc2945"/>
      <w:bookmarkStart w:id="32" w:name="_Toc65660335"/>
      <w:bookmarkStart w:id="33" w:name="_Toc521053054"/>
      <w:bookmarkStart w:id="34" w:name="_Toc525047162"/>
      <w:bookmarkStart w:id="35" w:name="_Toc1546"/>
      <w:bookmarkStart w:id="36" w:name="_Toc4355"/>
      <w:bookmarkStart w:id="37" w:name="_Toc16311"/>
      <w:r>
        <w:rPr>
          <w:rFonts w:hint="eastAsia" w:ascii="微软雅黑" w:hAnsi="微软雅黑" w:eastAsia="微软雅黑" w:cs="微软雅黑"/>
          <w:color w:val="auto"/>
          <w:sz w:val="24"/>
          <w:lang w:val="en-US" w:eastAsia="zh-CN"/>
        </w:rPr>
        <w:t>四</w:t>
      </w:r>
      <w:r>
        <w:rPr>
          <w:rFonts w:hint="eastAsia" w:ascii="微软雅黑" w:hAnsi="微软雅黑" w:eastAsia="微软雅黑" w:cs="微软雅黑"/>
          <w:color w:val="auto"/>
          <w:sz w:val="24"/>
        </w:rPr>
        <w:t>、</w:t>
      </w:r>
      <w:bookmarkEnd w:id="30"/>
      <w:bookmarkEnd w:id="31"/>
      <w:bookmarkEnd w:id="32"/>
      <w:bookmarkEnd w:id="33"/>
      <w:bookmarkEnd w:id="34"/>
      <w:bookmarkEnd w:id="35"/>
      <w:bookmarkEnd w:id="36"/>
      <w:bookmarkStart w:id="38" w:name="_Toc16749"/>
      <w:bookmarkStart w:id="39" w:name="_Toc525047161"/>
      <w:bookmarkStart w:id="40" w:name="_Toc521053053"/>
      <w:bookmarkStart w:id="41" w:name="_Toc6178"/>
      <w:bookmarkStart w:id="42" w:name="_Toc65660334"/>
      <w:bookmarkStart w:id="43" w:name="_Toc106034625"/>
      <w:bookmarkStart w:id="44" w:name="_Toc11956"/>
      <w:bookmarkStart w:id="45" w:name="_Toc12841"/>
      <w:r>
        <w:rPr>
          <w:rFonts w:hint="eastAsia" w:ascii="微软雅黑" w:hAnsi="微软雅黑" w:eastAsia="微软雅黑" w:cs="微软雅黑"/>
          <w:color w:val="auto"/>
          <w:sz w:val="24"/>
        </w:rPr>
        <w:t>保证金</w:t>
      </w:r>
      <w:bookmarkEnd w:id="37"/>
      <w:bookmarkEnd w:id="38"/>
      <w:bookmarkEnd w:id="39"/>
      <w:bookmarkEnd w:id="40"/>
      <w:bookmarkEnd w:id="41"/>
      <w:bookmarkEnd w:id="42"/>
      <w:bookmarkEnd w:id="43"/>
      <w:bookmarkEnd w:id="44"/>
      <w:bookmarkEnd w:id="45"/>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（一）保证金递交</w:t>
      </w:r>
    </w:p>
    <w:p>
      <w:pPr>
        <w:pStyle w:val="34"/>
        <w:spacing w:line="400" w:lineRule="exac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投标人应足额交纳保证金（保证金金额详见本篇，一、公开比选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4"/>
        <w:spacing w:line="400" w:lineRule="exac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（二）保证金退还方式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1.未</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的保证金，在中标通知书发放后</w:t>
      </w:r>
      <w:r>
        <w:rPr>
          <w:rFonts w:hint="eastAsia" w:ascii="微软雅黑" w:hAnsi="微软雅黑" w:eastAsia="微软雅黑" w:cs="微软雅黑"/>
          <w:color w:val="auto"/>
          <w:sz w:val="24"/>
          <w:szCs w:val="24"/>
          <w:lang w:val="en-US" w:eastAsia="zh-CN"/>
        </w:rPr>
        <w:t>60</w:t>
      </w:r>
      <w:r>
        <w:rPr>
          <w:rFonts w:hint="eastAsia" w:ascii="微软雅黑" w:hAnsi="微软雅黑" w:eastAsia="微软雅黑" w:cs="微软雅黑"/>
          <w:color w:val="auto"/>
          <w:sz w:val="24"/>
          <w:szCs w:val="24"/>
        </w:rPr>
        <w:t>个</w:t>
      </w:r>
      <w:r>
        <w:rPr>
          <w:rFonts w:hint="eastAsia" w:ascii="微软雅黑" w:hAnsi="微软雅黑" w:eastAsia="微软雅黑" w:cs="微软雅黑"/>
          <w:color w:val="auto"/>
          <w:sz w:val="24"/>
          <w:szCs w:val="24"/>
          <w:lang w:val="en-US" w:eastAsia="zh-CN"/>
        </w:rPr>
        <w:t>工作</w:t>
      </w:r>
      <w:r>
        <w:rPr>
          <w:rFonts w:hint="eastAsia" w:ascii="微软雅黑" w:hAnsi="微软雅黑" w:eastAsia="微软雅黑" w:cs="微软雅黑"/>
          <w:color w:val="auto"/>
          <w:sz w:val="24"/>
          <w:szCs w:val="24"/>
        </w:rPr>
        <w:t>日内退还至项目报名时所填写指定的投标单位对公账户。</w:t>
      </w:r>
    </w:p>
    <w:p>
      <w:pPr>
        <w:pStyle w:val="4"/>
        <w:adjustRightInd w:val="0"/>
        <w:snapToGrid w:val="0"/>
        <w:spacing w:before="0" w:after="0" w:line="400" w:lineRule="exact"/>
        <w:ind w:firstLine="480" w:firstLineChars="200"/>
        <w:rPr>
          <w:rFonts w:hint="eastAsia" w:ascii="微软雅黑" w:hAnsi="微软雅黑" w:eastAsia="微软雅黑" w:cs="微软雅黑"/>
          <w:b w:val="0"/>
          <w:bCs/>
          <w:color w:val="auto"/>
          <w:sz w:val="24"/>
        </w:rPr>
      </w:pPr>
      <w:bookmarkStart w:id="46" w:name="_Toc23827"/>
      <w:r>
        <w:rPr>
          <w:rFonts w:hint="eastAsia" w:ascii="微软雅黑" w:hAnsi="微软雅黑" w:eastAsia="微软雅黑" w:cs="微软雅黑"/>
          <w:b w:val="0"/>
          <w:bCs/>
          <w:color w:val="auto"/>
          <w:sz w:val="24"/>
          <w:szCs w:val="24"/>
        </w:rPr>
        <w:t>2.</w:t>
      </w:r>
      <w:r>
        <w:rPr>
          <w:rFonts w:hint="eastAsia" w:ascii="微软雅黑" w:hAnsi="微软雅黑" w:eastAsia="微软雅黑" w:cs="微软雅黑"/>
          <w:b w:val="0"/>
          <w:bCs/>
          <w:color w:val="auto"/>
          <w:sz w:val="24"/>
          <w:szCs w:val="24"/>
          <w:lang w:eastAsia="zh-CN"/>
        </w:rPr>
        <w:t>中标人</w:t>
      </w:r>
      <w:r>
        <w:rPr>
          <w:rFonts w:hint="eastAsia" w:ascii="微软雅黑" w:hAnsi="微软雅黑" w:eastAsia="微软雅黑" w:cs="微软雅黑"/>
          <w:b w:val="0"/>
          <w:bCs/>
          <w:color w:val="auto"/>
          <w:sz w:val="24"/>
          <w:szCs w:val="24"/>
        </w:rPr>
        <w:t>的保证金，将在与我院完成签订本项目合同并提交</w:t>
      </w:r>
      <w:r>
        <w:rPr>
          <w:rFonts w:hint="eastAsia" w:ascii="微软雅黑" w:hAnsi="微软雅黑" w:eastAsia="微软雅黑" w:cs="微软雅黑"/>
          <w:b w:val="0"/>
          <w:bCs/>
          <w:color w:val="auto"/>
          <w:sz w:val="24"/>
          <w:szCs w:val="24"/>
          <w:lang w:eastAsia="zh-CN"/>
        </w:rPr>
        <w:t>采购管理处</w:t>
      </w:r>
      <w:r>
        <w:rPr>
          <w:rFonts w:hint="eastAsia" w:ascii="微软雅黑" w:hAnsi="微软雅黑" w:eastAsia="微软雅黑" w:cs="微软雅黑"/>
          <w:b w:val="0"/>
          <w:bCs/>
          <w:color w:val="auto"/>
          <w:sz w:val="24"/>
          <w:szCs w:val="24"/>
        </w:rPr>
        <w:t>公室（将合同扫描文件发送至zbb63632469@qq.com）之后</w:t>
      </w:r>
      <w:r>
        <w:rPr>
          <w:rFonts w:hint="eastAsia" w:ascii="微软雅黑" w:hAnsi="微软雅黑" w:eastAsia="微软雅黑" w:cs="微软雅黑"/>
          <w:b w:val="0"/>
          <w:bCs/>
          <w:color w:val="auto"/>
          <w:sz w:val="24"/>
          <w:szCs w:val="24"/>
          <w:lang w:val="en-US" w:eastAsia="zh-CN"/>
        </w:rPr>
        <w:t>60</w:t>
      </w:r>
      <w:r>
        <w:rPr>
          <w:rFonts w:hint="eastAsia" w:ascii="微软雅黑" w:hAnsi="微软雅黑" w:eastAsia="微软雅黑" w:cs="微软雅黑"/>
          <w:b w:val="0"/>
          <w:bCs/>
          <w:color w:val="auto"/>
          <w:sz w:val="24"/>
          <w:szCs w:val="24"/>
        </w:rPr>
        <w:t>个</w:t>
      </w:r>
      <w:r>
        <w:rPr>
          <w:rFonts w:hint="eastAsia" w:ascii="微软雅黑" w:hAnsi="微软雅黑" w:eastAsia="微软雅黑" w:cs="微软雅黑"/>
          <w:b w:val="0"/>
          <w:bCs/>
          <w:color w:val="auto"/>
          <w:sz w:val="24"/>
          <w:szCs w:val="24"/>
          <w:lang w:val="en-US" w:eastAsia="zh-CN"/>
        </w:rPr>
        <w:t>工作</w:t>
      </w:r>
      <w:r>
        <w:rPr>
          <w:rFonts w:hint="eastAsia" w:ascii="微软雅黑" w:hAnsi="微软雅黑" w:eastAsia="微软雅黑" w:cs="微软雅黑"/>
          <w:b w:val="0"/>
          <w:bCs/>
          <w:color w:val="auto"/>
          <w:sz w:val="24"/>
          <w:szCs w:val="24"/>
        </w:rPr>
        <w:t>日内，无息退还至项目报名时所填写的投标单位对公账户。</w:t>
      </w:r>
      <w:bookmarkEnd w:id="46"/>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lang w:eastAsia="zh-CN"/>
        </w:rPr>
      </w:pPr>
      <w:bookmarkStart w:id="47" w:name="_Toc30228"/>
      <w:r>
        <w:rPr>
          <w:rFonts w:hint="eastAsia" w:ascii="微软雅黑" w:hAnsi="微软雅黑" w:eastAsia="微软雅黑" w:cs="微软雅黑"/>
          <w:color w:val="auto"/>
          <w:sz w:val="24"/>
          <w:lang w:val="en-US" w:eastAsia="zh-CN"/>
        </w:rPr>
        <w:t>五、</w:t>
      </w:r>
      <w:r>
        <w:rPr>
          <w:rFonts w:hint="eastAsia" w:ascii="微软雅黑" w:hAnsi="微软雅黑" w:eastAsia="微软雅黑" w:cs="微软雅黑"/>
          <w:color w:val="auto"/>
          <w:sz w:val="24"/>
          <w:lang w:eastAsia="zh-CN"/>
        </w:rPr>
        <w:t>其他</w:t>
      </w:r>
      <w:bookmarkEnd w:id="47"/>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（一）重庆医科大学附属儿童医院采购管理处所作出的一切书面通知、修改、补充说明、答疑等内容，都是公开比选采购文件不可分割的组成部分。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投标人如对本公开比选采购文件有任何实质性疑问，应当以书面形式向招标方提出质疑，并须将该质疑文件纸质版（须加盖提出质疑单位的公章确认）在投标截止时间前送达重庆医科大学附属儿童医院采购管理处，否则即视为完全放弃对本公开比选采购文件的质疑权利。如采购人认为上述质疑有回复必要，将以书面形式将回复内容通知所有投标</w:t>
      </w:r>
      <w:r>
        <w:rPr>
          <w:rFonts w:hint="eastAsia" w:ascii="微软雅黑" w:hAnsi="微软雅黑" w:eastAsia="微软雅黑" w:cs="微软雅黑"/>
          <w:color w:val="auto"/>
          <w:sz w:val="24"/>
          <w:szCs w:val="24"/>
          <w:lang w:eastAsia="zh-CN"/>
        </w:rPr>
        <w:t>人</w:t>
      </w:r>
      <w:r>
        <w:rPr>
          <w:rFonts w:hint="eastAsia" w:ascii="微软雅黑" w:hAnsi="微软雅黑" w:eastAsia="微软雅黑" w:cs="微软雅黑"/>
          <w:color w:val="auto"/>
          <w:sz w:val="24"/>
          <w:szCs w:val="24"/>
        </w:rPr>
        <w:t>。</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应仔细阅读和检查公开比选采购文件的全部内容。如发现缺页或附件不全，应及时提出，以便补齐。如有疑问，请在投标截止日前向招标单位提出，超过此时限规定，招标单位不再受理对于公开比选采购文件的疑问。</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48" w:name="_Toc65660337"/>
      <w:bookmarkStart w:id="49" w:name="_Toc525047164"/>
      <w:bookmarkStart w:id="50" w:name="_Toc24901"/>
      <w:bookmarkStart w:id="51" w:name="_Toc1733"/>
      <w:bookmarkStart w:id="52" w:name="_Toc106034628"/>
      <w:bookmarkStart w:id="53" w:name="_Toc10415"/>
      <w:bookmarkStart w:id="54" w:name="_Toc521053056"/>
      <w:bookmarkStart w:id="55" w:name="_Toc30276"/>
      <w:r>
        <w:rPr>
          <w:rFonts w:hint="eastAsia" w:ascii="微软雅黑" w:hAnsi="微软雅黑" w:eastAsia="微软雅黑" w:cs="微软雅黑"/>
          <w:color w:val="auto"/>
          <w:sz w:val="24"/>
          <w:lang w:val="en-US" w:eastAsia="zh-CN"/>
        </w:rPr>
        <w:t>六</w:t>
      </w:r>
      <w:r>
        <w:rPr>
          <w:rFonts w:hint="eastAsia" w:ascii="微软雅黑" w:hAnsi="微软雅黑" w:eastAsia="微软雅黑" w:cs="微软雅黑"/>
          <w:color w:val="auto"/>
          <w:sz w:val="24"/>
        </w:rPr>
        <w:t>、联系方式</w:t>
      </w:r>
      <w:bookmarkEnd w:id="48"/>
      <w:bookmarkEnd w:id="49"/>
      <w:bookmarkEnd w:id="50"/>
      <w:bookmarkEnd w:id="51"/>
      <w:bookmarkEnd w:id="52"/>
      <w:bookmarkEnd w:id="53"/>
      <w:bookmarkEnd w:id="54"/>
      <w:bookmarkEnd w:id="55"/>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联系部门：采购管理处</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电    话：023-63632469</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邮    箱：zbb63632469@qq.com</w:t>
      </w:r>
    </w:p>
    <w:bookmarkEnd w:id="5"/>
    <w:p>
      <w:pPr>
        <w:snapToGrid w:val="0"/>
        <w:spacing w:line="400" w:lineRule="exact"/>
        <w:ind w:firstLine="480" w:firstLineChars="200"/>
        <w:rPr>
          <w:rFonts w:hint="eastAsia" w:ascii="微软雅黑" w:hAnsi="微软雅黑" w:eastAsia="微软雅黑" w:cs="微软雅黑"/>
          <w:b/>
          <w:color w:val="auto"/>
          <w:sz w:val="24"/>
          <w:szCs w:val="24"/>
        </w:rPr>
        <w:sectPr>
          <w:pgSz w:w="11907" w:h="16840"/>
          <w:pgMar w:top="1134" w:right="1304" w:bottom="1134" w:left="1304" w:header="964" w:footer="992" w:gutter="0"/>
          <w:pgNumType w:fmt="numberInDash"/>
          <w:cols w:space="720" w:num="1"/>
          <w:docGrid w:linePitch="312" w:charSpace="0"/>
        </w:sectPr>
      </w:pPr>
    </w:p>
    <w:p>
      <w:pPr>
        <w:pStyle w:val="3"/>
        <w:tabs>
          <w:tab w:val="left" w:pos="3360"/>
        </w:tabs>
        <w:spacing w:line="240" w:lineRule="auto"/>
        <w:jc w:val="center"/>
        <w:rPr>
          <w:rFonts w:hint="eastAsia" w:ascii="微软雅黑" w:hAnsi="微软雅黑" w:eastAsia="微软雅黑" w:cs="微软雅黑"/>
          <w:b/>
          <w:color w:val="auto"/>
          <w:sz w:val="44"/>
        </w:rPr>
      </w:pPr>
      <w:bookmarkStart w:id="56" w:name="_Toc1625"/>
      <w:bookmarkStart w:id="57" w:name="_Toc19886"/>
      <w:bookmarkStart w:id="58" w:name="_Toc8649"/>
      <w:bookmarkStart w:id="59" w:name="_Toc2070"/>
      <w:bookmarkStart w:id="60" w:name="_Toc32686"/>
      <w:bookmarkStart w:id="61" w:name="_Toc11017"/>
      <w:bookmarkStart w:id="62" w:name="_Toc1492"/>
      <w:bookmarkStart w:id="63" w:name="_Toc725"/>
      <w:bookmarkStart w:id="64" w:name="_Toc5461"/>
      <w:bookmarkStart w:id="65" w:name="_Toc75793504"/>
      <w:bookmarkStart w:id="66" w:name="_Toc23143"/>
      <w:bookmarkStart w:id="67" w:name="_Toc2422"/>
      <w:bookmarkStart w:id="68" w:name="_Toc26176"/>
      <w:bookmarkStart w:id="69" w:name="_Toc25639"/>
      <w:bookmarkStart w:id="70" w:name="_Toc12959"/>
      <w:bookmarkStart w:id="71" w:name="_Toc27431"/>
      <w:bookmarkStart w:id="72" w:name="_Toc30927"/>
      <w:bookmarkStart w:id="73" w:name="_Toc106030380"/>
      <w:bookmarkStart w:id="74" w:name="_Toc12789058"/>
      <w:r>
        <w:rPr>
          <w:rFonts w:hint="eastAsia" w:ascii="微软雅黑" w:hAnsi="微软雅黑" w:eastAsia="微软雅黑" w:cs="微软雅黑"/>
          <w:b/>
          <w:color w:val="auto"/>
          <w:sz w:val="44"/>
        </w:rPr>
        <w:t xml:space="preserve">第二篇 </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hint="eastAsia" w:ascii="微软雅黑" w:hAnsi="微软雅黑" w:eastAsia="微软雅黑" w:cs="微软雅黑"/>
          <w:b/>
          <w:color w:val="auto"/>
          <w:sz w:val="44"/>
        </w:rPr>
        <w:t>项目技术（质量）需求</w:t>
      </w:r>
      <w:bookmarkEnd w:id="71"/>
      <w:bookmarkEnd w:id="72"/>
      <w:bookmarkEnd w:id="73"/>
    </w:p>
    <w:p>
      <w:pPr>
        <w:ind w:firstLine="480" w:firstLineChars="200"/>
        <w:rPr>
          <w:rFonts w:hint="eastAsia" w:ascii="微软雅黑" w:hAnsi="微软雅黑" w:eastAsia="微软雅黑" w:cs="微软雅黑"/>
          <w:b/>
          <w:bCs/>
          <w:color w:val="auto"/>
          <w:sz w:val="24"/>
          <w:szCs w:val="24"/>
        </w:rPr>
      </w:pPr>
      <w:bookmarkStart w:id="75" w:name="_Toc4531"/>
      <w:bookmarkStart w:id="76" w:name="_Toc19238"/>
      <w:bookmarkStart w:id="77" w:name="_Toc4519"/>
      <w:bookmarkStart w:id="78" w:name="_Toc29985"/>
      <w:bookmarkStart w:id="79" w:name="_Toc8370"/>
      <w:bookmarkStart w:id="80" w:name="_Toc23656"/>
      <w:bookmarkStart w:id="81" w:name="_Toc75793505"/>
      <w:bookmarkStart w:id="82" w:name="_Toc11703"/>
      <w:bookmarkStart w:id="83" w:name="_Toc23504"/>
      <w:bookmarkStart w:id="84" w:name="_Toc20979"/>
      <w:bookmarkStart w:id="85" w:name="_Toc4913"/>
      <w:bookmarkStart w:id="86" w:name="_Toc22910"/>
      <w:bookmarkStart w:id="87" w:name="_Toc9261"/>
      <w:bookmarkStart w:id="88" w:name="_Toc7027"/>
      <w:bookmarkStart w:id="89" w:name="_Toc106030381"/>
      <w:r>
        <w:rPr>
          <w:rFonts w:hint="eastAsia" w:ascii="微软雅黑" w:hAnsi="微软雅黑" w:eastAsia="微软雅黑" w:cs="微软雅黑"/>
          <w:b/>
          <w:bCs/>
          <w:color w:val="auto"/>
          <w:sz w:val="24"/>
          <w:szCs w:val="24"/>
        </w:rPr>
        <w:t>一、项目一览表</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3614"/>
        <w:gridCol w:w="1462"/>
        <w:gridCol w:w="14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340" w:type="dxa"/>
            <w:vAlign w:val="center"/>
          </w:tcPr>
          <w:p>
            <w:pPr>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序号</w:t>
            </w:r>
          </w:p>
        </w:tc>
        <w:tc>
          <w:tcPr>
            <w:tcW w:w="3614" w:type="dxa"/>
            <w:vAlign w:val="center"/>
          </w:tcPr>
          <w:p>
            <w:pPr>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产品名称</w:t>
            </w:r>
          </w:p>
        </w:tc>
        <w:tc>
          <w:tcPr>
            <w:tcW w:w="1462" w:type="dxa"/>
            <w:vAlign w:val="center"/>
          </w:tcPr>
          <w:p>
            <w:pPr>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数量</w:t>
            </w:r>
          </w:p>
        </w:tc>
        <w:tc>
          <w:tcPr>
            <w:tcW w:w="1462" w:type="dxa"/>
            <w:vAlign w:val="center"/>
          </w:tcPr>
          <w:p>
            <w:pPr>
              <w:jc w:val="center"/>
              <w:rPr>
                <w:rFonts w:hint="eastAsia" w:ascii="微软雅黑" w:hAnsi="微软雅黑" w:eastAsia="微软雅黑" w:cs="微软雅黑"/>
                <w:b/>
                <w:color w:val="auto"/>
                <w:sz w:val="24"/>
                <w:szCs w:val="24"/>
                <w:lang w:val="en-US" w:eastAsia="zh-CN"/>
              </w:rPr>
            </w:pPr>
            <w:r>
              <w:rPr>
                <w:rFonts w:hint="eastAsia" w:ascii="微软雅黑" w:hAnsi="微软雅黑" w:eastAsia="微软雅黑" w:cs="微软雅黑"/>
                <w:b/>
                <w:color w:val="auto"/>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40" w:type="dxa"/>
            <w:vAlign w:val="center"/>
          </w:tcPr>
          <w:p>
            <w:pPr>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w:t>
            </w:r>
          </w:p>
        </w:tc>
        <w:tc>
          <w:tcPr>
            <w:tcW w:w="3614" w:type="dxa"/>
            <w:vAlign w:val="center"/>
          </w:tcPr>
          <w:p>
            <w:pPr>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全功能心脏离体灌流系统</w:t>
            </w:r>
          </w:p>
        </w:tc>
        <w:tc>
          <w:tcPr>
            <w:tcW w:w="1462" w:type="dxa"/>
            <w:vAlign w:val="center"/>
          </w:tcPr>
          <w:p>
            <w:pPr>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1套</w:t>
            </w:r>
          </w:p>
        </w:tc>
        <w:tc>
          <w:tcPr>
            <w:tcW w:w="1462" w:type="dxa"/>
            <w:vAlign w:val="center"/>
          </w:tcPr>
          <w:p>
            <w:pPr>
              <w:jc w:val="center"/>
              <w:rPr>
                <w:rFonts w:hint="eastAsia" w:ascii="微软雅黑" w:hAnsi="微软雅黑" w:eastAsia="微软雅黑" w:cs="微软雅黑"/>
                <w:color w:val="auto"/>
                <w:sz w:val="24"/>
                <w:szCs w:val="24"/>
                <w:lang w:val="en-US" w:eastAsia="zh-CN"/>
              </w:rPr>
            </w:pPr>
          </w:p>
        </w:tc>
      </w:tr>
    </w:tbl>
    <w:p>
      <w:pPr>
        <w:ind w:firstLine="480" w:firstLineChars="200"/>
        <w:rPr>
          <w:rFonts w:hint="eastAsia" w:ascii="微软雅黑" w:hAnsi="微软雅黑" w:eastAsia="微软雅黑" w:cs="微软雅黑"/>
          <w:color w:val="auto"/>
          <w:sz w:val="24"/>
          <w:szCs w:val="24"/>
        </w:rPr>
      </w:pPr>
      <w:bookmarkStart w:id="90" w:name="_Toc23975"/>
      <w:bookmarkStart w:id="91" w:name="_Toc18903"/>
      <w:bookmarkStart w:id="92" w:name="_Toc106030382"/>
      <w:bookmarkStart w:id="93" w:name="_Toc18800"/>
      <w:bookmarkStart w:id="94" w:name="_Toc695"/>
      <w:bookmarkStart w:id="95" w:name="_Toc21817"/>
      <w:bookmarkStart w:id="96" w:name="_Toc27067"/>
      <w:bookmarkStart w:id="97" w:name="_Toc5751"/>
      <w:bookmarkStart w:id="98" w:name="_Toc10143"/>
      <w:bookmarkStart w:id="99" w:name="_Toc32262"/>
      <w:bookmarkStart w:id="100" w:name="_Toc7792"/>
      <w:bookmarkStart w:id="101" w:name="_Toc75793506"/>
      <w:bookmarkStart w:id="102" w:name="_Toc15696"/>
      <w:bookmarkStart w:id="103" w:name="_Toc28205"/>
      <w:bookmarkStart w:id="104" w:name="_Toc26453"/>
      <w:bookmarkStart w:id="105" w:name="_Toc12568"/>
      <w:r>
        <w:rPr>
          <w:rFonts w:hint="eastAsia" w:ascii="微软雅黑" w:hAnsi="微软雅黑" w:eastAsia="微软雅黑" w:cs="微软雅黑"/>
          <w:b/>
          <w:bCs/>
          <w:color w:val="auto"/>
          <w:sz w:val="24"/>
          <w:szCs w:val="24"/>
        </w:rPr>
        <w:t>二、项目技术需求</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一</w:t>
      </w:r>
      <w:r>
        <w:rPr>
          <w:rFonts w:hint="eastAsia" w:ascii="微软雅黑" w:hAnsi="微软雅黑" w:eastAsia="微软雅黑" w:cs="微软雅黑"/>
          <w:color w:val="auto"/>
          <w:sz w:val="24"/>
          <w:szCs w:val="24"/>
          <w:lang w:eastAsia="zh-CN"/>
        </w:rPr>
        <w:t>）技术参数</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1.灌流装置</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※1.1支持小鼠langdendorff模式和工作心脏灌流双模式。</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▲1.2自带膜氧合器，可实际灌流循环使用。</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○1.3灌流液、管路全程保温。</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○1.4灌流过程监测单相动作电位、灌注压、左心室压等。</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○1.5高质量的聚乙烯灌注管，可防止低流量实验过程中灌注液的脱气。</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○1.6一个水套式储液器可以保持灌注溶液或缓冲液并对其充气。</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○1.7用于清除流动中气泡的水套式除泡器。</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▲1.8台式通用热浴槽/循环器，可在环境温度至120℃范围内进行温度控制，稳定水平为≤±0.05℃。</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2.桥式放大器</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○2.1输入通道：≥1。</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○2.2输入接口：差分接口。</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※2.3放大范围：±200μV to ±5 V，14档（软件控制）。</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○2.4精确度：≤±0.5%。</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○2.5最大输入电压：≥±10 V。</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○2.6输入阻抗：≥1 MΩ。</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▲2.7低通滤波：1 Hz to 2 kHz，8档（软件控制）。</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○2.8共振抑制比：≥100 dB at 50 Hz。</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○2.9输入噪音：≤1μVrms。</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○2.10接口通信速率：≥50 Kbits/s。</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3.生理学压力传感器</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※3.1金属材质，液体不予传感器直接接触，通过压力传感器帽的薄膜与传感器接触，降低液体对传感器灵敏度的干扰。传感器帽设计独特避免气泡存在死腔的问题，可重复使用。</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○3.2压力范围：-20 to 300 mmHg。</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○3.3最大电压：≥15 V。</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※3.4灵敏度：≤5μV/V/mmHg。</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○3.5输出阻抗：≥1000Ω。</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○3.6输入阻抗：≥700Ω。</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4.软件部分</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○4.1可进行数字滤波，可计算dp/dt、最大值、最小值、平均值、峰峰值、心率、斜率、微分、积分、指数运算、对数运算、傅利叶变换、面积、标准差、绝对值、三角函数、曲线平滑，以及直方图。</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○4.2可设定存储时刻、时间、重复次数，可用EXCEL进行统计计算，资料作为WINDOWS文件长期保存。</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※4.3有血压、心电、量效关系、峰直方图、心率变异性等专业的模块分析软件以方便实验人员分析数据。</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○4.4软件控制主机和放大器的滤波、放大等操作，实现了程序控制化。</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▲4.5终身免费升级，包含专业版分析软件、Chart和scope软件。</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二</w:t>
      </w:r>
      <w:r>
        <w:rPr>
          <w:rFonts w:hint="eastAsia" w:ascii="微软雅黑" w:hAnsi="微软雅黑" w:eastAsia="微软雅黑" w:cs="微软雅黑"/>
          <w:color w:val="auto"/>
          <w:sz w:val="24"/>
          <w:szCs w:val="24"/>
          <w:lang w:eastAsia="zh-CN"/>
        </w:rPr>
        <w:t>）配置清单</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1.小鼠工作心脏灌流装置1套；</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2.蠕动泵1套；</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3.恒温水浴装置1套；</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4.单通道桥式放大器1套；</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5.压力传感器1套；</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6.专业记录分析软件1套；</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7.电脑1套。</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注：</w:t>
      </w:r>
      <w:r>
        <w:rPr>
          <w:rFonts w:hint="eastAsia" w:ascii="微软雅黑" w:hAnsi="微软雅黑" w:eastAsia="微软雅黑" w:cs="微软雅黑"/>
          <w:color w:val="auto"/>
          <w:sz w:val="24"/>
          <w:szCs w:val="24"/>
          <w:lang w:eastAsia="zh-CN"/>
        </w:rPr>
        <w:t>以上参数要求请提供相应官网截图</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lang w:eastAsia="zh-CN"/>
        </w:rPr>
        <w:t>产品彩页</w:t>
      </w:r>
      <w:r>
        <w:rPr>
          <w:rFonts w:hint="eastAsia" w:ascii="微软雅黑" w:hAnsi="微软雅黑" w:eastAsia="微软雅黑" w:cs="微软雅黑"/>
          <w:color w:val="auto"/>
          <w:sz w:val="24"/>
          <w:szCs w:val="24"/>
          <w:lang w:val="en-US" w:eastAsia="zh-CN"/>
        </w:rPr>
        <w:t>/产品说明书/检验报告等佐证材料（</w:t>
      </w:r>
      <w:r>
        <w:rPr>
          <w:rFonts w:hint="eastAsia" w:ascii="微软雅黑" w:hAnsi="微软雅黑" w:eastAsia="微软雅黑" w:cs="微软雅黑"/>
          <w:color w:val="auto"/>
          <w:sz w:val="24"/>
          <w:szCs w:val="24"/>
          <w:lang w:eastAsia="zh-CN"/>
        </w:rPr>
        <w:t>需生产厂家盖章、投标人盖章</w:t>
      </w:r>
      <w:r>
        <w:rPr>
          <w:rFonts w:hint="eastAsia" w:ascii="微软雅黑" w:hAnsi="微软雅黑" w:eastAsia="微软雅黑" w:cs="微软雅黑"/>
          <w:color w:val="auto"/>
          <w:sz w:val="24"/>
          <w:szCs w:val="24"/>
          <w:lang w:val="en-US" w:eastAsia="zh-CN"/>
        </w:rPr>
        <w:t>）。</w:t>
      </w:r>
    </w:p>
    <w:p>
      <w:pPr>
        <w:snapToGrid w:val="0"/>
        <w:spacing w:line="400" w:lineRule="exact"/>
        <w:ind w:firstLine="480" w:firstLineChars="200"/>
        <w:rPr>
          <w:rFonts w:hint="eastAsia" w:ascii="微软雅黑" w:hAnsi="微软雅黑" w:eastAsia="微软雅黑" w:cs="微软雅黑"/>
          <w:b/>
          <w:bCs/>
          <w:color w:val="auto"/>
          <w:sz w:val="24"/>
          <w:szCs w:val="24"/>
        </w:rPr>
      </w:pPr>
    </w:p>
    <w:p>
      <w:pPr>
        <w:snapToGrid w:val="0"/>
        <w:spacing w:line="400" w:lineRule="exact"/>
        <w:ind w:firstLine="480" w:firstLineChars="200"/>
        <w:rPr>
          <w:rFonts w:hint="eastAsia" w:ascii="微软雅黑" w:hAnsi="微软雅黑" w:eastAsia="微软雅黑" w:cs="微软雅黑"/>
          <w:color w:val="auto"/>
          <w:sz w:val="24"/>
          <w:szCs w:val="24"/>
          <w:lang w:eastAsia="zh-CN"/>
        </w:rPr>
        <w:sectPr>
          <w:footerReference r:id="rId8" w:type="default"/>
          <w:footerReference r:id="rId9" w:type="even"/>
          <w:pgSz w:w="11907" w:h="16840"/>
          <w:pgMar w:top="907" w:right="907" w:bottom="907" w:left="850" w:header="964" w:footer="992" w:gutter="0"/>
          <w:pgNumType w:fmt="numberInDash"/>
          <w:cols w:space="720" w:num="1"/>
          <w:docGrid w:linePitch="381" w:charSpace="0"/>
        </w:sectPr>
      </w:pPr>
    </w:p>
    <w:p>
      <w:pPr>
        <w:pStyle w:val="4"/>
        <w:spacing w:before="200" w:after="200" w:line="240" w:lineRule="auto"/>
        <w:jc w:val="center"/>
        <w:rPr>
          <w:rFonts w:hint="eastAsia" w:ascii="微软雅黑" w:hAnsi="微软雅黑" w:eastAsia="微软雅黑" w:cs="微软雅黑"/>
          <w:color w:val="auto"/>
          <w:sz w:val="44"/>
        </w:rPr>
      </w:pPr>
      <w:bookmarkStart w:id="106" w:name="_Toc106030882"/>
      <w:bookmarkStart w:id="107" w:name="_Toc28649"/>
      <w:bookmarkStart w:id="108" w:name="_Toc7791"/>
      <w:bookmarkStart w:id="109" w:name="_Toc76462327"/>
      <w:bookmarkStart w:id="110" w:name="_Toc31179"/>
      <w:r>
        <w:rPr>
          <w:rFonts w:hint="eastAsia" w:ascii="微软雅黑" w:hAnsi="微软雅黑" w:eastAsia="微软雅黑" w:cs="微软雅黑"/>
          <w:color w:val="auto"/>
          <w:sz w:val="44"/>
        </w:rPr>
        <w:t>第三篇  项目商务需求</w:t>
      </w:r>
      <w:bookmarkEnd w:id="106"/>
      <w:bookmarkEnd w:id="107"/>
      <w:bookmarkEnd w:id="108"/>
      <w:bookmarkEnd w:id="109"/>
      <w:bookmarkEnd w:id="110"/>
    </w:p>
    <w:tbl>
      <w:tblPr>
        <w:tblStyle w:val="58"/>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1"/>
        <w:gridCol w:w="91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color w:val="auto"/>
                <w:sz w:val="24"/>
                <w:szCs w:val="24"/>
              </w:rPr>
            </w:pPr>
            <w:r>
              <w:rPr>
                <w:rFonts w:hint="eastAsia" w:ascii="微软雅黑" w:hAnsi="微软雅黑" w:eastAsia="微软雅黑" w:cs="微软雅黑"/>
                <w:b/>
                <w:bCs/>
                <w:color w:val="auto"/>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交货时间、交货地点及验收方式</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交货时间：中标人应在接到采购人通知后90个日历日内完成送货。</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交货地点：重庆医科大学附属儿童医院。</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验收方式：</w:t>
            </w:r>
            <w:r>
              <w:rPr>
                <w:rFonts w:hint="default" w:ascii="微软雅黑" w:hAnsi="微软雅黑" w:eastAsia="微软雅黑" w:cs="微软雅黑"/>
                <w:color w:val="auto"/>
                <w:sz w:val="24"/>
                <w:szCs w:val="24"/>
                <w:lang w:val="en-US" w:eastAsia="zh-CN"/>
              </w:rPr>
              <w:t>科室及</w:t>
            </w:r>
            <w:r>
              <w:rPr>
                <w:rFonts w:hint="eastAsia" w:ascii="微软雅黑" w:hAnsi="微软雅黑" w:eastAsia="微软雅黑" w:cs="微软雅黑"/>
                <w:color w:val="auto"/>
                <w:sz w:val="24"/>
                <w:szCs w:val="24"/>
                <w:lang w:val="en-US" w:eastAsia="zh-CN"/>
              </w:rPr>
              <w:t>医学工程</w:t>
            </w:r>
            <w:r>
              <w:rPr>
                <w:rFonts w:hint="default" w:ascii="微软雅黑" w:hAnsi="微软雅黑" w:eastAsia="微软雅黑" w:cs="微软雅黑"/>
                <w:color w:val="auto"/>
                <w:sz w:val="24"/>
                <w:szCs w:val="24"/>
                <w:lang w:val="en-US" w:eastAsia="zh-CN"/>
              </w:rPr>
              <w:t>科现场验收</w:t>
            </w:r>
            <w:r>
              <w:rPr>
                <w:rFonts w:hint="eastAsia" w:ascii="微软雅黑" w:hAnsi="微软雅黑" w:eastAsia="微软雅黑" w:cs="微软雅黑"/>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质量保证及售后服务</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1.质保期：不低于</w:t>
            </w:r>
            <w:bookmarkStart w:id="238" w:name="_GoBack"/>
            <w:r>
              <w:rPr>
                <w:rFonts w:hint="eastAsia" w:ascii="微软雅黑" w:hAnsi="微软雅黑" w:eastAsia="微软雅黑" w:cs="微软雅黑"/>
                <w:color w:val="0000FF"/>
                <w:sz w:val="24"/>
                <w:szCs w:val="24"/>
                <w:lang w:val="en-US" w:eastAsia="zh-CN"/>
              </w:rPr>
              <w:t>2</w:t>
            </w:r>
            <w:bookmarkEnd w:id="238"/>
            <w:r>
              <w:rPr>
                <w:rFonts w:hint="eastAsia" w:ascii="微软雅黑" w:hAnsi="微软雅黑" w:eastAsia="微软雅黑" w:cs="微软雅黑"/>
                <w:color w:val="auto"/>
                <w:sz w:val="24"/>
                <w:szCs w:val="24"/>
                <w:lang w:val="en-US" w:eastAsia="zh-CN"/>
              </w:rPr>
              <w:t>年 。</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de-DE" w:eastAsia="zh-CN"/>
              </w:rPr>
            </w:pPr>
            <w:r>
              <w:rPr>
                <w:rFonts w:hint="eastAsia" w:ascii="微软雅黑" w:hAnsi="微软雅黑" w:eastAsia="微软雅黑" w:cs="微软雅黑"/>
                <w:color w:val="auto"/>
                <w:sz w:val="24"/>
                <w:szCs w:val="24"/>
                <w:lang w:val="en-US" w:eastAsia="zh-CN"/>
              </w:rPr>
              <w:t>2.</w:t>
            </w:r>
            <w:r>
              <w:rPr>
                <w:rFonts w:hint="eastAsia" w:ascii="微软雅黑" w:hAnsi="微软雅黑" w:eastAsia="微软雅黑" w:cs="微软雅黑"/>
                <w:color w:val="auto"/>
                <w:sz w:val="24"/>
                <w:szCs w:val="24"/>
                <w:lang w:val="de-DE" w:eastAsia="zh-CN"/>
              </w:rPr>
              <w:t>机器故障应2</w:t>
            </w:r>
            <w:r>
              <w:rPr>
                <w:rFonts w:hint="eastAsia" w:ascii="微软雅黑" w:hAnsi="微软雅黑" w:eastAsia="微软雅黑" w:cs="微软雅黑"/>
                <w:color w:val="auto"/>
                <w:sz w:val="24"/>
                <w:szCs w:val="24"/>
                <w:lang w:val="en-US" w:eastAsia="zh-CN"/>
              </w:rPr>
              <w:t>小时</w:t>
            </w:r>
            <w:r>
              <w:rPr>
                <w:rFonts w:hint="eastAsia" w:ascii="微软雅黑" w:hAnsi="微软雅黑" w:eastAsia="微软雅黑" w:cs="微软雅黑"/>
                <w:color w:val="auto"/>
                <w:sz w:val="24"/>
                <w:szCs w:val="24"/>
                <w:lang w:val="de-DE" w:eastAsia="zh-CN"/>
              </w:rPr>
              <w:t>内故障响应，</w:t>
            </w:r>
            <w:r>
              <w:rPr>
                <w:rFonts w:hint="eastAsia" w:ascii="微软雅黑" w:hAnsi="微软雅黑" w:eastAsia="微软雅黑" w:cs="微软雅黑"/>
                <w:color w:val="auto"/>
                <w:sz w:val="24"/>
                <w:szCs w:val="24"/>
                <w:lang w:val="en-US" w:eastAsia="zh-CN"/>
              </w:rPr>
              <w:t>4小时</w:t>
            </w:r>
            <w:r>
              <w:rPr>
                <w:rFonts w:hint="eastAsia" w:ascii="微软雅黑" w:hAnsi="微软雅黑" w:eastAsia="微软雅黑" w:cs="微软雅黑"/>
                <w:color w:val="auto"/>
                <w:sz w:val="24"/>
                <w:szCs w:val="24"/>
                <w:lang w:val="de-DE" w:eastAsia="zh-CN"/>
              </w:rPr>
              <w:t>内到达现场，</w:t>
            </w:r>
            <w:r>
              <w:rPr>
                <w:rFonts w:hint="eastAsia" w:ascii="微软雅黑" w:hAnsi="微软雅黑" w:eastAsia="微软雅黑" w:cs="微软雅黑"/>
                <w:color w:val="auto"/>
                <w:sz w:val="24"/>
                <w:szCs w:val="24"/>
                <w:lang w:val="en-US" w:eastAsia="zh-CN"/>
              </w:rPr>
              <w:t>72小时内</w:t>
            </w:r>
            <w:r>
              <w:rPr>
                <w:rFonts w:hint="eastAsia" w:ascii="微软雅黑" w:hAnsi="微软雅黑" w:eastAsia="微软雅黑" w:cs="微软雅黑"/>
                <w:color w:val="auto"/>
                <w:sz w:val="24"/>
                <w:szCs w:val="24"/>
                <w:lang w:val="de-DE" w:eastAsia="zh-CN"/>
              </w:rPr>
              <w:t>解决故障。</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de-DE" w:eastAsia="zh-CN"/>
              </w:rPr>
            </w:pPr>
            <w:r>
              <w:rPr>
                <w:rFonts w:hint="eastAsia" w:ascii="微软雅黑" w:hAnsi="微软雅黑" w:eastAsia="微软雅黑" w:cs="微软雅黑"/>
                <w:color w:val="auto"/>
                <w:sz w:val="24"/>
                <w:szCs w:val="24"/>
                <w:lang w:val="en-US" w:eastAsia="zh-CN"/>
              </w:rPr>
              <w:t>3.不能解决故障则应48小时内提供备用机或解决方案。</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de-DE" w:eastAsia="zh-CN"/>
              </w:rPr>
            </w:pPr>
            <w:r>
              <w:rPr>
                <w:rFonts w:hint="eastAsia" w:ascii="微软雅黑" w:hAnsi="微软雅黑" w:eastAsia="微软雅黑" w:cs="微软雅黑"/>
                <w:color w:val="auto"/>
                <w:sz w:val="24"/>
                <w:szCs w:val="24"/>
                <w:lang w:val="en-US" w:eastAsia="zh-CN"/>
              </w:rPr>
              <w:t>4.</w:t>
            </w:r>
            <w:r>
              <w:rPr>
                <w:rFonts w:hint="eastAsia" w:ascii="微软雅黑" w:hAnsi="微软雅黑" w:eastAsia="微软雅黑" w:cs="微软雅黑"/>
                <w:color w:val="auto"/>
                <w:sz w:val="24"/>
                <w:szCs w:val="24"/>
                <w:lang w:val="de-DE" w:eastAsia="zh-CN"/>
              </w:rPr>
              <w:t>提供维修技术资料。</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de-DE" w:eastAsia="zh-CN"/>
              </w:rPr>
            </w:pPr>
            <w:r>
              <w:rPr>
                <w:rFonts w:hint="eastAsia" w:ascii="微软雅黑" w:hAnsi="微软雅黑" w:eastAsia="微软雅黑" w:cs="微软雅黑"/>
                <w:color w:val="auto"/>
                <w:sz w:val="24"/>
                <w:szCs w:val="24"/>
                <w:lang w:val="en-US" w:eastAsia="zh-CN"/>
              </w:rPr>
              <w:t>5.</w:t>
            </w:r>
            <w:r>
              <w:rPr>
                <w:rFonts w:hint="eastAsia" w:ascii="微软雅黑" w:hAnsi="微软雅黑" w:eastAsia="微软雅黑" w:cs="微软雅黑"/>
                <w:color w:val="auto"/>
                <w:sz w:val="24"/>
                <w:szCs w:val="24"/>
                <w:lang w:val="de-DE" w:eastAsia="zh-CN"/>
              </w:rPr>
              <w:t>维修工程师免费上门安装、培训。</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de-DE" w:eastAsia="zh-CN"/>
              </w:rPr>
            </w:pPr>
            <w:r>
              <w:rPr>
                <w:rFonts w:hint="eastAsia" w:ascii="微软雅黑" w:hAnsi="微软雅黑" w:eastAsia="微软雅黑" w:cs="微软雅黑"/>
                <w:color w:val="auto"/>
                <w:sz w:val="24"/>
                <w:szCs w:val="24"/>
                <w:lang w:val="en-US" w:eastAsia="zh-CN"/>
              </w:rPr>
              <w:t>6.</w:t>
            </w:r>
            <w:r>
              <w:rPr>
                <w:rFonts w:hint="eastAsia" w:ascii="微软雅黑" w:hAnsi="微软雅黑" w:eastAsia="微软雅黑" w:cs="微软雅黑"/>
                <w:color w:val="auto"/>
                <w:sz w:val="24"/>
                <w:szCs w:val="24"/>
                <w:lang w:val="de-DE" w:eastAsia="zh-CN"/>
              </w:rPr>
              <w:t>一年不低于4次定期维护保养，</w:t>
            </w:r>
            <w:r>
              <w:rPr>
                <w:rFonts w:hint="eastAsia" w:ascii="微软雅黑" w:hAnsi="微软雅黑" w:eastAsia="微软雅黑" w:cs="微软雅黑"/>
                <w:color w:val="auto"/>
                <w:sz w:val="24"/>
                <w:szCs w:val="24"/>
                <w:lang w:val="en-US" w:eastAsia="zh-CN"/>
              </w:rPr>
              <w:t>有故障情况发生，终身免费上门维修</w:t>
            </w:r>
            <w:r>
              <w:rPr>
                <w:rFonts w:hint="eastAsia" w:ascii="微软雅黑" w:hAnsi="微软雅黑" w:eastAsia="微软雅黑" w:cs="微软雅黑"/>
                <w:color w:val="auto"/>
                <w:sz w:val="24"/>
                <w:szCs w:val="24"/>
                <w:lang w:val="de-DE" w:eastAsia="zh-CN"/>
              </w:rPr>
              <w:t>。</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de-DE" w:eastAsia="zh-CN"/>
              </w:rPr>
            </w:pPr>
            <w:r>
              <w:rPr>
                <w:rFonts w:hint="eastAsia" w:ascii="微软雅黑" w:hAnsi="微软雅黑" w:eastAsia="微软雅黑" w:cs="微软雅黑"/>
                <w:color w:val="auto"/>
                <w:sz w:val="24"/>
                <w:szCs w:val="24"/>
                <w:lang w:val="en-US" w:eastAsia="zh-CN"/>
              </w:rPr>
              <w:t>7.</w:t>
            </w:r>
            <w:r>
              <w:rPr>
                <w:rFonts w:hint="eastAsia" w:ascii="微软雅黑" w:hAnsi="微软雅黑" w:eastAsia="微软雅黑" w:cs="微软雅黑"/>
                <w:color w:val="auto"/>
                <w:sz w:val="24"/>
                <w:szCs w:val="24"/>
                <w:lang w:val="de-DE" w:eastAsia="zh-CN"/>
              </w:rPr>
              <w:t>有西南地区本地化服务机构和服务人员证明并且能够提供证明材料（公司的营业证等复印件加盖公章）。</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8.中标人对投标产品对应参数需要满足，验收时根据投标响应文件中的技术参数一一验收，如果有一条或者多条不满足，采购人有权取消合同，所产生的损失由中标人承担。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报价要求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sz w:val="24"/>
                <w:szCs w:val="24"/>
                <w:u w:val="single"/>
                <w:lang w:val="en-US" w:eastAsia="zh-CN"/>
              </w:rPr>
            </w:pPr>
            <w:r>
              <w:rPr>
                <w:rFonts w:hint="eastAsia" w:ascii="微软雅黑" w:hAnsi="微软雅黑" w:eastAsia="微软雅黑" w:cs="微软雅黑"/>
                <w:color w:val="auto"/>
                <w:sz w:val="24"/>
                <w:szCs w:val="24"/>
                <w:u w:val="none"/>
                <w:lang w:val="en-US" w:eastAsia="zh-CN"/>
              </w:rPr>
              <w:t>1.该项目可在开标现场进行二次报价。</w:t>
            </w:r>
          </w:p>
          <w:p>
            <w:pPr>
              <w:pStyle w:val="144"/>
              <w:widowControl/>
              <w:adjustRightInd w:val="0"/>
              <w:snapToGrid w:val="0"/>
              <w:spacing w:line="400" w:lineRule="exact"/>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2.</w:t>
            </w:r>
            <w:r>
              <w:rPr>
                <w:rFonts w:hint="eastAsia" w:ascii="微软雅黑" w:hAnsi="微软雅黑" w:eastAsia="微软雅黑" w:cs="微软雅黑"/>
                <w:color w:val="auto"/>
                <w:sz w:val="24"/>
                <w:szCs w:val="24"/>
              </w:rPr>
              <w:t>该项目</w:t>
            </w:r>
            <w:r>
              <w:rPr>
                <w:rFonts w:hint="eastAsia" w:ascii="微软雅黑" w:hAnsi="微软雅黑" w:eastAsia="微软雅黑" w:cs="微软雅黑"/>
                <w:color w:val="auto"/>
                <w:kern w:val="0"/>
                <w:sz w:val="24"/>
                <w:szCs w:val="24"/>
              </w:rPr>
              <w:t>须</w:t>
            </w:r>
            <w:r>
              <w:rPr>
                <w:rFonts w:hint="eastAsia" w:ascii="微软雅黑" w:hAnsi="微软雅黑" w:eastAsia="微软雅黑" w:cs="微软雅黑"/>
                <w:color w:val="auto"/>
                <w:kern w:val="0"/>
                <w:sz w:val="24"/>
                <w:szCs w:val="24"/>
                <w:lang w:val="en-US" w:eastAsia="zh-CN"/>
              </w:rPr>
              <w:t>对设备总价进行报价</w:t>
            </w:r>
            <w:r>
              <w:rPr>
                <w:rFonts w:hint="eastAsia" w:ascii="微软雅黑" w:hAnsi="微软雅黑" w:eastAsia="微软雅黑" w:cs="微软雅黑"/>
                <w:color w:val="auto"/>
                <w:sz w:val="24"/>
                <w:szCs w:val="24"/>
              </w:rPr>
              <w:t>，包括完成货物、运输、验收及其他本项目所需的所有费用及各种应纳的税费。因</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付款方式</w:t>
            </w:r>
          </w:p>
        </w:tc>
        <w:tc>
          <w:tcPr>
            <w:tcW w:w="4277" w:type="pct"/>
            <w:vAlign w:val="center"/>
          </w:tcPr>
          <w:p>
            <w:pPr>
              <w:pStyle w:val="144"/>
              <w:snapToGrid w:val="0"/>
              <w:spacing w:line="400" w:lineRule="exact"/>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1.中标人</w:t>
            </w:r>
            <w:r>
              <w:rPr>
                <w:rFonts w:hint="default" w:ascii="微软雅黑" w:hAnsi="微软雅黑" w:eastAsia="微软雅黑" w:cs="微软雅黑"/>
                <w:color w:val="auto"/>
                <w:sz w:val="24"/>
                <w:szCs w:val="24"/>
                <w:lang w:val="en-US" w:eastAsia="zh-CN"/>
              </w:rPr>
              <w:t>按采购合同交货并安装调试完成，经验收合格后采购人出具项目验收报告；</w:t>
            </w:r>
          </w:p>
          <w:p>
            <w:pPr>
              <w:pStyle w:val="144"/>
              <w:snapToGrid w:val="0"/>
              <w:spacing w:line="400" w:lineRule="exac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2.中标人</w:t>
            </w:r>
            <w:r>
              <w:rPr>
                <w:rFonts w:hint="default" w:ascii="微软雅黑" w:hAnsi="微软雅黑" w:eastAsia="微软雅黑" w:cs="微软雅黑"/>
                <w:color w:val="auto"/>
                <w:sz w:val="24"/>
                <w:szCs w:val="24"/>
                <w:lang w:val="en-US" w:eastAsia="zh-CN"/>
              </w:rPr>
              <w:t>向采购人开具发票，采购人于</w:t>
            </w:r>
            <w:r>
              <w:rPr>
                <w:rFonts w:hint="eastAsia" w:ascii="微软雅黑" w:hAnsi="微软雅黑" w:eastAsia="微软雅黑" w:cs="微软雅黑"/>
                <w:color w:val="auto"/>
                <w:sz w:val="24"/>
                <w:szCs w:val="24"/>
                <w:lang w:val="en-US" w:eastAsia="zh-CN"/>
              </w:rPr>
              <w:t>2个月</w:t>
            </w:r>
            <w:r>
              <w:rPr>
                <w:rFonts w:hint="default" w:ascii="微软雅黑" w:hAnsi="微软雅黑" w:eastAsia="微软雅黑" w:cs="微软雅黑"/>
                <w:color w:val="auto"/>
                <w:sz w:val="24"/>
                <w:szCs w:val="24"/>
                <w:lang w:val="en-US" w:eastAsia="zh-CN"/>
              </w:rPr>
              <w:t>内以转账方式向</w:t>
            </w:r>
            <w:r>
              <w:rPr>
                <w:rFonts w:hint="eastAsia" w:ascii="微软雅黑" w:hAnsi="微软雅黑" w:eastAsia="微软雅黑" w:cs="微软雅黑"/>
                <w:color w:val="auto"/>
                <w:sz w:val="24"/>
                <w:szCs w:val="24"/>
                <w:lang w:val="en-US" w:eastAsia="zh-CN"/>
              </w:rPr>
              <w:t>中标人</w:t>
            </w:r>
            <w:r>
              <w:rPr>
                <w:rFonts w:hint="default" w:ascii="微软雅黑" w:hAnsi="微软雅黑" w:eastAsia="微软雅黑" w:cs="微软雅黑"/>
                <w:color w:val="auto"/>
                <w:sz w:val="24"/>
                <w:szCs w:val="24"/>
                <w:lang w:val="en-US" w:eastAsia="zh-CN"/>
              </w:rPr>
              <w:t>支付合同全款</w:t>
            </w:r>
            <w:r>
              <w:rPr>
                <w:rFonts w:hint="eastAsia" w:ascii="微软雅黑" w:hAnsi="微软雅黑" w:eastAsia="微软雅黑" w:cs="微软雅黑"/>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lang w:eastAsia="zh-CN"/>
              </w:rPr>
            </w:pPr>
            <w:r>
              <w:rPr>
                <w:rFonts w:hint="eastAsia" w:ascii="微软雅黑" w:hAnsi="微软雅黑" w:eastAsia="微软雅黑" w:cs="微软雅黑"/>
                <w:b/>
                <w:bCs/>
                <w:color w:val="auto"/>
                <w:sz w:val="24"/>
                <w:szCs w:val="24"/>
                <w:lang w:val="en-US" w:eastAsia="zh-CN"/>
              </w:rPr>
              <w:t>知识产权</w:t>
            </w:r>
          </w:p>
        </w:tc>
        <w:tc>
          <w:tcPr>
            <w:tcW w:w="4277" w:type="pct"/>
            <w:vAlign w:val="center"/>
          </w:tcPr>
          <w:p>
            <w:pPr>
              <w:pStyle w:val="144"/>
              <w:snapToGrid w:val="0"/>
              <w:spacing w:line="400" w:lineRule="exac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采购人在中国境内使用中标人提供的货物及服务时免受第三方提出的侵犯其专利权或其他知识产权的起诉。如有第三方提出侵权指控，中标人应承担由此引起的一切法律责任和费用。</w:t>
            </w:r>
          </w:p>
        </w:tc>
      </w:tr>
    </w:tbl>
    <w:p>
      <w:pPr>
        <w:ind w:firstLine="480" w:firstLineChars="200"/>
        <w:rPr>
          <w:rFonts w:hint="eastAsia" w:ascii="微软雅黑" w:hAnsi="微软雅黑" w:eastAsia="微软雅黑" w:cs="微软雅黑"/>
          <w:b/>
          <w:bCs/>
          <w:color w:val="auto"/>
          <w:sz w:val="24"/>
          <w:szCs w:val="24"/>
        </w:rPr>
      </w:pPr>
    </w:p>
    <w:p>
      <w:pPr>
        <w:snapToGrid w:val="0"/>
        <w:spacing w:line="400" w:lineRule="exact"/>
        <w:ind w:firstLine="480" w:firstLineChars="200"/>
        <w:rPr>
          <w:rFonts w:hint="eastAsia" w:ascii="微软雅黑" w:hAnsi="微软雅黑" w:eastAsia="微软雅黑" w:cs="微软雅黑"/>
          <w:color w:val="auto"/>
          <w:sz w:val="24"/>
          <w:szCs w:val="24"/>
          <w:lang w:eastAsia="zh-CN"/>
        </w:rPr>
        <w:sectPr>
          <w:footerReference r:id="rId10" w:type="default"/>
          <w:footerReference r:id="rId11" w:type="even"/>
          <w:pgSz w:w="11907" w:h="16840"/>
          <w:pgMar w:top="907" w:right="907" w:bottom="907" w:left="850" w:header="964" w:footer="992" w:gutter="0"/>
          <w:pgNumType w:fmt="numberInDash"/>
          <w:cols w:space="720" w:num="1"/>
          <w:docGrid w:linePitch="381" w:charSpace="0"/>
        </w:sectPr>
      </w:pPr>
    </w:p>
    <w:bookmarkEnd w:id="0"/>
    <w:bookmarkEnd w:id="1"/>
    <w:bookmarkEnd w:id="2"/>
    <w:bookmarkEnd w:id="3"/>
    <w:bookmarkEnd w:id="74"/>
    <w:p>
      <w:pPr>
        <w:pStyle w:val="4"/>
        <w:spacing w:before="200" w:after="200" w:line="240" w:lineRule="auto"/>
        <w:jc w:val="center"/>
        <w:rPr>
          <w:rFonts w:hint="eastAsia" w:ascii="微软雅黑" w:hAnsi="微软雅黑" w:eastAsia="微软雅黑" w:cs="微软雅黑"/>
          <w:color w:val="auto"/>
          <w:sz w:val="44"/>
        </w:rPr>
      </w:pPr>
      <w:bookmarkStart w:id="111" w:name="_Toc26417"/>
      <w:bookmarkStart w:id="112" w:name="_Toc11315"/>
      <w:r>
        <w:rPr>
          <w:rFonts w:hint="eastAsia" w:ascii="微软雅黑" w:hAnsi="微软雅黑" w:eastAsia="微软雅黑" w:cs="微软雅黑"/>
          <w:color w:val="auto"/>
          <w:sz w:val="44"/>
        </w:rPr>
        <w:t>第</w:t>
      </w:r>
      <w:r>
        <w:rPr>
          <w:rFonts w:hint="eastAsia" w:ascii="微软雅黑" w:hAnsi="微软雅黑" w:eastAsia="微软雅黑" w:cs="微软雅黑"/>
          <w:color w:val="auto"/>
          <w:sz w:val="44"/>
          <w:lang w:val="en-US" w:eastAsia="zh-CN"/>
        </w:rPr>
        <w:t>四</w:t>
      </w:r>
      <w:r>
        <w:rPr>
          <w:rFonts w:hint="eastAsia" w:ascii="微软雅黑" w:hAnsi="微软雅黑" w:eastAsia="微软雅黑" w:cs="微软雅黑"/>
          <w:color w:val="auto"/>
          <w:sz w:val="44"/>
        </w:rPr>
        <w:t>篇  公开比选采购程序及方法、评审标准、无效响应和采购终止</w:t>
      </w:r>
      <w:bookmarkEnd w:id="111"/>
      <w:bookmarkEnd w:id="112"/>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13" w:name="_Toc14958"/>
      <w:bookmarkStart w:id="114" w:name="_Toc106030888"/>
      <w:bookmarkStart w:id="115" w:name="_Toc28513"/>
      <w:bookmarkStart w:id="116" w:name="_Toc26127"/>
      <w:bookmarkStart w:id="117" w:name="_Toc25412"/>
      <w:bookmarkStart w:id="118" w:name="_Toc76462333"/>
      <w:r>
        <w:rPr>
          <w:rFonts w:hint="eastAsia" w:ascii="微软雅黑" w:hAnsi="微软雅黑" w:eastAsia="微软雅黑" w:cs="微软雅黑"/>
          <w:color w:val="auto"/>
          <w:sz w:val="24"/>
        </w:rPr>
        <w:t>一、公开比选采购程序</w:t>
      </w:r>
      <w:bookmarkEnd w:id="113"/>
      <w:bookmarkEnd w:id="114"/>
      <w:bookmarkEnd w:id="115"/>
      <w:bookmarkEnd w:id="116"/>
      <w:bookmarkEnd w:id="117"/>
      <w:bookmarkEnd w:id="118"/>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（一）按公开比选采购文件规定的时间和地点进行，投标人须有法定代表人（或其授权代表）或自然人参加。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依据法律法规和公开比选采购文件的规定，对响应文件中的资格证明等进行审查，以确定投标人是否具备比选资格。资格性审查资料表如下：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（一）</w:t>
            </w:r>
          </w:p>
        </w:tc>
        <w:tc>
          <w:tcPr>
            <w:tcW w:w="891" w:type="dxa"/>
            <w:vMerge w:val="restart"/>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lang w:val="zh-CN"/>
              </w:rPr>
              <w:t>《中华人民共和国政府采购法》第二十二条规定</w:t>
            </w: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1.具有独立承担民事责任的能力</w:t>
            </w:r>
          </w:p>
        </w:tc>
        <w:tc>
          <w:tcPr>
            <w:tcW w:w="510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1.投标人法人营业执照（副本）或事业单位法人证书（副本）或个体工商户营业执照或有效的自然人身份证明或社会团体法人登记证书（提供复印件）。 </w:t>
            </w:r>
          </w:p>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lang w:val="zh-CN"/>
              </w:rPr>
              <w:t>2.</w:t>
            </w:r>
            <w:r>
              <w:rPr>
                <w:rFonts w:hint="eastAsia" w:ascii="微软雅黑" w:hAnsi="微软雅黑" w:eastAsia="微软雅黑" w:cs="微软雅黑"/>
                <w:color w:val="auto"/>
                <w:szCs w:val="21"/>
              </w:rPr>
              <w:t>具有良好的商业信誉和健全的财务会计制度</w:t>
            </w:r>
          </w:p>
        </w:tc>
        <w:tc>
          <w:tcPr>
            <w:tcW w:w="5105" w:type="dxa"/>
            <w:vMerge w:val="restart"/>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投标人提供“基本资格条件承诺函”（格式详见</w:t>
            </w:r>
            <w:r>
              <w:rPr>
                <w:rFonts w:hint="eastAsia" w:ascii="微软雅黑" w:hAnsi="微软雅黑" w:eastAsia="微软雅黑" w:cs="微软雅黑"/>
                <w:color w:val="auto"/>
                <w:szCs w:val="21"/>
                <w:lang w:eastAsia="zh-CN"/>
              </w:rPr>
              <w:t>第六篇</w:t>
            </w:r>
            <w:r>
              <w:rPr>
                <w:rFonts w:hint="eastAsia" w:ascii="微软雅黑" w:hAnsi="微软雅黑" w:eastAsia="微软雅黑" w:cs="微软雅黑"/>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lang w:val="zh-CN"/>
              </w:rPr>
              <w:t>3.具有履行合同所必需的设备和专业技术能力</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lang w:val="zh-CN"/>
              </w:rPr>
              <w:t>4.有依法缴纳税收和社会保障金的良好记录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rPr>
              <w:t>5.参加政府采购活动前三年内，在经营活动中没有重大违法记录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6.法律、行政法规规定的</w:t>
            </w:r>
            <w:r>
              <w:rPr>
                <w:rFonts w:hint="eastAsia" w:ascii="微软雅黑" w:hAnsi="微软雅黑" w:eastAsia="微软雅黑" w:cs="微软雅黑"/>
                <w:color w:val="auto"/>
                <w:szCs w:val="21"/>
                <w:lang w:eastAsia="zh-CN"/>
              </w:rPr>
              <w:t>其他</w:t>
            </w:r>
            <w:r>
              <w:rPr>
                <w:rFonts w:hint="eastAsia" w:ascii="微软雅黑" w:hAnsi="微软雅黑" w:eastAsia="微软雅黑" w:cs="微软雅黑"/>
                <w:color w:val="auto"/>
                <w:szCs w:val="21"/>
              </w:rPr>
              <w:t>条件</w:t>
            </w:r>
          </w:p>
        </w:tc>
        <w:tc>
          <w:tcPr>
            <w:tcW w:w="5105" w:type="dxa"/>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7.本项目的特定资格要求</w:t>
            </w:r>
          </w:p>
        </w:tc>
        <w:tc>
          <w:tcPr>
            <w:tcW w:w="510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按“第一篇二、投标人资格要求（二）本项目的特定资格要求”的要求提交（如果有）。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w:t>
            </w:r>
            <w:r>
              <w:rPr>
                <w:rFonts w:hint="eastAsia" w:ascii="微软雅黑" w:hAnsi="微软雅黑" w:eastAsia="微软雅黑" w:cs="微软雅黑"/>
                <w:color w:val="auto"/>
                <w:szCs w:val="21"/>
                <w:lang w:val="en-US" w:eastAsia="zh-CN"/>
              </w:rPr>
              <w:t>二</w:t>
            </w:r>
            <w:r>
              <w:rPr>
                <w:rFonts w:hint="eastAsia" w:ascii="微软雅黑" w:hAnsi="微软雅黑" w:eastAsia="微软雅黑" w:cs="微软雅黑"/>
                <w:color w:val="auto"/>
                <w:szCs w:val="21"/>
              </w:rPr>
              <w:t>）</w:t>
            </w:r>
          </w:p>
        </w:tc>
        <w:tc>
          <w:tcPr>
            <w:tcW w:w="891" w:type="dxa"/>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IP地址</w:t>
            </w:r>
          </w:p>
        </w:tc>
        <w:tc>
          <w:tcPr>
            <w:tcW w:w="2815" w:type="dxa"/>
          </w:tcPr>
          <w:p>
            <w:pPr>
              <w:pStyle w:val="144"/>
              <w:spacing w:line="400" w:lineRule="exact"/>
              <w:ind w:firstLine="420" w:firstLineChars="200"/>
              <w:rPr>
                <w:rFonts w:hint="eastAsia" w:ascii="微软雅黑" w:hAnsi="微软雅黑" w:eastAsia="微软雅黑" w:cs="微软雅黑"/>
                <w:color w:val="auto"/>
                <w:szCs w:val="21"/>
              </w:rPr>
            </w:pPr>
          </w:p>
        </w:tc>
        <w:tc>
          <w:tcPr>
            <w:tcW w:w="5105" w:type="dxa"/>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投标人在采购人指定招标平台进行报名或提交响应文件时，是否出现与</w:t>
            </w:r>
            <w:r>
              <w:rPr>
                <w:rFonts w:hint="eastAsia" w:ascii="微软雅黑" w:hAnsi="微软雅黑" w:eastAsia="微软雅黑" w:cs="微软雅黑"/>
                <w:color w:val="auto"/>
                <w:szCs w:val="21"/>
                <w:lang w:eastAsia="zh-CN"/>
              </w:rPr>
              <w:t>其他</w:t>
            </w:r>
            <w:r>
              <w:rPr>
                <w:rFonts w:hint="eastAsia" w:ascii="微软雅黑" w:hAnsi="微软雅黑" w:eastAsia="微软雅黑" w:cs="微软雅黑"/>
                <w:color w:val="auto"/>
                <w:szCs w:val="21"/>
              </w:rPr>
              <w:t>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19" w:name="_Toc32521"/>
      <w:bookmarkStart w:id="120" w:name="_Toc32269"/>
      <w:bookmarkStart w:id="121" w:name="_Toc16728"/>
      <w:bookmarkStart w:id="122" w:name="_Toc25824"/>
      <w:r>
        <w:rPr>
          <w:rFonts w:hint="eastAsia" w:ascii="微软雅黑" w:hAnsi="微软雅黑" w:eastAsia="微软雅黑" w:cs="微软雅黑"/>
          <w:color w:val="auto"/>
          <w:sz w:val="24"/>
          <w:lang w:val="en-US" w:eastAsia="zh-CN"/>
        </w:rPr>
        <w:t>二、</w:t>
      </w:r>
      <w:bookmarkEnd w:id="119"/>
      <w:bookmarkEnd w:id="120"/>
      <w:bookmarkStart w:id="123" w:name="_Toc23550"/>
      <w:bookmarkStart w:id="124" w:name="_Toc28874"/>
      <w:r>
        <w:rPr>
          <w:rFonts w:hint="eastAsia" w:ascii="微软雅黑" w:hAnsi="微软雅黑" w:eastAsia="微软雅黑" w:cs="微软雅黑"/>
          <w:color w:val="auto"/>
          <w:sz w:val="24"/>
          <w:lang w:val="en-US" w:eastAsia="zh-CN"/>
        </w:rPr>
        <w:t>评标方法</w:t>
      </w:r>
      <w:bookmarkEnd w:id="121"/>
      <w:bookmarkEnd w:id="122"/>
      <w:bookmarkEnd w:id="123"/>
      <w:bookmarkEnd w:id="124"/>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本项目采用综合评分法进行评标。</w:t>
      </w:r>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综合评分法，是指投标文件满足招标文件全部实质性要求且按照评审因素的量化指标评审得分最高的投标人为中标候选人的评标方法。投标人总得分为价格、商务、技术（质量）等评定因素分别按照相应权重值计算分项得分后相加，满分为100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（一）比较与评价。按招标文件中规定的评标方法和标准，对资格审查和符合性审查合格的投标文件进行商务和技术评估。</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提供相同品牌产品且通过资格审查、符合性审查的不同投标人参加的，按一家投标人计算。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评审得分相同的，由采购人委托评标委员会按照招标文件规定的方式确定一个投标人获得</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 xml:space="preserve">推荐资格，招标文件未规定的采取随机抽取方式确定。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评标委员会各成员独立对每个有效投标人（通过资格审查、符合性审查的投标人）的投标文件进行评价、打分，然后由评标委员会对各成员打分情况进行核查及复核，个别成员对同一投标人同一评分项的打分偏离较大的，应对投标人的投标文件进行再次核对，确属打分有误的，应及时进行修正。</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复核后，评标委员会汇总每个投标人每项评分因素的得分。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（二）推荐中标候选人名单。</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按评审后得分由高到低的排列顺序推荐综合得分排名前三的投标人为本项目中标候选人，排名第一的为第一中标候选人。综合评分总分相同的，</w:t>
      </w:r>
      <w:r>
        <w:rPr>
          <w:rFonts w:hint="eastAsia" w:ascii="微软雅黑" w:hAnsi="微软雅黑" w:eastAsia="微软雅黑" w:cs="微软雅黑"/>
          <w:color w:val="auto"/>
          <w:sz w:val="24"/>
          <w:szCs w:val="24"/>
          <w:highlight w:val="none"/>
        </w:rPr>
        <w:t>按价格得分高低</w:t>
      </w:r>
      <w:r>
        <w:rPr>
          <w:rFonts w:hint="eastAsia" w:ascii="微软雅黑" w:hAnsi="微软雅黑" w:eastAsia="微软雅黑" w:cs="微软雅黑"/>
          <w:color w:val="auto"/>
          <w:sz w:val="24"/>
          <w:szCs w:val="24"/>
        </w:rPr>
        <w:t>顺序排列（投标报价相同的并列）。</w:t>
      </w:r>
    </w:p>
    <w:p>
      <w:pPr>
        <w:pStyle w:val="4"/>
        <w:numPr>
          <w:ilvl w:val="0"/>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lang w:val="en-US" w:eastAsia="zh-CN"/>
        </w:rPr>
      </w:pPr>
      <w:bookmarkStart w:id="125" w:name="_Toc106030889"/>
      <w:bookmarkStart w:id="126" w:name="_Toc76462334"/>
      <w:bookmarkStart w:id="127" w:name="_Toc14542"/>
      <w:bookmarkStart w:id="128" w:name="_Toc30944"/>
      <w:bookmarkStart w:id="129" w:name="_Toc29611"/>
      <w:bookmarkStart w:id="130" w:name="_Toc2549"/>
      <w:bookmarkStart w:id="131" w:name="_Toc18577"/>
      <w:r>
        <w:rPr>
          <w:rFonts w:hint="eastAsia" w:ascii="微软雅黑" w:hAnsi="微软雅黑" w:eastAsia="微软雅黑" w:cs="微软雅黑"/>
          <w:color w:val="auto"/>
          <w:sz w:val="24"/>
          <w:lang w:val="en-US" w:eastAsia="zh-CN"/>
        </w:rPr>
        <w:t>三、评审标准</w:t>
      </w:r>
      <w:bookmarkEnd w:id="125"/>
      <w:bookmarkEnd w:id="126"/>
      <w:bookmarkEnd w:id="127"/>
      <w:bookmarkEnd w:id="128"/>
      <w:bookmarkEnd w:id="129"/>
      <w:bookmarkEnd w:id="130"/>
      <w:bookmarkEnd w:id="131"/>
    </w:p>
    <w:tbl>
      <w:tblPr>
        <w:tblStyle w:val="58"/>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570"/>
        <w:gridCol w:w="805"/>
        <w:gridCol w:w="3978"/>
        <w:gridCol w:w="2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35" w:type="dxa"/>
            <w:vAlign w:val="center"/>
          </w:tcPr>
          <w:p>
            <w:pPr>
              <w:ind w:firstLine="0"/>
              <w:jc w:val="center"/>
              <w:rPr>
                <w:rFonts w:hint="eastAsia" w:ascii="微软雅黑" w:hAnsi="微软雅黑" w:eastAsia="微软雅黑" w:cs="微软雅黑"/>
                <w:b/>
                <w:color w:val="auto"/>
                <w:sz w:val="21"/>
                <w:szCs w:val="21"/>
              </w:rPr>
            </w:pPr>
            <w:bookmarkStart w:id="132" w:name="_Toc8670"/>
            <w:bookmarkStart w:id="133" w:name="_Toc17606"/>
            <w:bookmarkStart w:id="134" w:name="_Toc17288"/>
            <w:r>
              <w:rPr>
                <w:rFonts w:hint="eastAsia" w:ascii="微软雅黑" w:hAnsi="微软雅黑" w:eastAsia="微软雅黑" w:cs="微软雅黑"/>
                <w:b/>
                <w:color w:val="auto"/>
                <w:sz w:val="21"/>
                <w:szCs w:val="21"/>
              </w:rPr>
              <w:t>序号</w:t>
            </w:r>
          </w:p>
        </w:tc>
        <w:tc>
          <w:tcPr>
            <w:tcW w:w="1570" w:type="dxa"/>
            <w:vAlign w:val="center"/>
          </w:tcPr>
          <w:p>
            <w:pPr>
              <w:ind w:firstLine="0"/>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评分因素</w:t>
            </w:r>
          </w:p>
          <w:p>
            <w:pPr>
              <w:ind w:firstLine="0"/>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及权重</w:t>
            </w:r>
          </w:p>
        </w:tc>
        <w:tc>
          <w:tcPr>
            <w:tcW w:w="805" w:type="dxa"/>
            <w:vAlign w:val="center"/>
          </w:tcPr>
          <w:p>
            <w:pPr>
              <w:ind w:firstLine="0"/>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分值</w:t>
            </w:r>
          </w:p>
        </w:tc>
        <w:tc>
          <w:tcPr>
            <w:tcW w:w="3978" w:type="dxa"/>
            <w:vAlign w:val="center"/>
          </w:tcPr>
          <w:p>
            <w:pPr>
              <w:ind w:firstLine="0"/>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评分标准</w:t>
            </w:r>
          </w:p>
        </w:tc>
        <w:tc>
          <w:tcPr>
            <w:tcW w:w="2440" w:type="dxa"/>
            <w:vAlign w:val="center"/>
          </w:tcPr>
          <w:p>
            <w:pPr>
              <w:pStyle w:val="238"/>
              <w:spacing w:before="0" w:after="0" w:line="240" w:lineRule="auto"/>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1" w:hRule="atLeast"/>
          <w:jc w:val="center"/>
        </w:trPr>
        <w:tc>
          <w:tcPr>
            <w:tcW w:w="835" w:type="dxa"/>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w:t>
            </w:r>
          </w:p>
        </w:tc>
        <w:tc>
          <w:tcPr>
            <w:tcW w:w="1570" w:type="dxa"/>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投标报价</w:t>
            </w:r>
          </w:p>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（30%）</w:t>
            </w:r>
          </w:p>
        </w:tc>
        <w:tc>
          <w:tcPr>
            <w:tcW w:w="805" w:type="dxa"/>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30</w:t>
            </w: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有效的投标报价中的最低价为评标基准价，其价格分为满分。其他投标人的价格分统一按照下列公式计算：</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投标报价得分＝（评标基准价/投标报价）×价格权重×100。</w:t>
            </w:r>
          </w:p>
        </w:tc>
        <w:tc>
          <w:tcPr>
            <w:tcW w:w="2440" w:type="dxa"/>
            <w:vAlign w:val="center"/>
          </w:tcPr>
          <w:p>
            <w:pPr>
              <w:ind w:left="0"/>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9628" w:type="dxa"/>
            <w:gridSpan w:val="5"/>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采购文件“技术（质量）需求”中“※”标注的技术需求为符合性审查中的实质性要求，若不满足按无效投标处理。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835" w:type="dxa"/>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w:t>
            </w:r>
          </w:p>
        </w:tc>
        <w:tc>
          <w:tcPr>
            <w:tcW w:w="1570" w:type="dxa"/>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技术（质量）部分</w:t>
            </w:r>
          </w:p>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（50%）</w:t>
            </w:r>
          </w:p>
        </w:tc>
        <w:tc>
          <w:tcPr>
            <w:tcW w:w="805" w:type="dxa"/>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50</w:t>
            </w: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1.起评分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有效投标人的起评分为50分。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2.扣分条款</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2.1投标文件投标应答有一条不满足招标文件重要技术需求的（本招标文件第二篇中带“▲”号标注的部分，共计</w:t>
            </w:r>
            <w:r>
              <w:rPr>
                <w:rFonts w:hint="eastAsia" w:ascii="微软雅黑" w:hAnsi="微软雅黑" w:eastAsia="微软雅黑" w:cs="微软雅黑"/>
                <w:color w:val="auto"/>
                <w:sz w:val="21"/>
                <w:szCs w:val="21"/>
                <w:lang w:val="en-US" w:eastAsia="zh-CN"/>
              </w:rPr>
              <w:t>4</w:t>
            </w:r>
            <w:r>
              <w:rPr>
                <w:rFonts w:hint="eastAsia" w:ascii="微软雅黑" w:hAnsi="微软雅黑" w:eastAsia="微软雅黑" w:cs="微软雅黑"/>
                <w:color w:val="auto"/>
                <w:sz w:val="21"/>
                <w:szCs w:val="21"/>
              </w:rPr>
              <w:t>条），从起评分中扣除</w:t>
            </w:r>
            <w:r>
              <w:rPr>
                <w:rFonts w:hint="eastAsia" w:ascii="微软雅黑" w:hAnsi="微软雅黑" w:eastAsia="微软雅黑" w:cs="微软雅黑"/>
                <w:color w:val="auto"/>
                <w:sz w:val="21"/>
                <w:szCs w:val="21"/>
                <w:lang w:val="en-US" w:eastAsia="zh-CN"/>
              </w:rPr>
              <w:t>10</w:t>
            </w:r>
            <w:r>
              <w:rPr>
                <w:rFonts w:hint="eastAsia" w:ascii="微软雅黑" w:hAnsi="微软雅黑" w:eastAsia="微软雅黑" w:cs="微软雅黑"/>
                <w:color w:val="auto"/>
                <w:sz w:val="21"/>
                <w:szCs w:val="21"/>
              </w:rPr>
              <w:t>分，扣完为止。</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2.2投标文件投标应答有一条不满足招标文件一般性技术需求的（本招标文件第二篇中“○”号标注的部分，共计</w:t>
            </w:r>
            <w:r>
              <w:rPr>
                <w:rFonts w:hint="eastAsia" w:ascii="微软雅黑" w:hAnsi="微软雅黑" w:eastAsia="微软雅黑" w:cs="微软雅黑"/>
                <w:color w:val="auto"/>
                <w:sz w:val="21"/>
                <w:szCs w:val="21"/>
                <w:lang w:val="en-US" w:eastAsia="zh-CN"/>
              </w:rPr>
              <w:t>20</w:t>
            </w:r>
            <w:r>
              <w:rPr>
                <w:rFonts w:hint="eastAsia" w:ascii="微软雅黑" w:hAnsi="微软雅黑" w:eastAsia="微软雅黑" w:cs="微软雅黑"/>
                <w:color w:val="auto"/>
                <w:sz w:val="21"/>
                <w:szCs w:val="21"/>
              </w:rPr>
              <w:t>条），从起评分中扣除</w:t>
            </w:r>
            <w:r>
              <w:rPr>
                <w:rFonts w:hint="eastAsia" w:ascii="微软雅黑" w:hAnsi="微软雅黑" w:eastAsia="微软雅黑" w:cs="微软雅黑"/>
                <w:color w:val="auto"/>
                <w:sz w:val="21"/>
                <w:szCs w:val="21"/>
                <w:lang w:val="en-US" w:eastAsia="zh-CN"/>
              </w:rPr>
              <w:t>0.5</w:t>
            </w:r>
            <w:r>
              <w:rPr>
                <w:rFonts w:hint="eastAsia" w:ascii="微软雅黑" w:hAnsi="微软雅黑" w:eastAsia="微软雅黑" w:cs="微软雅黑"/>
                <w:color w:val="auto"/>
                <w:sz w:val="21"/>
                <w:szCs w:val="21"/>
              </w:rPr>
              <w:t>分，扣完为止。</w:t>
            </w:r>
          </w:p>
        </w:tc>
        <w:tc>
          <w:tcPr>
            <w:tcW w:w="2440" w:type="dxa"/>
            <w:vAlign w:val="center"/>
          </w:tcPr>
          <w:p>
            <w:pP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628" w:type="dxa"/>
            <w:gridSpan w:val="5"/>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投标人的应答应满足</w:t>
            </w:r>
            <w:r>
              <w:rPr>
                <w:rFonts w:hint="eastAsia" w:ascii="微软雅黑" w:hAnsi="微软雅黑" w:eastAsia="微软雅黑" w:cs="微软雅黑"/>
                <w:color w:val="auto"/>
                <w:sz w:val="21"/>
                <w:szCs w:val="21"/>
                <w:lang w:val="en-US" w:eastAsia="zh-CN"/>
              </w:rPr>
              <w:t>采购</w:t>
            </w:r>
            <w:r>
              <w:rPr>
                <w:rFonts w:hint="eastAsia" w:ascii="微软雅黑" w:hAnsi="微软雅黑" w:eastAsia="微软雅黑" w:cs="微软雅黑"/>
                <w:color w:val="auto"/>
                <w:sz w:val="21"/>
                <w:szCs w:val="21"/>
              </w:rPr>
              <w:t>文件“商务需求”，有一条不满足的（</w:t>
            </w:r>
            <w:r>
              <w:rPr>
                <w:rFonts w:hint="eastAsia" w:ascii="微软雅黑" w:hAnsi="微软雅黑" w:eastAsia="微软雅黑" w:cs="微软雅黑"/>
                <w:color w:val="auto"/>
                <w:kern w:val="0"/>
                <w:sz w:val="21"/>
                <w:szCs w:val="21"/>
              </w:rPr>
              <w:t>“※”号标注的部分除外</w:t>
            </w:r>
            <w:r>
              <w:rPr>
                <w:rFonts w:hint="eastAsia" w:ascii="微软雅黑" w:hAnsi="微软雅黑" w:eastAsia="微软雅黑" w:cs="微软雅黑"/>
                <w:color w:val="auto"/>
                <w:sz w:val="21"/>
                <w:szCs w:val="21"/>
              </w:rPr>
              <w:t>），商务部分得分为0分，不再进入商务部分的评审。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8" w:hRule="atLeast"/>
          <w:jc w:val="center"/>
        </w:trPr>
        <w:tc>
          <w:tcPr>
            <w:tcW w:w="835" w:type="dxa"/>
            <w:vMerge w:val="restart"/>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w:t>
            </w:r>
          </w:p>
        </w:tc>
        <w:tc>
          <w:tcPr>
            <w:tcW w:w="1570" w:type="dxa"/>
            <w:vMerge w:val="restart"/>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商务部分</w:t>
            </w:r>
          </w:p>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（20%）</w:t>
            </w:r>
          </w:p>
        </w:tc>
        <w:tc>
          <w:tcPr>
            <w:tcW w:w="805" w:type="dxa"/>
            <w:vMerge w:val="restart"/>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售后服务16</w:t>
            </w: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1.维保服务方案</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投标人提供维保服务方案，方案内容包括日常维修保养、巡查、年度大保养计划。方案内容不存在瑕疵，得</w:t>
            </w:r>
            <w:r>
              <w:rPr>
                <w:rFonts w:hint="eastAsia" w:ascii="微软雅黑" w:hAnsi="微软雅黑" w:eastAsia="微软雅黑" w:cs="微软雅黑"/>
                <w:color w:val="auto"/>
                <w:sz w:val="21"/>
                <w:szCs w:val="21"/>
                <w:lang w:val="en-US" w:eastAsia="zh-CN"/>
              </w:rPr>
              <w:t>4</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方案内容存在1处瑕疵，得</w:t>
            </w: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方案内容存在2处瑕疵，得</w:t>
            </w: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方案内容存在3处及以上瑕疵或未提供方案得0分。</w:t>
            </w:r>
          </w:p>
        </w:tc>
        <w:tc>
          <w:tcPr>
            <w:tcW w:w="2440" w:type="dxa"/>
            <w:vMerge w:val="restart"/>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提供方案，格式自拟。</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注：本项内容中所称的“瑕疵”指以下内容：</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①方案内容缺项、内容表述不完整或缺少维保服务内容或售后服务内容中任意一项内容的针对性分析或介绍；</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②方案内容表述前后矛盾、无连贯性；</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③维保服务范围或售后服务范围覆盖不全、服务流程低效；</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④方案内容存在逻辑漏洞、常识错误、维保服务或售后服务流程并不适用本项目特性和或非专门针对本项目特征制定；</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⑤方案内容并无体现时效性的售后处理计划或保养巡查计划安排；</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⑥方案中提出的措施不利于本项目目标的实现；</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⑦现有科学技术条件下不可能实现的情形。</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上述任意一种情形为1处瑕疵。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7" w:hRule="atLeast"/>
          <w:jc w:val="center"/>
        </w:trPr>
        <w:tc>
          <w:tcPr>
            <w:tcW w:w="835" w:type="dxa"/>
            <w:vMerge w:val="continue"/>
            <w:vAlign w:val="center"/>
          </w:tcPr>
          <w:p>
            <w:pPr>
              <w:ind w:firstLine="28"/>
              <w:jc w:val="center"/>
              <w:rPr>
                <w:rFonts w:hint="eastAsia" w:ascii="微软雅黑" w:hAnsi="微软雅黑" w:eastAsia="微软雅黑" w:cs="微软雅黑"/>
                <w:color w:val="auto"/>
                <w:sz w:val="21"/>
                <w:szCs w:val="21"/>
              </w:rPr>
            </w:pPr>
          </w:p>
        </w:tc>
        <w:tc>
          <w:tcPr>
            <w:tcW w:w="1570" w:type="dxa"/>
            <w:vMerge w:val="continue"/>
            <w:vAlign w:val="center"/>
          </w:tcPr>
          <w:p>
            <w:pPr>
              <w:ind w:firstLine="28"/>
              <w:jc w:val="center"/>
              <w:rPr>
                <w:rFonts w:hint="eastAsia" w:ascii="微软雅黑" w:hAnsi="微软雅黑" w:eastAsia="微软雅黑" w:cs="微软雅黑"/>
                <w:color w:val="auto"/>
                <w:sz w:val="21"/>
                <w:szCs w:val="21"/>
              </w:rPr>
            </w:pPr>
          </w:p>
        </w:tc>
        <w:tc>
          <w:tcPr>
            <w:tcW w:w="805" w:type="dxa"/>
            <w:vMerge w:val="continue"/>
            <w:vAlign w:val="center"/>
          </w:tcPr>
          <w:p>
            <w:pPr>
              <w:ind w:firstLine="28"/>
              <w:jc w:val="center"/>
              <w:rPr>
                <w:rFonts w:hint="eastAsia" w:ascii="微软雅黑" w:hAnsi="微软雅黑" w:eastAsia="微软雅黑" w:cs="微软雅黑"/>
                <w:color w:val="auto"/>
                <w:sz w:val="21"/>
                <w:szCs w:val="21"/>
              </w:rPr>
            </w:pP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2.售后服务方案</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根据投标人提供的售后服务方案进行评审，方案内容包括售后服务流程、售后服务范围、维修时间等。</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方案内容不存在瑕疵，得</w:t>
            </w: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方案内容存在1处瑕疵，得</w:t>
            </w: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方案内容存在2处瑕疵，得</w:t>
            </w:r>
            <w:r>
              <w:rPr>
                <w:rFonts w:hint="eastAsia" w:ascii="微软雅黑" w:hAnsi="微软雅黑" w:eastAsia="微软雅黑" w:cs="微软雅黑"/>
                <w:color w:val="auto"/>
                <w:sz w:val="21"/>
                <w:szCs w:val="21"/>
                <w:lang w:val="en-US" w:eastAsia="zh-CN"/>
              </w:rPr>
              <w:t>1</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方案内容存在3处及以上瑕疵或未提供方案得0分。</w:t>
            </w:r>
          </w:p>
        </w:tc>
        <w:tc>
          <w:tcPr>
            <w:tcW w:w="2440" w:type="dxa"/>
            <w:vMerge w:val="continue"/>
            <w:vAlign w:val="center"/>
          </w:tcPr>
          <w:p>
            <w:pP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7" w:hRule="atLeast"/>
          <w:jc w:val="center"/>
        </w:trPr>
        <w:tc>
          <w:tcPr>
            <w:tcW w:w="835" w:type="dxa"/>
            <w:vMerge w:val="continue"/>
            <w:vAlign w:val="center"/>
          </w:tcPr>
          <w:p>
            <w:pPr>
              <w:ind w:firstLine="28"/>
              <w:jc w:val="center"/>
              <w:rPr>
                <w:rFonts w:hint="eastAsia" w:ascii="微软雅黑" w:hAnsi="微软雅黑" w:eastAsia="微软雅黑" w:cs="微软雅黑"/>
                <w:color w:val="auto"/>
                <w:sz w:val="21"/>
                <w:szCs w:val="21"/>
              </w:rPr>
            </w:pPr>
          </w:p>
        </w:tc>
        <w:tc>
          <w:tcPr>
            <w:tcW w:w="1570" w:type="dxa"/>
            <w:vMerge w:val="continue"/>
            <w:vAlign w:val="center"/>
          </w:tcPr>
          <w:p>
            <w:pPr>
              <w:ind w:firstLine="28"/>
              <w:jc w:val="center"/>
              <w:rPr>
                <w:rFonts w:hint="eastAsia" w:ascii="微软雅黑" w:hAnsi="微软雅黑" w:eastAsia="微软雅黑" w:cs="微软雅黑"/>
                <w:color w:val="auto"/>
                <w:sz w:val="21"/>
                <w:szCs w:val="21"/>
              </w:rPr>
            </w:pPr>
          </w:p>
        </w:tc>
        <w:tc>
          <w:tcPr>
            <w:tcW w:w="805" w:type="dxa"/>
            <w:vMerge w:val="continue"/>
            <w:vAlign w:val="center"/>
          </w:tcPr>
          <w:p>
            <w:pPr>
              <w:ind w:firstLine="28"/>
              <w:jc w:val="center"/>
              <w:rPr>
                <w:rFonts w:hint="eastAsia" w:ascii="微软雅黑" w:hAnsi="微软雅黑" w:eastAsia="微软雅黑" w:cs="微软雅黑"/>
                <w:color w:val="auto"/>
                <w:sz w:val="21"/>
                <w:szCs w:val="21"/>
              </w:rPr>
            </w:pP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3.质量保证期</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所投产品质量保证期在满足招标文件质保期要求的前提下，每增加1年加</w:t>
            </w:r>
            <w:r>
              <w:rPr>
                <w:rFonts w:hint="eastAsia" w:ascii="微软雅黑" w:hAnsi="微软雅黑" w:eastAsia="微软雅黑" w:cs="微软雅黑"/>
                <w:color w:val="auto"/>
                <w:sz w:val="21"/>
                <w:szCs w:val="21"/>
                <w:lang w:val="en-US" w:eastAsia="zh-CN"/>
              </w:rPr>
              <w:t>1</w:t>
            </w:r>
            <w:r>
              <w:rPr>
                <w:rFonts w:hint="eastAsia" w:ascii="微软雅黑" w:hAnsi="微软雅黑" w:eastAsia="微软雅黑" w:cs="微软雅黑"/>
                <w:color w:val="auto"/>
                <w:sz w:val="21"/>
                <w:szCs w:val="21"/>
              </w:rPr>
              <w:t>分，本项最多加</w:t>
            </w: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分。</w:t>
            </w:r>
          </w:p>
        </w:tc>
        <w:tc>
          <w:tcPr>
            <w:tcW w:w="2440"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以投标人响应情况或提供承诺函为准（两者二选一提供）。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8" w:hRule="atLeast"/>
          <w:jc w:val="center"/>
        </w:trPr>
        <w:tc>
          <w:tcPr>
            <w:tcW w:w="835" w:type="dxa"/>
            <w:vMerge w:val="continue"/>
            <w:vAlign w:val="center"/>
          </w:tcPr>
          <w:p>
            <w:pPr>
              <w:ind w:firstLine="28"/>
              <w:jc w:val="center"/>
              <w:rPr>
                <w:rFonts w:hint="eastAsia" w:ascii="微软雅黑" w:hAnsi="微软雅黑" w:eastAsia="微软雅黑" w:cs="微软雅黑"/>
                <w:color w:val="auto"/>
                <w:sz w:val="21"/>
                <w:szCs w:val="21"/>
              </w:rPr>
            </w:pPr>
          </w:p>
        </w:tc>
        <w:tc>
          <w:tcPr>
            <w:tcW w:w="1570" w:type="dxa"/>
            <w:vMerge w:val="continue"/>
            <w:vAlign w:val="center"/>
          </w:tcPr>
          <w:p>
            <w:pPr>
              <w:ind w:firstLine="28"/>
              <w:jc w:val="center"/>
              <w:rPr>
                <w:rFonts w:hint="eastAsia" w:ascii="微软雅黑" w:hAnsi="微软雅黑" w:eastAsia="微软雅黑" w:cs="微软雅黑"/>
                <w:color w:val="auto"/>
                <w:sz w:val="21"/>
                <w:szCs w:val="21"/>
              </w:rPr>
            </w:pPr>
          </w:p>
        </w:tc>
        <w:tc>
          <w:tcPr>
            <w:tcW w:w="805" w:type="dxa"/>
            <w:vMerge w:val="continue"/>
            <w:vAlign w:val="center"/>
          </w:tcPr>
          <w:p>
            <w:pPr>
              <w:ind w:firstLine="28"/>
              <w:jc w:val="center"/>
              <w:rPr>
                <w:rFonts w:hint="eastAsia" w:ascii="微软雅黑" w:hAnsi="微软雅黑" w:eastAsia="微软雅黑" w:cs="微软雅黑"/>
                <w:color w:val="auto"/>
                <w:sz w:val="21"/>
                <w:szCs w:val="21"/>
              </w:rPr>
            </w:pP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4.质保期后要求</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投标人承诺，质保期到期后，每年所投产品维保费≤中标单价金额的</w:t>
            </w: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%得6分，维保费为中标单价金额的</w:t>
            </w: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%得4分，维保费为中标单价金额的</w:t>
            </w:r>
            <w:r>
              <w:rPr>
                <w:rFonts w:hint="eastAsia" w:ascii="微软雅黑" w:hAnsi="微软雅黑" w:eastAsia="微软雅黑" w:cs="微软雅黑"/>
                <w:color w:val="auto"/>
                <w:sz w:val="21"/>
                <w:szCs w:val="21"/>
                <w:lang w:val="en-US" w:eastAsia="zh-CN"/>
              </w:rPr>
              <w:t>4</w:t>
            </w:r>
            <w:r>
              <w:rPr>
                <w:rFonts w:hint="eastAsia" w:ascii="微软雅黑" w:hAnsi="微软雅黑" w:eastAsia="微软雅黑" w:cs="微软雅黑"/>
                <w:color w:val="auto"/>
                <w:sz w:val="21"/>
                <w:szCs w:val="21"/>
              </w:rPr>
              <w:t>%得</w:t>
            </w: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分，维保费为中标单价金额的</w:t>
            </w:r>
            <w:r>
              <w:rPr>
                <w:rFonts w:hint="eastAsia" w:ascii="微软雅黑" w:hAnsi="微软雅黑" w:eastAsia="微软雅黑" w:cs="微软雅黑"/>
                <w:color w:val="auto"/>
                <w:sz w:val="21"/>
                <w:szCs w:val="21"/>
                <w:lang w:val="en-US" w:eastAsia="zh-CN"/>
              </w:rPr>
              <w:t>5</w:t>
            </w:r>
            <w:r>
              <w:rPr>
                <w:rFonts w:hint="eastAsia" w:ascii="微软雅黑" w:hAnsi="微软雅黑" w:eastAsia="微软雅黑" w:cs="微软雅黑"/>
                <w:color w:val="auto"/>
                <w:sz w:val="21"/>
                <w:szCs w:val="21"/>
              </w:rPr>
              <w:t>%得</w:t>
            </w:r>
            <w:r>
              <w:rPr>
                <w:rFonts w:hint="eastAsia" w:ascii="微软雅黑" w:hAnsi="微软雅黑" w:eastAsia="微软雅黑" w:cs="微软雅黑"/>
                <w:color w:val="auto"/>
                <w:sz w:val="21"/>
                <w:szCs w:val="21"/>
                <w:lang w:val="en-US" w:eastAsia="zh-CN"/>
              </w:rPr>
              <w:t>0</w:t>
            </w:r>
            <w:r>
              <w:rPr>
                <w:rFonts w:hint="eastAsia" w:ascii="微软雅黑" w:hAnsi="微软雅黑" w:eastAsia="微软雅黑" w:cs="微软雅黑"/>
                <w:color w:val="auto"/>
                <w:sz w:val="21"/>
                <w:szCs w:val="21"/>
              </w:rPr>
              <w:t>分，超出中标单价金额/中标金额的</w:t>
            </w:r>
            <w:r>
              <w:rPr>
                <w:rFonts w:hint="eastAsia" w:ascii="微软雅黑" w:hAnsi="微软雅黑" w:eastAsia="微软雅黑" w:cs="微软雅黑"/>
                <w:color w:val="auto"/>
                <w:sz w:val="21"/>
                <w:szCs w:val="21"/>
                <w:lang w:val="en-US" w:eastAsia="zh-CN"/>
              </w:rPr>
              <w:t>5</w:t>
            </w:r>
            <w:r>
              <w:rPr>
                <w:rFonts w:hint="eastAsia" w:ascii="微软雅黑" w:hAnsi="微软雅黑" w:eastAsia="微软雅黑" w:cs="微软雅黑"/>
                <w:color w:val="auto"/>
                <w:sz w:val="21"/>
                <w:szCs w:val="21"/>
              </w:rPr>
              <w:t>%或未提供承诺函得0分。</w:t>
            </w:r>
          </w:p>
        </w:tc>
        <w:tc>
          <w:tcPr>
            <w:tcW w:w="2440"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提供承诺函，格式自拟。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5" w:hRule="atLeast"/>
          <w:jc w:val="center"/>
        </w:trPr>
        <w:tc>
          <w:tcPr>
            <w:tcW w:w="835" w:type="dxa"/>
            <w:vMerge w:val="continue"/>
            <w:vAlign w:val="center"/>
          </w:tcPr>
          <w:p>
            <w:pPr>
              <w:ind w:firstLine="28"/>
              <w:jc w:val="center"/>
              <w:rPr>
                <w:rFonts w:hint="eastAsia" w:ascii="微软雅黑" w:hAnsi="微软雅黑" w:eastAsia="微软雅黑" w:cs="微软雅黑"/>
                <w:color w:val="auto"/>
                <w:sz w:val="21"/>
                <w:szCs w:val="21"/>
              </w:rPr>
            </w:pPr>
          </w:p>
        </w:tc>
        <w:tc>
          <w:tcPr>
            <w:tcW w:w="1570" w:type="dxa"/>
            <w:vMerge w:val="continue"/>
            <w:vAlign w:val="center"/>
          </w:tcPr>
          <w:p>
            <w:pPr>
              <w:ind w:firstLine="28"/>
              <w:jc w:val="center"/>
              <w:rPr>
                <w:rFonts w:hint="eastAsia" w:ascii="微软雅黑" w:hAnsi="微软雅黑" w:eastAsia="微软雅黑" w:cs="微软雅黑"/>
                <w:color w:val="auto"/>
                <w:sz w:val="21"/>
                <w:szCs w:val="21"/>
              </w:rPr>
            </w:pPr>
          </w:p>
        </w:tc>
        <w:tc>
          <w:tcPr>
            <w:tcW w:w="805" w:type="dxa"/>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履约能力</w:t>
            </w:r>
          </w:p>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4</w:t>
            </w: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2021年1月1日至投标截止时间止（以合同签订时间为准)，投标人或所投产品制造商有所投同品牌同型号产品的销售业绩（买方非经销商或代理商），提供一个业绩得1分，本项最多得4分，不满足或未提供对应佐证材料的得0分。</w:t>
            </w:r>
          </w:p>
        </w:tc>
        <w:tc>
          <w:tcPr>
            <w:tcW w:w="2440"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1.提供业绩合同复印件（合同内容至少包含合同首页，产品信息页（内容包含产品型号规格和数量）、签字盖章页）；</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2.业绩合同对应佐证材料：验收合格报告复印件或中标/成交结果公示（公告）复印件或对应业绩合同的付款凭证（转账凭证）复印件，以上三选一提供；</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3.同一业绩合同只计分一次。</w:t>
            </w:r>
          </w:p>
        </w:tc>
      </w:tr>
    </w:tbl>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四、无效响应</w:t>
      </w:r>
      <w:bookmarkEnd w:id="132"/>
      <w:bookmarkEnd w:id="133"/>
      <w:bookmarkEnd w:id="134"/>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（一）投标人不符合规定的资格条件的；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（二）投标人的法定代表人（或其授权代表）或自然人未在采购人限定时间内到达开标现场进行签到的；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（三）投标人所提交的响应文件不按“</w:t>
      </w:r>
      <w:r>
        <w:rPr>
          <w:rFonts w:hint="eastAsia" w:ascii="微软雅黑" w:hAnsi="微软雅黑" w:eastAsia="微软雅黑" w:cs="微软雅黑"/>
          <w:color w:val="auto"/>
          <w:sz w:val="24"/>
          <w:szCs w:val="24"/>
          <w:lang w:eastAsia="zh-CN"/>
        </w:rPr>
        <w:t>第六篇</w:t>
      </w:r>
      <w:r>
        <w:rPr>
          <w:rFonts w:hint="eastAsia" w:ascii="微软雅黑" w:hAnsi="微软雅黑" w:eastAsia="微软雅黑" w:cs="微软雅黑"/>
          <w:color w:val="auto"/>
          <w:sz w:val="24"/>
          <w:szCs w:val="24"/>
        </w:rPr>
        <w:t xml:space="preserve"> 响应文件编制要求”要求签署或盖章；</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（四）投标人的最后报价超过采购预算或最高限价的；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（五）法定代表人为同一个人的两个及两个以上法人，母公司、全资子公司及其控股公司，在同一包采购中同时参与</w:t>
      </w:r>
      <w:r>
        <w:rPr>
          <w:rFonts w:hint="eastAsia" w:ascii="微软雅黑" w:hAnsi="微软雅黑" w:eastAsia="微软雅黑" w:cs="微软雅黑"/>
          <w:color w:val="auto"/>
          <w:sz w:val="24"/>
          <w:szCs w:val="24"/>
          <w:lang w:val="en-US" w:eastAsia="zh-CN"/>
        </w:rPr>
        <w:t>投标</w:t>
      </w:r>
      <w:r>
        <w:rPr>
          <w:rFonts w:hint="eastAsia" w:ascii="微软雅黑" w:hAnsi="微软雅黑" w:eastAsia="微软雅黑" w:cs="微软雅黑"/>
          <w:color w:val="auto"/>
          <w:sz w:val="24"/>
          <w:szCs w:val="24"/>
        </w:rPr>
        <w:t>；</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（六）单位负责人为同一人或者存在直接控股、管理关系的不同投标人，参加同一合同项下的采购活动的；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（七）为采购项目提供整体设计、规范编制或者项目管理、监理、检测等服务的投标人，再参加该采购项目的</w:t>
      </w:r>
      <w:r>
        <w:rPr>
          <w:rFonts w:hint="eastAsia" w:ascii="微软雅黑" w:hAnsi="微软雅黑" w:eastAsia="微软雅黑" w:cs="微软雅黑"/>
          <w:color w:val="auto"/>
          <w:sz w:val="24"/>
          <w:szCs w:val="24"/>
          <w:lang w:eastAsia="zh-CN"/>
        </w:rPr>
        <w:t>其他</w:t>
      </w:r>
      <w:r>
        <w:rPr>
          <w:rFonts w:hint="eastAsia" w:ascii="微软雅黑" w:hAnsi="微软雅黑" w:eastAsia="微软雅黑" w:cs="微软雅黑"/>
          <w:color w:val="auto"/>
          <w:sz w:val="24"/>
          <w:szCs w:val="24"/>
        </w:rPr>
        <w:t>采购活动；</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（八）投标人授权有效期不满足公开比选采购文件要求的；</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（九）投标人响应文件内容有与国家现行法律法规相违背的内容，或附有采购人无法接受的条件；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（十）法律、法规和采购文件规定的</w:t>
      </w:r>
      <w:r>
        <w:rPr>
          <w:rFonts w:hint="eastAsia" w:ascii="微软雅黑" w:hAnsi="微软雅黑" w:eastAsia="微软雅黑" w:cs="微软雅黑"/>
          <w:color w:val="auto"/>
          <w:sz w:val="24"/>
          <w:szCs w:val="24"/>
          <w:lang w:eastAsia="zh-CN"/>
        </w:rPr>
        <w:t>其他</w:t>
      </w:r>
      <w:r>
        <w:rPr>
          <w:rFonts w:hint="eastAsia" w:ascii="微软雅黑" w:hAnsi="微软雅黑" w:eastAsia="微软雅黑" w:cs="微软雅黑"/>
          <w:color w:val="auto"/>
          <w:sz w:val="24"/>
          <w:szCs w:val="24"/>
        </w:rPr>
        <w:t>无效情形。</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35" w:name="_Toc12222"/>
      <w:bookmarkStart w:id="136" w:name="_Toc106030891"/>
      <w:bookmarkStart w:id="137" w:name="_Toc10687"/>
      <w:bookmarkStart w:id="138" w:name="_Toc76462336"/>
      <w:bookmarkStart w:id="139" w:name="_Toc12481"/>
      <w:bookmarkStart w:id="140" w:name="_Toc25723"/>
      <w:r>
        <w:rPr>
          <w:rFonts w:hint="eastAsia" w:ascii="微软雅黑" w:hAnsi="微软雅黑" w:eastAsia="微软雅黑" w:cs="微软雅黑"/>
          <w:color w:val="auto"/>
          <w:sz w:val="24"/>
        </w:rPr>
        <w:t>五、</w:t>
      </w:r>
      <w:bookmarkEnd w:id="135"/>
      <w:bookmarkEnd w:id="136"/>
      <w:bookmarkEnd w:id="137"/>
      <w:bookmarkEnd w:id="138"/>
      <w:r>
        <w:rPr>
          <w:rFonts w:hint="eastAsia" w:ascii="微软雅黑" w:hAnsi="微软雅黑" w:eastAsia="微软雅黑" w:cs="微软雅黑"/>
          <w:color w:val="auto"/>
          <w:sz w:val="24"/>
        </w:rPr>
        <w:t>废标条款</w:t>
      </w:r>
      <w:bookmarkEnd w:id="139"/>
      <w:bookmarkEnd w:id="140"/>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（一）因情况变化，不再符合规定的公开比选采购方式适用情形的；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（二）出现影响采购公正的违法、违规行为的；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（三）在采购过程中符合要求的有效投标人不足</w:t>
      </w:r>
      <w:r>
        <w:rPr>
          <w:rFonts w:hint="eastAsia" w:ascii="微软雅黑" w:hAnsi="微软雅黑" w:eastAsia="微软雅黑" w:cs="微软雅黑"/>
          <w:color w:val="auto"/>
          <w:sz w:val="24"/>
          <w:szCs w:val="24"/>
          <w:lang w:val="en-US" w:eastAsia="zh-CN"/>
        </w:rPr>
        <w:t>3</w:t>
      </w:r>
      <w:r>
        <w:rPr>
          <w:rFonts w:hint="eastAsia" w:ascii="微软雅黑" w:hAnsi="微软雅黑" w:eastAsia="微软雅黑" w:cs="微软雅黑"/>
          <w:color w:val="auto"/>
          <w:sz w:val="24"/>
          <w:szCs w:val="24"/>
        </w:rPr>
        <w:t>家的（挂网公示</w:t>
      </w:r>
      <w:r>
        <w:rPr>
          <w:rFonts w:hint="eastAsia" w:ascii="微软雅黑" w:hAnsi="微软雅黑" w:eastAsia="微软雅黑" w:cs="微软雅黑"/>
          <w:color w:val="auto"/>
          <w:sz w:val="24"/>
          <w:szCs w:val="24"/>
          <w:lang w:val="en-US" w:eastAsia="zh-CN"/>
        </w:rPr>
        <w:t>次数</w:t>
      </w:r>
      <w:r>
        <w:rPr>
          <w:rFonts w:hint="eastAsia" w:ascii="微软雅黑" w:hAnsi="微软雅黑" w:eastAsia="微软雅黑" w:cs="微软雅黑"/>
          <w:color w:val="auto"/>
          <w:sz w:val="24"/>
          <w:szCs w:val="24"/>
        </w:rPr>
        <w:t>大于等于3次的除外）；</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（四）采购任务变更或取消的。</w:t>
      </w:r>
    </w:p>
    <w:p>
      <w:pPr>
        <w:spacing w:line="400" w:lineRule="exact"/>
        <w:ind w:firstLine="480" w:firstLineChars="200"/>
        <w:rPr>
          <w:rFonts w:hint="eastAsia" w:ascii="微软雅黑" w:hAnsi="微软雅黑" w:eastAsia="微软雅黑" w:cs="微软雅黑"/>
          <w:color w:val="auto"/>
          <w:sz w:val="24"/>
          <w:szCs w:val="24"/>
        </w:rPr>
        <w:sectPr>
          <w:headerReference r:id="rId12" w:type="default"/>
          <w:footerReference r:id="rId13"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color w:val="auto"/>
          <w:sz w:val="44"/>
        </w:rPr>
      </w:pPr>
      <w:bookmarkStart w:id="141" w:name="_Toc29948"/>
      <w:bookmarkStart w:id="142" w:name="_Toc102227313"/>
      <w:bookmarkStart w:id="143" w:name="_Toc16624"/>
      <w:bookmarkStart w:id="144" w:name="_Toc76462337"/>
      <w:bookmarkStart w:id="145" w:name="_Toc106030892"/>
      <w:r>
        <w:rPr>
          <w:rFonts w:hint="eastAsia" w:ascii="微软雅黑" w:hAnsi="微软雅黑" w:eastAsia="微软雅黑" w:cs="微软雅黑"/>
          <w:color w:val="auto"/>
          <w:sz w:val="44"/>
        </w:rPr>
        <w:t>第</w:t>
      </w:r>
      <w:r>
        <w:rPr>
          <w:rFonts w:hint="eastAsia" w:ascii="微软雅黑" w:hAnsi="微软雅黑" w:eastAsia="微软雅黑" w:cs="微软雅黑"/>
          <w:color w:val="auto"/>
          <w:sz w:val="44"/>
          <w:lang w:val="en-US" w:eastAsia="zh-CN"/>
        </w:rPr>
        <w:t>五</w:t>
      </w:r>
      <w:r>
        <w:rPr>
          <w:rFonts w:hint="eastAsia" w:ascii="微软雅黑" w:hAnsi="微软雅黑" w:eastAsia="微软雅黑" w:cs="微软雅黑"/>
          <w:color w:val="auto"/>
          <w:sz w:val="44"/>
        </w:rPr>
        <w:t>篇  投标人须知</w:t>
      </w:r>
      <w:bookmarkEnd w:id="141"/>
      <w:bookmarkEnd w:id="142"/>
      <w:bookmarkEnd w:id="143"/>
      <w:bookmarkEnd w:id="144"/>
      <w:bookmarkEnd w:id="145"/>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46" w:name="_Toc26717"/>
      <w:bookmarkStart w:id="147" w:name="_Toc106030893"/>
      <w:bookmarkStart w:id="148" w:name="_Toc342913389"/>
      <w:bookmarkStart w:id="149" w:name="_Toc9624"/>
      <w:bookmarkStart w:id="150" w:name="_Toc76462338"/>
      <w:r>
        <w:rPr>
          <w:rFonts w:hint="eastAsia" w:ascii="微软雅黑" w:hAnsi="微软雅黑" w:eastAsia="微软雅黑" w:cs="微软雅黑"/>
          <w:color w:val="auto"/>
          <w:sz w:val="24"/>
        </w:rPr>
        <w:t>一、公开比选费用</w:t>
      </w:r>
      <w:bookmarkEnd w:id="146"/>
      <w:bookmarkEnd w:id="147"/>
      <w:bookmarkEnd w:id="148"/>
      <w:bookmarkEnd w:id="149"/>
      <w:bookmarkEnd w:id="150"/>
    </w:p>
    <w:p>
      <w:pPr>
        <w:pStyle w:val="144"/>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51" w:name="_Toc342913391"/>
      <w:bookmarkStart w:id="152" w:name="_Toc15712"/>
      <w:bookmarkStart w:id="153" w:name="_Toc106030894"/>
      <w:bookmarkStart w:id="154" w:name="_Toc8631"/>
      <w:bookmarkStart w:id="155" w:name="_Toc76462339"/>
      <w:r>
        <w:rPr>
          <w:rFonts w:hint="eastAsia" w:ascii="微软雅黑" w:hAnsi="微软雅黑" w:eastAsia="微软雅黑" w:cs="微软雅黑"/>
          <w:color w:val="auto"/>
          <w:sz w:val="24"/>
        </w:rPr>
        <w:t>二、公开比选采购文件</w:t>
      </w:r>
      <w:bookmarkEnd w:id="151"/>
      <w:bookmarkEnd w:id="152"/>
      <w:bookmarkEnd w:id="153"/>
      <w:bookmarkEnd w:id="154"/>
      <w:bookmarkEnd w:id="155"/>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（一）公开比选采购文件由采购邀请书、项目</w:t>
      </w:r>
      <w:r>
        <w:rPr>
          <w:rFonts w:hint="eastAsia" w:ascii="微软雅黑" w:hAnsi="微软雅黑" w:eastAsia="微软雅黑" w:cs="微软雅黑"/>
          <w:color w:val="auto"/>
          <w:sz w:val="24"/>
          <w:szCs w:val="24"/>
          <w:lang w:val="en-US" w:eastAsia="zh-CN"/>
        </w:rPr>
        <w:t>技术（质量）及商务需求</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采购</w:t>
      </w:r>
      <w:r>
        <w:rPr>
          <w:rFonts w:hint="eastAsia" w:ascii="微软雅黑" w:hAnsi="微软雅黑" w:eastAsia="微软雅黑" w:cs="微软雅黑"/>
          <w:color w:val="auto"/>
          <w:sz w:val="24"/>
          <w:szCs w:val="24"/>
        </w:rPr>
        <w:t>程序及方法、评审标准、无效响应和采购终止、投标人须知、响应文件编制要求</w:t>
      </w:r>
      <w:r>
        <w:rPr>
          <w:rFonts w:hint="eastAsia" w:ascii="微软雅黑" w:hAnsi="微软雅黑" w:eastAsia="微软雅黑" w:cs="微软雅黑"/>
          <w:color w:val="auto"/>
          <w:sz w:val="24"/>
          <w:szCs w:val="24"/>
          <w:lang w:val="en-US" w:eastAsia="zh-CN"/>
        </w:rPr>
        <w:t>五</w:t>
      </w:r>
      <w:r>
        <w:rPr>
          <w:rFonts w:hint="eastAsia" w:ascii="微软雅黑" w:hAnsi="微软雅黑" w:eastAsia="微软雅黑" w:cs="微软雅黑"/>
          <w:color w:val="auto"/>
          <w:sz w:val="24"/>
          <w:szCs w:val="24"/>
        </w:rPr>
        <w:t>部分组成。</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（二）采购人所作的一切有效的书面通知、修改及补充，都是公开比选采购文件不可分割的部分。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（三）公开比选采购文件的解释</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如对公开比选采购文件有疑问，必须以书面形式在提交响应文件截止时间2个工作日前向采购人要求澄清，采购人可视具体情况做出处理或答复。如投标人未提出疑问，视为完全理解并同意本公开比选采购文件。一经进入比选程序，即视为投标人已详细阅读全部文件资料，完全理解公开比选采购文件所有条款内容并同意放弃对这方面有不明白及误解的权利。</w:t>
      </w:r>
      <w:bookmarkStart w:id="156" w:name="_Toc318159160"/>
      <w:bookmarkStart w:id="157" w:name="_Toc318159780"/>
      <w:bookmarkStart w:id="158" w:name="_Toc318166429"/>
      <w:bookmarkStart w:id="159" w:name="_Toc318159349"/>
    </w:p>
    <w:bookmarkEnd w:id="156"/>
    <w:bookmarkEnd w:id="157"/>
    <w:bookmarkEnd w:id="158"/>
    <w:bookmarkEnd w:id="159"/>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60" w:name="_Toc342913392"/>
      <w:bookmarkStart w:id="161" w:name="_Toc76462340"/>
      <w:bookmarkStart w:id="162" w:name="_Toc179714297"/>
      <w:bookmarkStart w:id="163" w:name="_Toc26007"/>
      <w:bookmarkStart w:id="164" w:name="_Toc9861"/>
      <w:bookmarkStart w:id="165" w:name="_Toc106030895"/>
      <w:bookmarkStart w:id="166" w:name="_Toc102227318"/>
      <w:r>
        <w:rPr>
          <w:rFonts w:hint="eastAsia" w:ascii="微软雅黑" w:hAnsi="微软雅黑" w:eastAsia="微软雅黑" w:cs="微软雅黑"/>
          <w:color w:val="auto"/>
          <w:sz w:val="24"/>
        </w:rPr>
        <w:t>三、比选要求</w:t>
      </w:r>
      <w:bookmarkEnd w:id="160"/>
      <w:bookmarkEnd w:id="161"/>
      <w:bookmarkEnd w:id="162"/>
      <w:bookmarkEnd w:id="163"/>
      <w:bookmarkEnd w:id="164"/>
      <w:bookmarkEnd w:id="165"/>
      <w:bookmarkEnd w:id="166"/>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（一）响应文件</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1.投标人应当按照公开比选采购文件的要求编制响应文件，并对公开比选采购文件提出的要求和条件作出实质性响应，响应文件原则上采用软面订本，同时应编制完整的页码、目录。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2.响应文件组成</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响应文件由“</w:t>
      </w:r>
      <w:r>
        <w:rPr>
          <w:rFonts w:hint="eastAsia" w:ascii="微软雅黑" w:hAnsi="微软雅黑" w:eastAsia="微软雅黑" w:cs="微软雅黑"/>
          <w:color w:val="auto"/>
          <w:sz w:val="24"/>
          <w:szCs w:val="24"/>
          <w:lang w:eastAsia="zh-CN"/>
        </w:rPr>
        <w:t>第六篇</w:t>
      </w:r>
      <w:r>
        <w:rPr>
          <w:rFonts w:hint="eastAsia" w:ascii="微软雅黑" w:hAnsi="微软雅黑" w:eastAsia="微软雅黑" w:cs="微软雅黑"/>
          <w:color w:val="auto"/>
          <w:sz w:val="24"/>
          <w:szCs w:val="24"/>
        </w:rPr>
        <w:t xml:space="preserve"> 响应文件编制要求”规定的部分和投标人所作的一切有效补充、修改和承诺等文件组成，投标人应按照“</w:t>
      </w:r>
      <w:r>
        <w:rPr>
          <w:rFonts w:hint="eastAsia" w:ascii="微软雅黑" w:hAnsi="微软雅黑" w:eastAsia="微软雅黑" w:cs="微软雅黑"/>
          <w:color w:val="auto"/>
          <w:sz w:val="24"/>
          <w:szCs w:val="24"/>
          <w:lang w:eastAsia="zh-CN"/>
        </w:rPr>
        <w:t>第六篇</w:t>
      </w:r>
      <w:r>
        <w:rPr>
          <w:rFonts w:hint="eastAsia" w:ascii="微软雅黑" w:hAnsi="微软雅黑" w:eastAsia="微软雅黑" w:cs="微软雅黑"/>
          <w:color w:val="auto"/>
          <w:sz w:val="24"/>
          <w:szCs w:val="24"/>
        </w:rPr>
        <w:t xml:space="preserve"> 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color w:val="auto"/>
        </w:rPr>
      </w:pPr>
      <w:r>
        <w:rPr>
          <w:rFonts w:hint="eastAsia" w:ascii="微软雅黑" w:hAnsi="微软雅黑" w:eastAsia="微软雅黑" w:cs="微软雅黑"/>
          <w:color w:val="auto"/>
          <w:sz w:val="24"/>
          <w:szCs w:val="24"/>
        </w:rPr>
        <w:t>比选小组</w:t>
      </w:r>
      <w:r>
        <w:rPr>
          <w:rFonts w:hint="eastAsia" w:ascii="微软雅黑" w:hAnsi="微软雅黑" w:eastAsia="微软雅黑" w:cs="微软雅黑"/>
          <w:color w:val="auto"/>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（四）提交响应文件的份数和签署</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b/>
          <w:bCs/>
          <w:color w:val="auto"/>
          <w:sz w:val="24"/>
          <w:szCs w:val="24"/>
          <w:u w:val="single"/>
        </w:rPr>
        <w:t>1.响应文件一式</w:t>
      </w:r>
      <w:r>
        <w:rPr>
          <w:rFonts w:hint="eastAsia" w:ascii="微软雅黑" w:hAnsi="微软雅黑" w:eastAsia="微软雅黑" w:cs="微软雅黑"/>
          <w:b/>
          <w:bCs/>
          <w:color w:val="auto"/>
          <w:sz w:val="24"/>
          <w:szCs w:val="24"/>
          <w:u w:val="single"/>
          <w:lang w:val="en-US" w:eastAsia="zh-CN"/>
        </w:rPr>
        <w:t>七</w:t>
      </w:r>
      <w:r>
        <w:rPr>
          <w:rFonts w:hint="eastAsia" w:ascii="微软雅黑" w:hAnsi="微软雅黑" w:eastAsia="微软雅黑" w:cs="微软雅黑"/>
          <w:b/>
          <w:bCs/>
          <w:color w:val="auto"/>
          <w:sz w:val="24"/>
          <w:szCs w:val="24"/>
          <w:u w:val="single"/>
        </w:rPr>
        <w:t>份，其中正本一份，副本</w:t>
      </w:r>
      <w:r>
        <w:rPr>
          <w:rFonts w:hint="eastAsia" w:ascii="微软雅黑" w:hAnsi="微软雅黑" w:eastAsia="微软雅黑" w:cs="微软雅黑"/>
          <w:b/>
          <w:bCs/>
          <w:color w:val="auto"/>
          <w:sz w:val="24"/>
          <w:szCs w:val="24"/>
          <w:u w:val="single"/>
          <w:lang w:val="en-US" w:eastAsia="zh-CN"/>
        </w:rPr>
        <w:t>六</w:t>
      </w:r>
      <w:r>
        <w:rPr>
          <w:rFonts w:hint="eastAsia" w:ascii="微软雅黑" w:hAnsi="微软雅黑" w:eastAsia="微软雅黑" w:cs="微软雅黑"/>
          <w:b/>
          <w:bCs/>
          <w:color w:val="auto"/>
          <w:sz w:val="24"/>
          <w:szCs w:val="24"/>
          <w:u w:val="single"/>
        </w:rPr>
        <w:t>份，副本可为正本的复印件，应与正本一致，如出现不一致情况以正本为准</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rPr>
        <w:t>电子文档（电子文档须将完整的响应文件正本PDF版上传到电子招投标平台，如电子文档与纸质响应文件的实质性内容出现差异，则视为未报名成功）一份。</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w:t>
      </w:r>
      <w:r>
        <w:rPr>
          <w:rFonts w:hint="eastAsia" w:ascii="微软雅黑" w:hAnsi="微软雅黑" w:eastAsia="微软雅黑" w:cs="微软雅黑"/>
          <w:color w:val="auto"/>
          <w:sz w:val="24"/>
        </w:rPr>
        <w:t>响应文件按公开比选采购文件“</w:t>
      </w:r>
      <w:r>
        <w:rPr>
          <w:rFonts w:hint="eastAsia" w:ascii="微软雅黑" w:hAnsi="微软雅黑" w:eastAsia="微软雅黑" w:cs="微软雅黑"/>
          <w:color w:val="auto"/>
          <w:sz w:val="24"/>
          <w:lang w:eastAsia="zh-CN"/>
        </w:rPr>
        <w:t>第六篇</w:t>
      </w:r>
      <w:r>
        <w:rPr>
          <w:rFonts w:hint="eastAsia" w:ascii="微软雅黑" w:hAnsi="微软雅黑" w:eastAsia="微软雅黑" w:cs="微软雅黑"/>
          <w:color w:val="auto"/>
          <w:sz w:val="24"/>
        </w:rPr>
        <w:t>响应文件编制要求”要求签署或盖章。</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（五）响应文件的递交</w:t>
      </w:r>
    </w:p>
    <w:p>
      <w:pPr>
        <w:pStyle w:val="31"/>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响应文件的正本、副本均应密封送达</w:t>
      </w:r>
      <w:r>
        <w:rPr>
          <w:rFonts w:hint="eastAsia" w:ascii="微软雅黑" w:hAnsi="微软雅黑" w:eastAsia="微软雅黑" w:cs="微软雅黑"/>
          <w:color w:val="auto"/>
          <w:sz w:val="24"/>
          <w:szCs w:val="24"/>
        </w:rPr>
        <w:t>比选</w:t>
      </w:r>
      <w:r>
        <w:rPr>
          <w:rFonts w:hint="eastAsia" w:ascii="微软雅黑" w:hAnsi="微软雅黑" w:eastAsia="微软雅黑" w:cs="微软雅黑"/>
          <w:color w:val="auto"/>
          <w:sz w:val="24"/>
        </w:rPr>
        <w:t>地点，应在封套上注明</w:t>
      </w:r>
      <w:r>
        <w:rPr>
          <w:rFonts w:hint="eastAsia" w:ascii="微软雅黑" w:hAnsi="微软雅黑" w:eastAsia="微软雅黑" w:cs="微软雅黑"/>
          <w:color w:val="auto"/>
          <w:sz w:val="24"/>
          <w:szCs w:val="24"/>
        </w:rPr>
        <w:t>比选</w:t>
      </w:r>
      <w:r>
        <w:rPr>
          <w:rFonts w:hint="eastAsia" w:ascii="微软雅黑" w:hAnsi="微软雅黑" w:eastAsia="微软雅黑" w:cs="微软雅黑"/>
          <w:color w:val="auto"/>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（六）投标人参与人员</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67" w:name="_Toc76462341"/>
      <w:bookmarkStart w:id="168" w:name="_Toc106030896"/>
      <w:bookmarkStart w:id="169" w:name="_Toc6435"/>
      <w:bookmarkStart w:id="170" w:name="_Toc1612"/>
      <w:r>
        <w:rPr>
          <w:rFonts w:hint="eastAsia" w:ascii="微软雅黑" w:hAnsi="微软雅黑" w:eastAsia="微软雅黑" w:cs="微软雅黑"/>
          <w:color w:val="auto"/>
          <w:sz w:val="24"/>
        </w:rPr>
        <w:t>四、中标人的确认和变更</w:t>
      </w:r>
      <w:bookmarkEnd w:id="167"/>
      <w:bookmarkEnd w:id="168"/>
      <w:bookmarkEnd w:id="169"/>
      <w:bookmarkEnd w:id="170"/>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（一）中标人的确认</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采购人从评审报告提出的成交候选投标人中，按照排序由高到低的原则确定中标人。</w:t>
      </w:r>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（二）中标人的变更</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中标人拒绝与采购人签订合同的，采购人可以按照评标报告推荐的成交候选投标人顺序，顺延下一</w:t>
      </w:r>
      <w:r>
        <w:rPr>
          <w:rFonts w:hint="eastAsia" w:ascii="微软雅黑" w:hAnsi="微软雅黑" w:eastAsia="微软雅黑" w:cs="微软雅黑"/>
          <w:color w:val="auto"/>
          <w:sz w:val="24"/>
          <w:lang w:val="en-US" w:eastAsia="zh-CN"/>
        </w:rPr>
        <w:t>顺</w:t>
      </w:r>
      <w:r>
        <w:rPr>
          <w:rFonts w:hint="eastAsia" w:ascii="微软雅黑" w:hAnsi="微软雅黑" w:eastAsia="微软雅黑" w:cs="微软雅黑"/>
          <w:color w:val="auto"/>
          <w:sz w:val="24"/>
        </w:rPr>
        <w:t>位候选人为中标人，也可以重新开展采购活动。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71" w:name="_Toc21532"/>
      <w:bookmarkStart w:id="172" w:name="_Toc342913395"/>
      <w:bookmarkStart w:id="173" w:name="_Toc20309"/>
      <w:bookmarkStart w:id="174" w:name="_Toc102227321"/>
      <w:bookmarkStart w:id="175" w:name="_Toc106030897"/>
      <w:bookmarkStart w:id="176" w:name="_Toc76462342"/>
      <w:r>
        <w:rPr>
          <w:rFonts w:hint="eastAsia" w:ascii="微软雅黑" w:hAnsi="微软雅黑" w:eastAsia="微软雅黑" w:cs="微软雅黑"/>
          <w:color w:val="auto"/>
          <w:sz w:val="24"/>
        </w:rPr>
        <w:t>五、成交通知</w:t>
      </w:r>
      <w:bookmarkEnd w:id="171"/>
      <w:bookmarkEnd w:id="172"/>
      <w:bookmarkEnd w:id="173"/>
      <w:bookmarkEnd w:id="174"/>
      <w:bookmarkEnd w:id="175"/>
      <w:bookmarkEnd w:id="176"/>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（一）中标人确定后，采购管理处将在重庆医科大学附属儿童医院电子招投标平台（zbb.chcmu-com.cn）上发布成交结果公告，公告内容包括项目名称及</w:t>
      </w:r>
      <w:r>
        <w:rPr>
          <w:rFonts w:hint="eastAsia" w:ascii="微软雅黑" w:hAnsi="微软雅黑" w:eastAsia="微软雅黑" w:cs="微软雅黑"/>
          <w:color w:val="auto"/>
          <w:sz w:val="24"/>
          <w:szCs w:val="24"/>
          <w:lang w:val="en-US" w:eastAsia="zh-CN"/>
        </w:rPr>
        <w:t>中标人</w:t>
      </w:r>
      <w:r>
        <w:rPr>
          <w:rFonts w:hint="eastAsia" w:ascii="微软雅黑" w:hAnsi="微软雅黑" w:eastAsia="微软雅黑" w:cs="微软雅黑"/>
          <w:color w:val="auto"/>
          <w:sz w:val="24"/>
          <w:szCs w:val="24"/>
        </w:rPr>
        <w:t>名称。结果公告发出同时，采购管理处将平台内发出《中标通知书》。</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77" w:name="_Toc25162"/>
      <w:bookmarkStart w:id="178" w:name="_Toc106030898"/>
      <w:bookmarkStart w:id="179" w:name="_Toc76462343"/>
      <w:bookmarkStart w:id="180" w:name="_Toc21448"/>
      <w:r>
        <w:rPr>
          <w:rFonts w:hint="eastAsia" w:ascii="微软雅黑" w:hAnsi="微软雅黑" w:eastAsia="微软雅黑" w:cs="微软雅黑"/>
          <w:color w:val="auto"/>
          <w:sz w:val="24"/>
        </w:rPr>
        <w:t>六、质疑处理</w:t>
      </w:r>
      <w:bookmarkEnd w:id="177"/>
      <w:bookmarkEnd w:id="178"/>
      <w:bookmarkEnd w:id="179"/>
      <w:bookmarkEnd w:id="180"/>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（一）质疑时限、内容</w:t>
      </w:r>
    </w:p>
    <w:p>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1.质疑时限</w:t>
      </w:r>
    </w:p>
    <w:p>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1.1对采购文件的质疑。</w:t>
      </w:r>
      <w:r>
        <w:rPr>
          <w:rFonts w:hint="eastAsia" w:ascii="微软雅黑" w:hAnsi="微软雅黑" w:eastAsia="微软雅黑" w:cs="微软雅黑"/>
          <w:color w:val="auto"/>
          <w:sz w:val="24"/>
          <w:szCs w:val="24"/>
        </w:rPr>
        <w:t>投标人如对本比选文件有任何实质性疑问，应当以书面形式向采购人提出质疑，并须将该质疑文件纸质版（须加盖提出质疑单位的公章确认）在投标截止时间之前送达采购人。</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1.2投标人认为采购过程、成交结果使自己的权益受到损害的，可以在知道或</w:t>
      </w:r>
      <w:r>
        <w:rPr>
          <w:rFonts w:hint="eastAsia" w:ascii="微软雅黑" w:hAnsi="微软雅黑" w:eastAsia="微软雅黑" w:cs="微软雅黑"/>
          <w:color w:val="auto"/>
          <w:sz w:val="24"/>
          <w:lang w:val="en-US" w:eastAsia="zh-CN"/>
        </w:rPr>
        <w:t>应当知道</w:t>
      </w:r>
      <w:r>
        <w:rPr>
          <w:rFonts w:hint="eastAsia" w:ascii="微软雅黑" w:hAnsi="微软雅黑" w:eastAsia="微软雅黑" w:cs="微软雅黑"/>
          <w:color w:val="auto"/>
          <w:sz w:val="24"/>
        </w:rPr>
        <w:t>其权益受到损害之日起5个工作日内，以</w:t>
      </w:r>
      <w:r>
        <w:rPr>
          <w:rFonts w:hint="eastAsia" w:ascii="微软雅黑" w:hAnsi="微软雅黑" w:eastAsia="微软雅黑" w:cs="微软雅黑"/>
          <w:color w:val="auto"/>
          <w:sz w:val="24"/>
          <w:lang w:val="en-US" w:eastAsia="zh-CN"/>
        </w:rPr>
        <w:t>提交</w:t>
      </w:r>
      <w:r>
        <w:rPr>
          <w:rFonts w:hint="eastAsia" w:ascii="微软雅黑" w:hAnsi="微软雅黑" w:eastAsia="微软雅黑" w:cs="微软雅黑"/>
          <w:color w:val="auto"/>
          <w:sz w:val="24"/>
          <w:szCs w:val="24"/>
        </w:rPr>
        <w:t>质疑文件纸质版（须加盖提出质疑单位的公章确认）</w:t>
      </w:r>
      <w:r>
        <w:rPr>
          <w:rFonts w:hint="eastAsia" w:ascii="微软雅黑" w:hAnsi="微软雅黑" w:eastAsia="微软雅黑" w:cs="微软雅黑"/>
          <w:color w:val="auto"/>
          <w:sz w:val="24"/>
          <w:szCs w:val="24"/>
          <w:lang w:eastAsia="zh-CN"/>
        </w:rPr>
        <w:t>的</w:t>
      </w:r>
      <w:r>
        <w:rPr>
          <w:rFonts w:hint="eastAsia" w:ascii="微软雅黑" w:hAnsi="微软雅黑" w:eastAsia="微软雅黑" w:cs="微软雅黑"/>
          <w:color w:val="auto"/>
          <w:sz w:val="24"/>
          <w:szCs w:val="24"/>
          <w:lang w:val="en-US" w:eastAsia="zh-CN"/>
        </w:rPr>
        <w:t>形式</w:t>
      </w:r>
      <w:r>
        <w:rPr>
          <w:rFonts w:hint="eastAsia" w:ascii="微软雅黑" w:hAnsi="微软雅黑" w:eastAsia="微软雅黑" w:cs="微软雅黑"/>
          <w:color w:val="auto"/>
          <w:sz w:val="24"/>
        </w:rPr>
        <w:t>向采购人提出质疑。</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2.1投标人的姓名或者名称、地址、邮编、联系人及联系电话；</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2.2质疑项目的名称、项目号以及采购执行编号；</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2.3具体、明确的质疑事项和与质疑事项相关的请求；</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2.4事实依据；</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2.5必要的法律依据；</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2.6提出质疑的日期；</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3.投标人为自然人的，质疑函应当由本人签字；投标人为法人或者</w:t>
      </w:r>
      <w:r>
        <w:rPr>
          <w:rFonts w:hint="eastAsia" w:ascii="微软雅黑" w:hAnsi="微软雅黑" w:eastAsia="微软雅黑" w:cs="微软雅黑"/>
          <w:color w:val="auto"/>
          <w:sz w:val="24"/>
          <w:lang w:eastAsia="zh-CN"/>
        </w:rPr>
        <w:t>其他</w:t>
      </w:r>
      <w:r>
        <w:rPr>
          <w:rFonts w:hint="eastAsia" w:ascii="微软雅黑" w:hAnsi="微软雅黑" w:eastAsia="微软雅黑" w:cs="微软雅黑"/>
          <w:color w:val="auto"/>
          <w:sz w:val="24"/>
        </w:rPr>
        <w:t>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（二）质疑答复</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采购人应当在收到投标人的书面质疑后7个工作日内作出答复，并以书面形式通知质疑投标人和</w:t>
      </w:r>
      <w:r>
        <w:rPr>
          <w:rFonts w:hint="eastAsia" w:ascii="微软雅黑" w:hAnsi="微软雅黑" w:eastAsia="微软雅黑" w:cs="微软雅黑"/>
          <w:color w:val="auto"/>
          <w:sz w:val="24"/>
          <w:lang w:eastAsia="zh-CN"/>
        </w:rPr>
        <w:t>其他</w:t>
      </w:r>
      <w:r>
        <w:rPr>
          <w:rFonts w:hint="eastAsia" w:ascii="微软雅黑" w:hAnsi="微软雅黑" w:eastAsia="微软雅黑" w:cs="微软雅黑"/>
          <w:color w:val="auto"/>
          <w:sz w:val="24"/>
        </w:rPr>
        <w:t>有关投标人。</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（三）投标人应在质疑期内一次性提出针对同一采购程序环节的质疑。</w:t>
      </w:r>
      <w:bookmarkStart w:id="181" w:name="_Toc28334"/>
      <w:bookmarkStart w:id="182" w:name="_Toc106030899"/>
      <w:bookmarkStart w:id="183" w:name="_Toc76462344"/>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84" w:name="_Toc10669"/>
      <w:r>
        <w:rPr>
          <w:rFonts w:hint="eastAsia" w:ascii="微软雅黑" w:hAnsi="微软雅黑" w:eastAsia="微软雅黑" w:cs="微软雅黑"/>
          <w:color w:val="auto"/>
          <w:sz w:val="24"/>
        </w:rPr>
        <w:t>七、</w:t>
      </w:r>
      <w:bookmarkEnd w:id="181"/>
      <w:bookmarkEnd w:id="182"/>
      <w:bookmarkEnd w:id="183"/>
      <w:bookmarkStart w:id="185" w:name="_Toc102227322"/>
      <w:bookmarkStart w:id="186" w:name="_Toc76462346"/>
      <w:bookmarkStart w:id="187" w:name="_Toc106030901"/>
      <w:bookmarkStart w:id="188" w:name="_Toc342913396"/>
      <w:bookmarkStart w:id="189" w:name="_Toc3372"/>
      <w:bookmarkStart w:id="190" w:name="_Toc11641055"/>
      <w:bookmarkStart w:id="191" w:name="_Toc12789059"/>
      <w:r>
        <w:rPr>
          <w:rFonts w:hint="eastAsia" w:ascii="微软雅黑" w:hAnsi="微软雅黑" w:eastAsia="微软雅黑" w:cs="微软雅黑"/>
          <w:color w:val="auto"/>
          <w:sz w:val="24"/>
        </w:rPr>
        <w:t>签订</w:t>
      </w:r>
      <w:bookmarkEnd w:id="185"/>
      <w:r>
        <w:rPr>
          <w:rFonts w:hint="eastAsia" w:ascii="微软雅黑" w:hAnsi="微软雅黑" w:eastAsia="微软雅黑" w:cs="微软雅黑"/>
          <w:color w:val="auto"/>
          <w:sz w:val="24"/>
        </w:rPr>
        <w:t>合同</w:t>
      </w:r>
      <w:bookmarkEnd w:id="184"/>
      <w:bookmarkEnd w:id="186"/>
      <w:bookmarkEnd w:id="187"/>
      <w:bookmarkEnd w:id="188"/>
      <w:bookmarkEnd w:id="189"/>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（一）中标人应于收到中标通知书之日起5个工作日内，按照中标项目的公开比选采购文件与响应文件递交采购合同。</w:t>
      </w:r>
    </w:p>
    <w:p>
      <w:pPr>
        <w:spacing w:line="400" w:lineRule="exact"/>
        <w:ind w:firstLine="360" w:firstLineChars="15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（二）中标人未在规定时间内递交合同或放弃中标资格，则采购人将有充分的理由废除授标，将中标人纳入采购人失信投标人名单并扣除</w:t>
      </w:r>
      <w:r>
        <w:rPr>
          <w:rFonts w:hint="eastAsia" w:ascii="微软雅黑" w:hAnsi="微软雅黑" w:eastAsia="微软雅黑" w:cs="微软雅黑"/>
          <w:color w:val="auto"/>
          <w:sz w:val="24"/>
          <w:lang w:val="en-US" w:eastAsia="zh-CN"/>
        </w:rPr>
        <w:t>中标人</w:t>
      </w:r>
      <w:r>
        <w:rPr>
          <w:rFonts w:hint="eastAsia" w:ascii="微软雅黑" w:hAnsi="微软雅黑" w:eastAsia="微软雅黑" w:cs="微软雅黑"/>
          <w:color w:val="auto"/>
          <w:sz w:val="24"/>
        </w:rPr>
        <w:t>项目的履约保证金（如果有），两年之内不得参与采购人任何级别的招标项目。</w:t>
      </w:r>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（三）如采购人因中标人未按时递交合同或放弃中标资格而造成损失，中标人应予以赔偿，同时依法承担相应法律责任。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color w:val="auto"/>
        </w:rPr>
        <w:sectPr>
          <w:footerReference r:id="rId14" w:type="default"/>
          <w:footerReference r:id="rId15"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color w:val="auto"/>
          <w:sz w:val="24"/>
        </w:rPr>
        <w:t>（四）中标人应当按照合同约定履行义务，完成中标项目，不得将中标项目转让(转包)或分包给他人。</w:t>
      </w:r>
      <w:bookmarkEnd w:id="190"/>
      <w:bookmarkEnd w:id="191"/>
    </w:p>
    <w:p>
      <w:pPr>
        <w:pStyle w:val="4"/>
        <w:spacing w:before="200" w:after="200" w:line="240" w:lineRule="auto"/>
        <w:jc w:val="center"/>
        <w:rPr>
          <w:rFonts w:hint="eastAsia" w:ascii="微软雅黑" w:hAnsi="微软雅黑" w:eastAsia="微软雅黑" w:cs="微软雅黑"/>
          <w:color w:val="auto"/>
          <w:sz w:val="44"/>
        </w:rPr>
      </w:pPr>
      <w:bookmarkStart w:id="192" w:name="_Hlt41879464"/>
      <w:bookmarkEnd w:id="192"/>
      <w:bookmarkStart w:id="193" w:name="_Toc13170"/>
      <w:r>
        <w:rPr>
          <w:rFonts w:hint="eastAsia" w:ascii="微软雅黑" w:hAnsi="微软雅黑" w:eastAsia="微软雅黑" w:cs="微软雅黑"/>
          <w:color w:val="auto"/>
          <w:sz w:val="44"/>
        </w:rPr>
        <w:t>第</w:t>
      </w:r>
      <w:r>
        <w:rPr>
          <w:rFonts w:hint="eastAsia" w:ascii="微软雅黑" w:hAnsi="微软雅黑" w:eastAsia="微软雅黑" w:cs="微软雅黑"/>
          <w:color w:val="auto"/>
          <w:sz w:val="44"/>
          <w:lang w:val="en-US" w:eastAsia="zh-CN"/>
        </w:rPr>
        <w:t>六</w:t>
      </w:r>
      <w:r>
        <w:rPr>
          <w:rFonts w:hint="eastAsia" w:ascii="微软雅黑" w:hAnsi="微软雅黑" w:eastAsia="微软雅黑" w:cs="微软雅黑"/>
          <w:color w:val="auto"/>
          <w:sz w:val="44"/>
        </w:rPr>
        <w:t>篇  响应文件编制要求</w:t>
      </w:r>
      <w:bookmarkEnd w:id="193"/>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一、经济部分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二、技术部分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（一）技术响应偏离表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（二）技术部分应答材料</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三、商务部分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（一）商务响应偏离表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（二）商务部分应答材料</w:t>
      </w:r>
    </w:p>
    <w:p>
      <w:pPr>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rPr>
        <w:t>四、资格条件及</w:t>
      </w:r>
      <w:r>
        <w:rPr>
          <w:rFonts w:hint="eastAsia" w:ascii="微软雅黑" w:hAnsi="微软雅黑" w:eastAsia="微软雅黑" w:cs="微软雅黑"/>
          <w:color w:val="auto"/>
          <w:sz w:val="24"/>
          <w:szCs w:val="24"/>
          <w:lang w:eastAsia="zh-CN"/>
        </w:rPr>
        <w:t>其他</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（四）投标函（格式）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（五）基本资格条件承诺函（格式）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（六）特定资格条件证书或证明文件</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w:t>
      </w:r>
      <w:r>
        <w:rPr>
          <w:rFonts w:hint="eastAsia" w:ascii="微软雅黑" w:hAnsi="微软雅黑" w:eastAsia="微软雅黑" w:cs="微软雅黑"/>
          <w:color w:val="auto"/>
          <w:sz w:val="24"/>
        </w:rPr>
        <w:t>综合评标响应情况表</w:t>
      </w:r>
    </w:p>
    <w:p>
      <w:pPr>
        <w:snapToGrid w:val="0"/>
        <w:spacing w:line="360" w:lineRule="auto"/>
        <w:rPr>
          <w:rFonts w:hint="eastAsia" w:ascii="微软雅黑" w:hAnsi="微软雅黑" w:eastAsia="微软雅黑" w:cs="微软雅黑"/>
          <w:color w:val="auto"/>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240" w:lineRule="auto"/>
        <w:jc w:val="both"/>
        <w:outlineLvl w:val="0"/>
        <w:rPr>
          <w:rFonts w:hint="eastAsia" w:ascii="微软雅黑" w:hAnsi="微软雅黑" w:eastAsia="微软雅黑" w:cs="微软雅黑"/>
          <w:color w:val="auto"/>
          <w:sz w:val="24"/>
          <w:szCs w:val="24"/>
          <w:lang w:val="en-US" w:eastAsia="zh-CN"/>
        </w:rPr>
      </w:pPr>
      <w:bookmarkStart w:id="194" w:name="_Toc15994"/>
      <w:bookmarkStart w:id="195" w:name="_Toc106030906"/>
      <w:bookmarkStart w:id="196" w:name="_Toc313008356"/>
      <w:bookmarkStart w:id="197" w:name="_Toc283382454"/>
      <w:bookmarkStart w:id="198" w:name="_Toc76462350"/>
      <w:bookmarkStart w:id="199" w:name="_Toc342913419"/>
      <w:bookmarkStart w:id="200" w:name="_Toc313888360"/>
      <w:bookmarkStart w:id="201" w:name="_Toc12789073"/>
      <w:r>
        <w:rPr>
          <w:rFonts w:hint="eastAsia" w:ascii="微软雅黑" w:hAnsi="微软雅黑" w:eastAsia="微软雅黑" w:cs="微软雅黑"/>
          <w:color w:val="auto"/>
          <w:sz w:val="24"/>
          <w:szCs w:val="24"/>
          <w:lang w:val="en-US" w:eastAsia="zh-CN"/>
        </w:rPr>
        <w:t>封面</w:t>
      </w:r>
    </w:p>
    <w:p>
      <w:pPr>
        <w:spacing w:line="1600" w:lineRule="exact"/>
        <w:jc w:val="center"/>
        <w:outlineLvl w:val="0"/>
        <w:rPr>
          <w:rFonts w:hint="eastAsia" w:ascii="微软雅黑" w:hAnsi="微软雅黑" w:eastAsia="微软雅黑" w:cs="微软雅黑"/>
          <w:color w:val="auto"/>
          <w:sz w:val="130"/>
          <w:szCs w:val="130"/>
        </w:rPr>
      </w:pPr>
    </w:p>
    <w:p>
      <w:pPr>
        <w:spacing w:line="1600" w:lineRule="exact"/>
        <w:jc w:val="center"/>
        <w:outlineLvl w:val="0"/>
        <w:rPr>
          <w:rFonts w:hint="eastAsia" w:ascii="微软雅黑" w:hAnsi="微软雅黑" w:eastAsia="微软雅黑" w:cs="微软雅黑"/>
          <w:color w:val="auto"/>
          <w:sz w:val="130"/>
          <w:szCs w:val="130"/>
          <w:lang w:val="en-US" w:eastAsia="zh-CN"/>
        </w:rPr>
      </w:pPr>
      <w:r>
        <w:rPr>
          <w:rFonts w:hint="eastAsia" w:ascii="微软雅黑" w:hAnsi="微软雅黑" w:eastAsia="微软雅黑" w:cs="微软雅黑"/>
          <w:color w:val="auto"/>
          <w:sz w:val="130"/>
          <w:szCs w:val="130"/>
          <w:lang w:val="en-US" w:eastAsia="zh-CN"/>
        </w:rPr>
        <w:t>公开比选采购</w:t>
      </w:r>
    </w:p>
    <w:p>
      <w:pPr>
        <w:spacing w:line="1600" w:lineRule="exact"/>
        <w:jc w:val="center"/>
        <w:outlineLvl w:val="0"/>
        <w:rPr>
          <w:rFonts w:hint="eastAsia" w:ascii="微软雅黑" w:hAnsi="微软雅黑" w:eastAsia="微软雅黑" w:cs="微软雅黑"/>
          <w:color w:val="auto"/>
          <w:sz w:val="130"/>
          <w:szCs w:val="130"/>
          <w:lang w:val="en-US" w:eastAsia="zh-CN"/>
        </w:rPr>
      </w:pPr>
      <w:r>
        <w:rPr>
          <w:rFonts w:hint="eastAsia" w:ascii="微软雅黑" w:hAnsi="微软雅黑" w:eastAsia="微软雅黑" w:cs="微软雅黑"/>
          <w:color w:val="auto"/>
          <w:sz w:val="130"/>
          <w:szCs w:val="130"/>
          <w:lang w:val="en-US" w:eastAsia="zh-CN"/>
        </w:rPr>
        <w:t>响应文件</w:t>
      </w:r>
    </w:p>
    <w:p>
      <w:pPr>
        <w:spacing w:line="600" w:lineRule="exact"/>
        <w:jc w:val="center"/>
        <w:outlineLvl w:val="0"/>
        <w:rPr>
          <w:rFonts w:hint="eastAsia" w:ascii="微软雅黑" w:hAnsi="微软雅黑" w:eastAsia="微软雅黑" w:cs="微软雅黑"/>
          <w:color w:val="auto"/>
          <w:sz w:val="44"/>
          <w:szCs w:val="44"/>
          <w:lang w:eastAsia="zh-CN"/>
        </w:rPr>
      </w:pPr>
      <w:r>
        <w:rPr>
          <w:rFonts w:hint="eastAsia" w:ascii="微软雅黑" w:hAnsi="微软雅黑" w:eastAsia="微软雅黑" w:cs="微软雅黑"/>
          <w:color w:val="auto"/>
          <w:sz w:val="44"/>
          <w:szCs w:val="44"/>
          <w:lang w:eastAsia="zh-CN"/>
        </w:rPr>
        <w:t>（</w:t>
      </w:r>
      <w:r>
        <w:rPr>
          <w:rFonts w:hint="eastAsia" w:ascii="微软雅黑" w:hAnsi="微软雅黑" w:eastAsia="微软雅黑" w:cs="微软雅黑"/>
          <w:color w:val="auto"/>
          <w:sz w:val="44"/>
          <w:szCs w:val="44"/>
          <w:lang w:val="en-US" w:eastAsia="zh-CN"/>
        </w:rPr>
        <w:t>正本/副本</w:t>
      </w:r>
      <w:r>
        <w:rPr>
          <w:rFonts w:hint="eastAsia" w:ascii="微软雅黑" w:hAnsi="微软雅黑" w:eastAsia="微软雅黑" w:cs="微软雅黑"/>
          <w:color w:val="auto"/>
          <w:sz w:val="44"/>
          <w:szCs w:val="44"/>
          <w:lang w:eastAsia="zh-CN"/>
        </w:rPr>
        <w:t>）</w:t>
      </w:r>
    </w:p>
    <w:p>
      <w:pPr>
        <w:spacing w:line="700" w:lineRule="exact"/>
        <w:jc w:val="both"/>
        <w:rPr>
          <w:rFonts w:hint="eastAsia" w:ascii="微软雅黑" w:hAnsi="微软雅黑" w:eastAsia="微软雅黑" w:cs="微软雅黑"/>
          <w:color w:val="auto"/>
          <w:spacing w:val="80"/>
          <w:sz w:val="130"/>
          <w:szCs w:val="130"/>
        </w:rPr>
      </w:pPr>
    </w:p>
    <w:p>
      <w:pPr>
        <w:spacing w:line="700" w:lineRule="exact"/>
        <w:jc w:val="center"/>
        <w:rPr>
          <w:rFonts w:hint="eastAsia" w:ascii="微软雅黑" w:hAnsi="微软雅黑" w:eastAsia="微软雅黑" w:cs="微软雅黑"/>
          <w:color w:val="auto"/>
          <w:spacing w:val="80"/>
          <w:sz w:val="130"/>
          <w:szCs w:val="130"/>
        </w:rPr>
      </w:pPr>
    </w:p>
    <w:p>
      <w:pPr>
        <w:spacing w:line="360" w:lineRule="auto"/>
        <w:ind w:firstLine="1080" w:firstLineChars="300"/>
        <w:outlineLvl w:val="0"/>
        <w:rPr>
          <w:rFonts w:hint="eastAsia" w:ascii="微软雅黑" w:hAnsi="微软雅黑" w:eastAsia="微软雅黑" w:cs="微软雅黑"/>
          <w:color w:val="auto"/>
          <w:sz w:val="36"/>
          <w:szCs w:val="36"/>
          <w:lang w:val="en-US" w:eastAsia="zh-CN"/>
        </w:rPr>
      </w:pPr>
      <w:r>
        <w:rPr>
          <w:rFonts w:hint="eastAsia" w:ascii="微软雅黑" w:hAnsi="微软雅黑" w:eastAsia="微软雅黑" w:cs="微软雅黑"/>
          <w:color w:val="auto"/>
          <w:sz w:val="36"/>
          <w:szCs w:val="36"/>
          <w:lang w:val="en-US" w:eastAsia="zh-CN"/>
        </w:rPr>
        <w:t>项目编号</w:t>
      </w:r>
      <w:r>
        <w:rPr>
          <w:rFonts w:hint="eastAsia" w:ascii="微软雅黑" w:hAnsi="微软雅黑" w:eastAsia="微软雅黑" w:cs="微软雅黑"/>
          <w:color w:val="auto"/>
          <w:sz w:val="36"/>
          <w:szCs w:val="36"/>
        </w:rPr>
        <w:t>：</w:t>
      </w:r>
      <w:r>
        <w:rPr>
          <w:rFonts w:hint="eastAsia" w:ascii="微软雅黑" w:hAnsi="微软雅黑" w:eastAsia="微软雅黑" w:cs="微软雅黑"/>
          <w:color w:val="auto"/>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lang w:val="en-US" w:eastAsia="zh-CN"/>
        </w:rPr>
        <w:t>项目名称</w:t>
      </w:r>
      <w:r>
        <w:rPr>
          <w:rFonts w:hint="eastAsia" w:ascii="微软雅黑" w:hAnsi="微软雅黑" w:eastAsia="微软雅黑" w:cs="微软雅黑"/>
          <w:color w:val="auto"/>
          <w:sz w:val="36"/>
          <w:szCs w:val="36"/>
        </w:rPr>
        <w:t>：</w:t>
      </w:r>
      <w:r>
        <w:rPr>
          <w:rFonts w:hint="eastAsia" w:ascii="微软雅黑" w:hAnsi="微软雅黑" w:eastAsia="微软雅黑" w:cs="微软雅黑"/>
          <w:color w:val="auto"/>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color w:val="auto"/>
          <w:sz w:val="36"/>
          <w:szCs w:val="36"/>
          <w:u w:val="none"/>
          <w:lang w:val="en-US" w:eastAsia="zh-CN"/>
        </w:rPr>
      </w:pPr>
      <w:r>
        <w:rPr>
          <w:rFonts w:hint="eastAsia" w:ascii="微软雅黑" w:hAnsi="微软雅黑" w:eastAsia="微软雅黑" w:cs="微软雅黑"/>
          <w:color w:val="auto"/>
          <w:sz w:val="36"/>
          <w:szCs w:val="36"/>
          <w:u w:val="none"/>
          <w:lang w:val="en-US" w:eastAsia="zh-CN"/>
        </w:rPr>
        <w:t>投标人名称：</w:t>
      </w:r>
      <w:r>
        <w:rPr>
          <w:rFonts w:hint="eastAsia" w:ascii="微软雅黑" w:hAnsi="微软雅黑" w:eastAsia="微软雅黑" w:cs="微软雅黑"/>
          <w:color w:val="auto"/>
          <w:sz w:val="36"/>
          <w:szCs w:val="36"/>
          <w:u w:val="single"/>
          <w:lang w:val="en-US" w:eastAsia="zh-CN"/>
        </w:rPr>
        <w:t xml:space="preserve">                         </w:t>
      </w:r>
    </w:p>
    <w:p>
      <w:pPr>
        <w:spacing w:line="360" w:lineRule="auto"/>
        <w:ind w:firstLine="1120" w:firstLineChars="400"/>
        <w:outlineLvl w:val="0"/>
        <w:rPr>
          <w:rFonts w:hint="eastAsia"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28"/>
          <w:szCs w:val="28"/>
          <w:u w:val="none"/>
          <w:lang w:val="en-US" w:eastAsia="zh-CN"/>
        </w:rPr>
        <w:t xml:space="preserve">投标人法定代表人（或授权代理人）： </w:t>
      </w:r>
      <w:r>
        <w:rPr>
          <w:rFonts w:hint="eastAsia" w:ascii="微软雅黑" w:hAnsi="微软雅黑" w:eastAsia="微软雅黑" w:cs="微软雅黑"/>
          <w:color w:val="auto"/>
          <w:sz w:val="28"/>
          <w:szCs w:val="28"/>
          <w:u w:val="single"/>
          <w:lang w:val="en-US" w:eastAsia="zh-CN"/>
        </w:rPr>
        <w:t xml:space="preserve">         </w:t>
      </w:r>
      <w:r>
        <w:rPr>
          <w:rFonts w:hint="eastAsia" w:ascii="微软雅黑" w:hAnsi="微软雅黑" w:eastAsia="微软雅黑" w:cs="微软雅黑"/>
          <w:color w:val="auto"/>
          <w:sz w:val="36"/>
          <w:szCs w:val="36"/>
          <w:u w:val="single"/>
          <w:lang w:val="en-US" w:eastAsia="zh-CN"/>
        </w:rPr>
        <w:t xml:space="preserve">   </w:t>
      </w:r>
    </w:p>
    <w:p>
      <w:pPr>
        <w:spacing w:line="360" w:lineRule="auto"/>
        <w:ind w:firstLine="1080" w:firstLineChars="300"/>
        <w:jc w:val="left"/>
        <w:outlineLvl w:val="0"/>
        <w:rPr>
          <w:rFonts w:hint="eastAsia" w:ascii="微软雅黑" w:hAnsi="微软雅黑" w:eastAsia="微软雅黑" w:cs="微软雅黑"/>
          <w:b/>
          <w:color w:val="auto"/>
          <w:sz w:val="36"/>
          <w:szCs w:val="36"/>
          <w:lang w:val="en-US"/>
        </w:rPr>
      </w:pPr>
      <w:r>
        <w:rPr>
          <w:rFonts w:hint="eastAsia" w:ascii="微软雅黑" w:hAnsi="微软雅黑" w:eastAsia="微软雅黑" w:cs="微软雅黑"/>
          <w:color w:val="auto"/>
          <w:sz w:val="36"/>
          <w:szCs w:val="36"/>
          <w:u w:val="none"/>
          <w:lang w:val="en-US" w:eastAsia="zh-CN"/>
        </w:rPr>
        <w:t>联系电话：</w:t>
      </w:r>
      <w:r>
        <w:rPr>
          <w:rFonts w:hint="eastAsia" w:ascii="微软雅黑" w:hAnsi="微软雅黑" w:eastAsia="微软雅黑" w:cs="微软雅黑"/>
          <w:color w:val="auto"/>
          <w:sz w:val="36"/>
          <w:szCs w:val="36"/>
          <w:u w:val="single"/>
          <w:lang w:val="en-US" w:eastAsia="zh-CN"/>
        </w:rPr>
        <w:t xml:space="preserve">                           </w:t>
      </w:r>
    </w:p>
    <w:p>
      <w:pPr>
        <w:spacing w:line="700" w:lineRule="exact"/>
        <w:ind w:firstLine="1749" w:firstLineChars="486"/>
        <w:rPr>
          <w:rFonts w:hint="eastAsia" w:ascii="微软雅黑" w:hAnsi="微软雅黑" w:eastAsia="微软雅黑" w:cs="微软雅黑"/>
          <w:color w:val="auto"/>
          <w:sz w:val="36"/>
          <w:szCs w:val="36"/>
        </w:rPr>
      </w:pPr>
    </w:p>
    <w:p>
      <w:pPr>
        <w:spacing w:line="700" w:lineRule="exact"/>
        <w:ind w:firstLine="2469" w:firstLineChars="686"/>
        <w:rPr>
          <w:rFonts w:hint="eastAsia" w:ascii="微软雅黑" w:hAnsi="微软雅黑" w:eastAsia="微软雅黑" w:cs="微软雅黑"/>
          <w:color w:val="auto"/>
          <w:sz w:val="36"/>
          <w:szCs w:val="36"/>
          <w:lang w:val="en-US" w:eastAsia="zh-CN"/>
        </w:rPr>
      </w:pPr>
      <w:r>
        <w:rPr>
          <w:rFonts w:hint="eastAsia" w:ascii="微软雅黑" w:hAnsi="微软雅黑" w:eastAsia="微软雅黑" w:cs="微软雅黑"/>
          <w:color w:val="auto"/>
          <w:sz w:val="36"/>
          <w:szCs w:val="36"/>
          <w:lang w:val="en-US" w:eastAsia="zh-CN"/>
        </w:rPr>
        <w:t>重庆医科大学附属儿童医院</w:t>
      </w:r>
    </w:p>
    <w:p>
      <w:pPr>
        <w:spacing w:line="240" w:lineRule="auto"/>
        <w:jc w:val="center"/>
        <w:outlineLvl w:val="0"/>
        <w:rPr>
          <w:rFonts w:hint="eastAsia" w:ascii="微软雅黑" w:hAnsi="微软雅黑" w:eastAsia="微软雅黑" w:cs="微软雅黑"/>
          <w:color w:val="auto"/>
          <w:sz w:val="72"/>
        </w:rPr>
        <w:sectPr>
          <w:headerReference r:id="rId17" w:type="first"/>
          <w:footerReference r:id="rId20" w:type="first"/>
          <w:headerReference r:id="rId16" w:type="default"/>
          <w:footerReference r:id="rId18" w:type="default"/>
          <w:footerReference r:id="rId19" w:type="even"/>
          <w:pgSz w:w="11907" w:h="16840"/>
          <w:pgMar w:top="1134" w:right="1191" w:bottom="1134" w:left="1304" w:header="851" w:footer="992" w:gutter="0"/>
          <w:pgNumType w:fmt="decimal"/>
          <w:cols w:space="720" w:num="1"/>
          <w:titlePg/>
          <w:docGrid w:linePitch="380" w:charSpace="-5735"/>
        </w:sectPr>
      </w:pPr>
      <w:r>
        <w:rPr>
          <w:rFonts w:hint="eastAsia" w:ascii="微软雅黑" w:hAnsi="微软雅黑" w:eastAsia="微软雅黑" w:cs="微软雅黑"/>
          <w:color w:val="auto"/>
          <w:sz w:val="36"/>
          <w:szCs w:val="36"/>
        </w:rPr>
        <w:t>二〇二X年X月</w:t>
      </w:r>
    </w:p>
    <w:bookmarkEnd w:id="194"/>
    <w:bookmarkEnd w:id="195"/>
    <w:bookmarkEnd w:id="196"/>
    <w:bookmarkEnd w:id="197"/>
    <w:bookmarkEnd w:id="198"/>
    <w:bookmarkEnd w:id="199"/>
    <w:bookmarkEnd w:id="200"/>
    <w:bookmarkEnd w:id="201"/>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02" w:name="_Toc5191"/>
      <w:bookmarkStart w:id="203" w:name="_Toc14353"/>
      <w:bookmarkStart w:id="204" w:name="_Toc7890"/>
      <w:r>
        <w:rPr>
          <w:rFonts w:hint="eastAsia" w:ascii="微软雅黑" w:hAnsi="微软雅黑" w:eastAsia="微软雅黑" w:cs="微软雅黑"/>
          <w:color w:val="auto"/>
          <w:sz w:val="24"/>
        </w:rPr>
        <w:t>一、经济部分</w:t>
      </w:r>
      <w:bookmarkEnd w:id="202"/>
      <w:bookmarkEnd w:id="203"/>
      <w:bookmarkEnd w:id="204"/>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（一）开标一览表</w:t>
      </w:r>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开标一览表</w:t>
      </w:r>
    </w:p>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58"/>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投标人名称</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产品名称</w:t>
            </w:r>
          </w:p>
        </w:tc>
        <w:tc>
          <w:tcPr>
            <w:tcW w:w="3668" w:type="dxa"/>
            <w:gridSpan w:val="10"/>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60"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生产企业</w:t>
            </w:r>
          </w:p>
        </w:tc>
        <w:tc>
          <w:tcPr>
            <w:tcW w:w="354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规格/型号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00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产地</w:t>
            </w:r>
          </w:p>
        </w:tc>
        <w:tc>
          <w:tcPr>
            <w:tcW w:w="90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2190" w:type="dxa"/>
            <w:gridSpan w:val="8"/>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医疗器械注册证号</w:t>
            </w:r>
          </w:p>
        </w:tc>
        <w:tc>
          <w:tcPr>
            <w:tcW w:w="3195" w:type="dxa"/>
            <w:gridSpan w:val="2"/>
            <w:vAlign w:val="center"/>
          </w:tcPr>
          <w:p>
            <w:pPr>
              <w:tabs>
                <w:tab w:val="left" w:pos="6300"/>
              </w:tabs>
              <w:snapToGrid w:val="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单价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765"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计</w:t>
            </w:r>
            <w:r>
              <w:rPr>
                <w:rFonts w:hint="eastAsia" w:ascii="微软雅黑" w:hAnsi="微软雅黑" w:eastAsia="微软雅黑" w:cs="微软雅黑"/>
                <w:color w:val="auto"/>
                <w:sz w:val="24"/>
                <w:szCs w:val="24"/>
                <w:lang w:val="en-US" w:eastAsia="zh-CN"/>
              </w:rPr>
              <w:t>量</w:t>
            </w:r>
            <w:r>
              <w:rPr>
                <w:rFonts w:hint="eastAsia" w:ascii="微软雅黑" w:hAnsi="微软雅黑" w:eastAsia="微软雅黑" w:cs="微软雅黑"/>
                <w:color w:val="auto"/>
                <w:sz w:val="24"/>
                <w:szCs w:val="24"/>
              </w:rPr>
              <w:t>单位</w:t>
            </w:r>
          </w:p>
        </w:tc>
        <w:tc>
          <w:tcPr>
            <w:tcW w:w="687"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投标数量</w:t>
            </w:r>
          </w:p>
        </w:tc>
        <w:tc>
          <w:tcPr>
            <w:tcW w:w="109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394"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合计</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质保期后维保费：设备成交总价的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质保期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（月）</w:t>
            </w:r>
          </w:p>
        </w:tc>
        <w:tc>
          <w:tcPr>
            <w:tcW w:w="1418"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交货期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41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维修到场时间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（小时）</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备用机到场时间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156"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821" w:type="dxa"/>
            <w:gridSpan w:val="6"/>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培训人员数量/</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培训时长</w:t>
            </w:r>
          </w:p>
        </w:tc>
        <w:tc>
          <w:tcPr>
            <w:tcW w:w="1275"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76"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付款方式</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是否接受“第三篇 项目商务需求”中所有条款</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vAlign w:val="center"/>
          </w:tcPr>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br w:type="page"/>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w:t>
      </w:r>
      <w:bookmarkStart w:id="205" w:name="_Toc106030907"/>
      <w:bookmarkStart w:id="206" w:name="_Toc18669"/>
      <w:bookmarkStart w:id="207" w:name="_Toc342913420"/>
      <w:bookmarkStart w:id="208" w:name="_Toc76462351"/>
      <w:bookmarkStart w:id="209" w:name="_Toc21535"/>
      <w:bookmarkStart w:id="210" w:name="_Toc313008357"/>
      <w:bookmarkStart w:id="211" w:name="_Toc313888361"/>
      <w:r>
        <w:rPr>
          <w:rFonts w:hint="eastAsia" w:ascii="微软雅黑" w:hAnsi="微软雅黑" w:eastAsia="微软雅黑" w:cs="微软雅黑"/>
          <w:color w:val="auto"/>
          <w:sz w:val="24"/>
          <w:szCs w:val="24"/>
        </w:rPr>
        <w:t>易损易耗件或配件报价表（格式自定）</w:t>
      </w:r>
    </w:p>
    <w:p>
      <w:pPr>
        <w:rPr>
          <w:rFonts w:hint="eastAsia" w:ascii="微软雅黑" w:hAnsi="微软雅黑" w:eastAsia="微软雅黑" w:cs="微软雅黑"/>
          <w:color w:val="auto"/>
          <w:sz w:val="24"/>
        </w:rPr>
        <w:sectPr>
          <w:headerReference r:id="rId21" w:type="default"/>
          <w:pgSz w:w="11907" w:h="16840"/>
          <w:pgMar w:top="1134" w:right="1191" w:bottom="1134" w:left="1304" w:header="851" w:footer="992" w:gutter="0"/>
          <w:pgNumType w:fmt="numberInDash"/>
          <w:cols w:space="720" w:num="1"/>
          <w:docGrid w:linePitch="380" w:charSpace="-5735"/>
        </w:sect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（三）开标现场最终报价表</w:t>
      </w:r>
    </w:p>
    <w:p>
      <w:pPr>
        <w:jc w:val="center"/>
        <w:rPr>
          <w:rFonts w:hint="eastAsia" w:ascii="微软雅黑" w:hAnsi="微软雅黑" w:eastAsia="微软雅黑" w:cs="微软雅黑"/>
          <w:b/>
          <w:color w:val="auto"/>
          <w:szCs w:val="28"/>
        </w:rPr>
      </w:pPr>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开标现场最终报价表</w:t>
      </w:r>
    </w:p>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58"/>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投标人名称</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产品名称</w:t>
            </w:r>
          </w:p>
        </w:tc>
        <w:tc>
          <w:tcPr>
            <w:tcW w:w="3668" w:type="dxa"/>
            <w:gridSpan w:val="10"/>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60"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生产企业</w:t>
            </w:r>
          </w:p>
        </w:tc>
        <w:tc>
          <w:tcPr>
            <w:tcW w:w="354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规格/型号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00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产地</w:t>
            </w:r>
          </w:p>
        </w:tc>
        <w:tc>
          <w:tcPr>
            <w:tcW w:w="90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2190" w:type="dxa"/>
            <w:gridSpan w:val="8"/>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医疗器械注册证号</w:t>
            </w:r>
          </w:p>
        </w:tc>
        <w:tc>
          <w:tcPr>
            <w:tcW w:w="3195" w:type="dxa"/>
            <w:gridSpan w:val="2"/>
            <w:vAlign w:val="center"/>
          </w:tcPr>
          <w:p>
            <w:pPr>
              <w:tabs>
                <w:tab w:val="left" w:pos="6300"/>
              </w:tabs>
              <w:snapToGrid w:val="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单价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765"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计</w:t>
            </w:r>
            <w:r>
              <w:rPr>
                <w:rFonts w:hint="eastAsia" w:ascii="微软雅黑" w:hAnsi="微软雅黑" w:eastAsia="微软雅黑" w:cs="微软雅黑"/>
                <w:color w:val="auto"/>
                <w:sz w:val="24"/>
                <w:szCs w:val="24"/>
                <w:lang w:val="en-US" w:eastAsia="zh-CN"/>
              </w:rPr>
              <w:t>量</w:t>
            </w:r>
            <w:r>
              <w:rPr>
                <w:rFonts w:hint="eastAsia" w:ascii="微软雅黑" w:hAnsi="微软雅黑" w:eastAsia="微软雅黑" w:cs="微软雅黑"/>
                <w:color w:val="auto"/>
                <w:sz w:val="24"/>
                <w:szCs w:val="24"/>
              </w:rPr>
              <w:t>单位</w:t>
            </w:r>
          </w:p>
        </w:tc>
        <w:tc>
          <w:tcPr>
            <w:tcW w:w="687"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投标数量</w:t>
            </w:r>
          </w:p>
        </w:tc>
        <w:tc>
          <w:tcPr>
            <w:tcW w:w="109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394"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合计</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质保期后维保费：设备成交总价的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质保期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（月）</w:t>
            </w:r>
          </w:p>
        </w:tc>
        <w:tc>
          <w:tcPr>
            <w:tcW w:w="1418"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交货期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41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维修到场时间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（小时）</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备用机到场时间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156"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821" w:type="dxa"/>
            <w:gridSpan w:val="6"/>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培训人员数量/</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培训时长</w:t>
            </w:r>
          </w:p>
        </w:tc>
        <w:tc>
          <w:tcPr>
            <w:tcW w:w="1275"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76"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付款方式</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是否接受“第三篇 项目商务需求”中所有条款</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vAlign w:val="center"/>
          </w:tcPr>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numPr>
          <w:ilvl w:val="0"/>
          <w:numId w:val="14"/>
        </w:numPr>
        <w:rPr>
          <w:color w:val="auto"/>
        </w:rPr>
        <w:sectPr>
          <w:pgSz w:w="11907" w:h="16840"/>
          <w:pgMar w:top="1134" w:right="1191" w:bottom="1134" w:left="1304" w:header="851" w:footer="992" w:gutter="0"/>
          <w:pgNumType w:fmt="numberInDash"/>
          <w:cols w:space="720" w:num="1"/>
          <w:docGrid w:linePitch="380" w:charSpace="-5735"/>
        </w:sectPr>
      </w:pP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12" w:name="_Toc28977"/>
      <w:bookmarkStart w:id="213" w:name="_Toc23947"/>
      <w:r>
        <w:rPr>
          <w:rFonts w:hint="eastAsia" w:ascii="微软雅黑" w:hAnsi="微软雅黑" w:eastAsia="微软雅黑" w:cs="微软雅黑"/>
          <w:color w:val="auto"/>
          <w:sz w:val="24"/>
        </w:rPr>
        <w:t>二、技术部分</w:t>
      </w:r>
      <w:bookmarkEnd w:id="205"/>
      <w:bookmarkEnd w:id="206"/>
      <w:bookmarkEnd w:id="207"/>
      <w:bookmarkEnd w:id="208"/>
      <w:bookmarkEnd w:id="209"/>
      <w:bookmarkEnd w:id="210"/>
      <w:bookmarkEnd w:id="211"/>
      <w:bookmarkEnd w:id="212"/>
      <w:bookmarkEnd w:id="213"/>
    </w:p>
    <w:p>
      <w:pPr>
        <w:tabs>
          <w:tab w:val="left" w:pos="6300"/>
        </w:tabs>
        <w:snapToGrid w:val="0"/>
        <w:spacing w:line="400" w:lineRule="exact"/>
        <w:ind w:firstLine="480" w:firstLineChars="200"/>
        <w:rPr>
          <w:rFonts w:hint="eastAsia" w:ascii="微软雅黑" w:hAnsi="微软雅黑" w:eastAsia="微软雅黑" w:cs="微软雅黑"/>
          <w:color w:val="auto"/>
          <w:szCs w:val="24"/>
        </w:rPr>
      </w:pPr>
      <w:r>
        <w:rPr>
          <w:rFonts w:hint="eastAsia" w:ascii="微软雅黑" w:hAnsi="微软雅黑" w:eastAsia="微软雅黑" w:cs="微软雅黑"/>
          <w:color w:val="auto"/>
          <w:sz w:val="24"/>
          <w:szCs w:val="24"/>
        </w:rPr>
        <w:t>（一）技术响应偏离表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项目名称：</w:t>
      </w:r>
    </w:p>
    <w:tbl>
      <w:tblPr>
        <w:tblStyle w:val="5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序号</w:t>
            </w: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采购需求</w:t>
            </w: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响应情况</w:t>
            </w: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1</w:t>
            </w:r>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设备应具备至少5英寸彩色显示液晶触摸屏。</w:t>
            </w:r>
          </w:p>
        </w:tc>
        <w:tc>
          <w:tcPr>
            <w:tcW w:w="1600" w:type="pct"/>
            <w:vAlign w:val="center"/>
          </w:tcPr>
          <w:p>
            <w:pPr>
              <w:tabs>
                <w:tab w:val="left" w:pos="6300"/>
              </w:tabs>
              <w:snapToGrid w:val="0"/>
              <w:spacing w:line="240" w:lineRule="auto"/>
              <w:outlineLvl w:val="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设备具备7英寸彩色显示液晶触摸屏。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p>
        </w:tc>
        <w:tc>
          <w:tcPr>
            <w:tcW w:w="1199"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正偏离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2</w:t>
            </w:r>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例：设备应具备至少5英寸彩色显示液晶触摸屏。</w:t>
            </w:r>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例：设备具备5英寸彩色显示液晶触摸屏。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p>
        </w:tc>
        <w:tc>
          <w:tcPr>
            <w:tcW w:w="1199" w:type="pct"/>
            <w:vAlign w:val="center"/>
          </w:tcPr>
          <w:p>
            <w:pPr>
              <w:tabs>
                <w:tab w:val="left" w:pos="6300"/>
              </w:tabs>
              <w:snapToGrid w:val="0"/>
              <w:spacing w:line="500" w:lineRule="exact"/>
              <w:jc w:val="center"/>
              <w:outlineLvl w:val="0"/>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例：无差异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3</w:t>
            </w:r>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例：设备应具备至少5英寸彩色显示液晶触摸屏。</w:t>
            </w:r>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例：设备具备4.5英寸彩色显示液晶触摸屏。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负偏离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p>
        </w:tc>
      </w:tr>
    </w:tbl>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720" w:firstLineChars="30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2.本表可扩展。</w:t>
      </w:r>
    </w:p>
    <w:p>
      <w:pPr>
        <w:tabs>
          <w:tab w:val="left" w:pos="6300"/>
        </w:tabs>
        <w:snapToGrid w:val="0"/>
        <w:spacing w:line="400" w:lineRule="exact"/>
        <w:ind w:firstLine="560" w:firstLineChars="200"/>
        <w:rPr>
          <w:rFonts w:hint="eastAsia" w:ascii="微软雅黑" w:hAnsi="微软雅黑" w:eastAsia="微软雅黑" w:cs="微软雅黑"/>
          <w:color w:val="auto"/>
          <w:szCs w:val="24"/>
        </w:rPr>
      </w:pPr>
      <w:r>
        <w:rPr>
          <w:rFonts w:hint="eastAsia" w:ascii="微软雅黑" w:hAnsi="微软雅黑" w:eastAsia="微软雅黑" w:cs="微软雅黑"/>
          <w:color w:val="auto"/>
          <w:szCs w:val="24"/>
        </w:rPr>
        <w:br w:type="page"/>
      </w:r>
      <w:r>
        <w:rPr>
          <w:rFonts w:hint="eastAsia" w:ascii="微软雅黑" w:hAnsi="微软雅黑" w:eastAsia="微软雅黑" w:cs="微软雅黑"/>
          <w:color w:val="auto"/>
          <w:sz w:val="24"/>
          <w:szCs w:val="24"/>
        </w:rPr>
        <w:t>（二）技术部分应答材料</w:t>
      </w:r>
    </w:p>
    <w:p>
      <w:pPr>
        <w:pStyle w:val="4"/>
        <w:adjustRightInd w:val="0"/>
        <w:snapToGrid w:val="0"/>
        <w:spacing w:before="0" w:after="0" w:line="400" w:lineRule="exact"/>
        <w:ind w:firstLine="640" w:firstLineChars="200"/>
        <w:rPr>
          <w:rFonts w:hint="eastAsia" w:ascii="微软雅黑" w:hAnsi="微软雅黑" w:eastAsia="微软雅黑" w:cs="微软雅黑"/>
          <w:color w:val="auto"/>
          <w:sz w:val="24"/>
        </w:rPr>
      </w:pPr>
      <w:r>
        <w:rPr>
          <w:rFonts w:hint="eastAsia" w:ascii="微软雅黑" w:hAnsi="微软雅黑" w:eastAsia="微软雅黑" w:cs="微软雅黑"/>
          <w:b w:val="0"/>
          <w:color w:val="auto"/>
        </w:rPr>
        <w:br w:type="page"/>
      </w:r>
      <w:bookmarkStart w:id="214" w:name="_Toc76462352"/>
      <w:bookmarkStart w:id="215" w:name="_Toc30639"/>
      <w:bookmarkStart w:id="216" w:name="_Toc16028"/>
      <w:bookmarkStart w:id="217" w:name="_Toc19426"/>
      <w:bookmarkStart w:id="218" w:name="_Toc342913421"/>
      <w:bookmarkStart w:id="219" w:name="_Toc106030908"/>
      <w:bookmarkStart w:id="220" w:name="_Toc313008358"/>
      <w:bookmarkStart w:id="221" w:name="_Toc313888362"/>
      <w:bookmarkStart w:id="222" w:name="_Toc10518"/>
      <w:r>
        <w:rPr>
          <w:rFonts w:hint="eastAsia" w:ascii="微软雅黑" w:hAnsi="微软雅黑" w:eastAsia="微软雅黑" w:cs="微软雅黑"/>
          <w:color w:val="auto"/>
          <w:sz w:val="24"/>
        </w:rPr>
        <w:t>三、商务部分</w:t>
      </w:r>
      <w:bookmarkEnd w:id="214"/>
      <w:bookmarkEnd w:id="215"/>
      <w:bookmarkEnd w:id="216"/>
      <w:bookmarkEnd w:id="217"/>
      <w:bookmarkEnd w:id="218"/>
      <w:bookmarkEnd w:id="219"/>
      <w:bookmarkEnd w:id="220"/>
      <w:bookmarkEnd w:id="221"/>
      <w:bookmarkEnd w:id="222"/>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（一）商务响应偏离表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项目名称： </w:t>
      </w:r>
    </w:p>
    <w:tbl>
      <w:tblPr>
        <w:tblStyle w:val="5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3166"/>
        <w:gridCol w:w="16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项目商务需求</w:t>
            </w:r>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响应情况</w:t>
            </w:r>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1</w:t>
            </w:r>
          </w:p>
        </w:tc>
        <w:tc>
          <w:tcPr>
            <w:tcW w:w="3179" w:type="dxa"/>
            <w:vAlign w:val="center"/>
          </w:tcPr>
          <w:p>
            <w:pPr>
              <w:tabs>
                <w:tab w:val="left" w:pos="6300"/>
              </w:tabs>
              <w:snapToGrid w:val="0"/>
              <w:spacing w:line="240" w:lineRule="auto"/>
              <w:jc w:val="left"/>
              <w:outlineLvl w:val="0"/>
              <w:rPr>
                <w:rFonts w:hint="default" w:ascii="微软雅黑" w:hAnsi="微软雅黑" w:eastAsia="微软雅黑" w:cs="微软雅黑"/>
                <w:color w:val="auto"/>
                <w:sz w:val="21"/>
                <w:szCs w:val="24"/>
                <w:lang w:val="en-US" w:eastAsia="zh-CN"/>
              </w:rPr>
            </w:pPr>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p>
        </w:tc>
        <w:tc>
          <w:tcPr>
            <w:tcW w:w="3166" w:type="dxa"/>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p>
        </w:tc>
        <w:tc>
          <w:tcPr>
            <w:tcW w:w="1623"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无差异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p>
        </w:tc>
      </w:tr>
    </w:tbl>
    <w:p>
      <w:pPr>
        <w:snapToGrid w:val="0"/>
        <w:spacing w:line="360" w:lineRule="auto"/>
        <w:ind w:firstLine="465"/>
        <w:rPr>
          <w:rFonts w:hint="eastAsia" w:ascii="微软雅黑" w:hAnsi="微软雅黑" w:eastAsia="微软雅黑" w:cs="微软雅黑"/>
          <w:color w:val="auto"/>
          <w:sz w:val="24"/>
          <w:szCs w:val="24"/>
        </w:rPr>
      </w:pPr>
    </w:p>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360" w:firstLineChars="1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rPr>
          <w:rFonts w:hint="eastAsia" w:ascii="微软雅黑" w:hAnsi="微软雅黑" w:eastAsia="微软雅黑" w:cs="微软雅黑"/>
          <w:b/>
          <w:color w:val="auto"/>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sz w:val="24"/>
        </w:rPr>
        <w:t>2.本表可扩展。</w:t>
      </w:r>
    </w:p>
    <w:p>
      <w:pPr>
        <w:snapToGrid w:val="0"/>
        <w:spacing w:line="400" w:lineRule="exact"/>
        <w:ind w:firstLine="480" w:firstLineChars="200"/>
        <w:rPr>
          <w:rFonts w:hint="eastAsia" w:ascii="微软雅黑" w:hAnsi="微软雅黑" w:eastAsia="微软雅黑" w:cs="微软雅黑"/>
          <w:color w:val="auto"/>
          <w:sz w:val="24"/>
          <w:szCs w:val="24"/>
        </w:rPr>
      </w:pPr>
      <w:bookmarkStart w:id="223" w:name="_Toc283382459"/>
      <w:r>
        <w:rPr>
          <w:rFonts w:hint="eastAsia" w:ascii="微软雅黑" w:hAnsi="微软雅黑" w:eastAsia="微软雅黑" w:cs="微软雅黑"/>
          <w:color w:val="auto"/>
          <w:sz w:val="24"/>
          <w:szCs w:val="24"/>
        </w:rPr>
        <w:t>（二）商务部分应答材料</w:t>
      </w:r>
    </w:p>
    <w:p>
      <w:pPr>
        <w:snapToGrid w:val="0"/>
        <w:spacing w:line="400" w:lineRule="exact"/>
        <w:ind w:firstLine="480" w:firstLineChars="200"/>
        <w:rPr>
          <w:rFonts w:hint="eastAsia" w:ascii="微软雅黑" w:hAnsi="微软雅黑" w:eastAsia="微软雅黑" w:cs="微软雅黑"/>
          <w:color w:val="auto"/>
          <w:sz w:val="24"/>
          <w:szCs w:val="24"/>
        </w:rPr>
      </w:pP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br w:type="page"/>
      </w:r>
      <w:bookmarkEnd w:id="223"/>
      <w:bookmarkStart w:id="224" w:name="_Toc76462353"/>
      <w:bookmarkStart w:id="225" w:name="_Toc342913422"/>
      <w:bookmarkStart w:id="226" w:name="_Toc106030909"/>
      <w:bookmarkStart w:id="227" w:name="_Toc313008359"/>
      <w:bookmarkStart w:id="228" w:name="_Toc26948"/>
      <w:bookmarkStart w:id="229" w:name="_Toc14888"/>
      <w:bookmarkStart w:id="230" w:name="_Toc313888363"/>
      <w:r>
        <w:rPr>
          <w:rFonts w:hint="eastAsia" w:ascii="微软雅黑" w:hAnsi="微软雅黑" w:eastAsia="微软雅黑" w:cs="微软雅黑"/>
          <w:color w:val="auto"/>
          <w:sz w:val="24"/>
        </w:rPr>
        <w:t>四、资格条件</w:t>
      </w:r>
      <w:bookmarkEnd w:id="224"/>
      <w:bookmarkEnd w:id="225"/>
      <w:bookmarkEnd w:id="226"/>
      <w:bookmarkEnd w:id="227"/>
      <w:bookmarkEnd w:id="228"/>
      <w:bookmarkEnd w:id="229"/>
      <w:bookmarkEnd w:id="230"/>
    </w:p>
    <w:p>
      <w:pPr>
        <w:tabs>
          <w:tab w:val="left" w:pos="6300"/>
        </w:tabs>
        <w:snapToGrid w:val="0"/>
        <w:spacing w:line="400" w:lineRule="exact"/>
        <w:ind w:firstLine="57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snapToGrid w:val="0"/>
        <w:spacing w:line="400" w:lineRule="exact"/>
        <w:ind w:firstLine="56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rPr>
        <w:br w:type="page"/>
      </w:r>
      <w:r>
        <w:rPr>
          <w:rFonts w:hint="eastAsia" w:ascii="微软雅黑" w:hAnsi="微软雅黑" w:eastAsia="微软雅黑" w:cs="微软雅黑"/>
          <w:color w:val="auto"/>
          <w:sz w:val="24"/>
          <w:szCs w:val="24"/>
        </w:rPr>
        <w:t>（二）法定代表人身份证明书（格式）</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项目名称：</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（法定代表人姓名）在</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（投标人名称）任</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（职务名称）职务，是（投标人名称）</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的法定代表人。</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特此证明。</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（投标人公章）</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年   月   日</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snapToGrid w:val="0"/>
        <w:spacing w:line="400" w:lineRule="exact"/>
        <w:ind w:firstLine="56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rPr>
        <w:br w:type="column"/>
      </w:r>
      <w:r>
        <w:rPr>
          <w:rFonts w:hint="eastAsia" w:ascii="微软雅黑" w:hAnsi="微软雅黑" w:eastAsia="微软雅黑" w:cs="微软雅黑"/>
          <w:color w:val="auto"/>
          <w:sz w:val="24"/>
          <w:szCs w:val="24"/>
        </w:rPr>
        <w:t>（三）法定代表人授权委托书（格式）</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项目名称</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（投标人法定代表人名称）是</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（投标人名称）的法定代表人，特授权</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我单位对被授权人</w:t>
      </w:r>
      <w:r>
        <w:rPr>
          <w:rFonts w:hint="eastAsia" w:ascii="微软雅黑" w:hAnsi="微软雅黑" w:eastAsia="微软雅黑" w:cs="微软雅黑"/>
          <w:color w:val="auto"/>
          <w:sz w:val="24"/>
          <w:szCs w:val="28"/>
        </w:rPr>
        <w:t>签署的文件</w:t>
      </w:r>
      <w:r>
        <w:rPr>
          <w:rFonts w:hint="eastAsia" w:ascii="微软雅黑" w:hAnsi="微软雅黑" w:eastAsia="微软雅黑" w:cs="微软雅黑"/>
          <w:color w:val="auto"/>
          <w:sz w:val="24"/>
        </w:rPr>
        <w:t>负全部责任。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在采购人收到撤销授权的纸质</w:t>
      </w:r>
      <w:r>
        <w:rPr>
          <w:rFonts w:hint="eastAsia" w:ascii="微软雅黑" w:hAnsi="微软雅黑" w:eastAsia="微软雅黑" w:cs="微软雅黑"/>
          <w:color w:val="auto"/>
          <w:sz w:val="24"/>
          <w:szCs w:val="24"/>
        </w:rPr>
        <w:t>文件（须加盖投标人公章确认）</w:t>
      </w:r>
      <w:r>
        <w:rPr>
          <w:rFonts w:hint="eastAsia" w:ascii="微软雅黑" w:hAnsi="微软雅黑" w:eastAsia="微软雅黑" w:cs="微软雅黑"/>
          <w:color w:val="auto"/>
          <w:sz w:val="24"/>
        </w:rPr>
        <w:t>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color w:val="auto"/>
          <w:sz w:val="24"/>
          <w:szCs w:val="28"/>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年   月   日</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2.若为联合体参与的，法定代表人授权委托书由联合体主办方</w:t>
      </w:r>
      <w:r>
        <w:rPr>
          <w:rFonts w:hint="eastAsia" w:ascii="微软雅黑" w:hAnsi="微软雅黑" w:eastAsia="微软雅黑" w:cs="微软雅黑"/>
          <w:color w:val="auto"/>
          <w:kern w:val="0"/>
          <w:sz w:val="24"/>
          <w:szCs w:val="24"/>
        </w:rPr>
        <w:t>（主体）</w:t>
      </w:r>
      <w:r>
        <w:rPr>
          <w:rFonts w:hint="eastAsia" w:ascii="微软雅黑" w:hAnsi="微软雅黑" w:eastAsia="微软雅黑" w:cs="微软雅黑"/>
          <w:color w:val="auto"/>
          <w:sz w:val="24"/>
        </w:rPr>
        <w:t>出具。</w:t>
      </w:r>
    </w:p>
    <w:p>
      <w:pPr>
        <w:widowControl/>
        <w:spacing w:line="400" w:lineRule="exact"/>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rPr>
        <w:br w:type="column"/>
      </w:r>
      <w:r>
        <w:rPr>
          <w:rFonts w:hint="eastAsia" w:ascii="微软雅黑" w:hAnsi="微软雅黑" w:eastAsia="微软雅黑" w:cs="微软雅黑"/>
          <w:color w:val="auto"/>
          <w:sz w:val="24"/>
          <w:szCs w:val="24"/>
        </w:rPr>
        <w:t>（四）投标函（格式）</w:t>
      </w:r>
    </w:p>
    <w:p>
      <w:pPr>
        <w:tabs>
          <w:tab w:val="left" w:pos="6300"/>
        </w:tabs>
        <w:snapToGrid w:val="0"/>
        <w:spacing w:line="600" w:lineRule="atLeast"/>
        <w:ind w:firstLine="555"/>
        <w:jc w:val="center"/>
        <w:rPr>
          <w:rFonts w:hint="eastAsia" w:ascii="微软雅黑" w:hAnsi="微软雅黑" w:eastAsia="微软雅黑" w:cs="微软雅黑"/>
          <w:b/>
          <w:bCs/>
          <w:color w:val="auto"/>
          <w:sz w:val="30"/>
          <w:szCs w:val="30"/>
        </w:rPr>
      </w:pPr>
      <w:r>
        <w:rPr>
          <w:rFonts w:hint="eastAsia" w:ascii="微软雅黑" w:hAnsi="微软雅黑" w:eastAsia="微软雅黑" w:cs="微软雅黑"/>
          <w:b/>
          <w:bCs/>
          <w:color w:val="auto"/>
          <w:sz w:val="30"/>
          <w:szCs w:val="30"/>
        </w:rPr>
        <w:t>投标函</w:t>
      </w:r>
    </w:p>
    <w:p>
      <w:pPr>
        <w:tabs>
          <w:tab w:val="left" w:pos="6300"/>
        </w:tabs>
        <w:snapToGrid w:val="0"/>
        <w:spacing w:line="600" w:lineRule="atLeast"/>
        <w:ind w:firstLine="555"/>
        <w:rPr>
          <w:rFonts w:hint="eastAsia" w:ascii="微软雅黑" w:hAnsi="微软雅黑" w:eastAsia="微软雅黑" w:cs="微软雅黑"/>
          <w:color w:val="auto"/>
          <w:sz w:val="24"/>
          <w:szCs w:val="24"/>
        </w:rPr>
      </w:pPr>
    </w:p>
    <w:p>
      <w:pPr>
        <w:tabs>
          <w:tab w:val="left" w:pos="6300"/>
        </w:tabs>
        <w:snapToGrid w:val="0"/>
        <w:spacing w:line="276" w:lineRule="auto"/>
        <w:ind w:firstLine="556"/>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u w:val="single"/>
        </w:rPr>
        <w:t>（投标单位名称）</w:t>
      </w:r>
      <w:r>
        <w:rPr>
          <w:rFonts w:hint="eastAsia" w:ascii="微软雅黑" w:hAnsi="微软雅黑" w:eastAsia="微软雅黑" w:cs="微软雅黑"/>
          <w:color w:val="auto"/>
          <w:sz w:val="24"/>
          <w:szCs w:val="24"/>
        </w:rPr>
        <w:t>系中华人民共和国合法企业，注册地址：</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一、我方完全理解并接受该项目公开比选采购文件所有要求。</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四、我方承诺按照公开比选采购文件要求，提供招标项目的技术服务。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五、我方按公开比选采购文件要求提交的响应文件为：响应文件正本1份，副本</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份。</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六、如果我方中标，我方将履行公开比选采购文件中规定的各项要求以及我方响应文件的各项承诺，按《政府采购法》、《民法典》及合同约定条款承担我方责任。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九、我方同意按有关规定及公开比选采购文件要求，缴纳足额投标保证金。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年    月   日</w:t>
      </w:r>
    </w:p>
    <w:p>
      <w:pPr>
        <w:tabs>
          <w:tab w:val="left" w:pos="6300"/>
        </w:tabs>
        <w:snapToGrid w:val="0"/>
        <w:spacing w:line="500" w:lineRule="exact"/>
        <w:ind w:firstLine="570"/>
        <w:rPr>
          <w:rFonts w:hint="eastAsia" w:ascii="微软雅黑" w:hAnsi="微软雅黑" w:eastAsia="微软雅黑" w:cs="微软雅黑"/>
          <w:color w:val="auto"/>
        </w:rPr>
      </w:pPr>
    </w:p>
    <w:p>
      <w:pPr>
        <w:pStyle w:val="69"/>
        <w:rPr>
          <w:rFonts w:hint="eastAsia" w:ascii="微软雅黑" w:hAnsi="微软雅黑" w:eastAsia="微软雅黑" w:cs="微软雅黑"/>
          <w:color w:val="auto"/>
        </w:rPr>
      </w:pPr>
    </w:p>
    <w:p>
      <w:pPr>
        <w:pStyle w:val="70"/>
        <w:rPr>
          <w:rFonts w:hint="eastAsia" w:ascii="微软雅黑" w:hAnsi="微软雅黑" w:eastAsia="微软雅黑" w:cs="微软雅黑"/>
          <w:color w:val="auto"/>
        </w:rPr>
      </w:pPr>
    </w:p>
    <w:p>
      <w:pPr>
        <w:pStyle w:val="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w:t>
      </w:r>
      <w:r>
        <w:rPr>
          <w:rFonts w:hint="eastAsia" w:ascii="微软雅黑" w:hAnsi="微软雅黑" w:eastAsia="微软雅黑" w:cs="微软雅黑"/>
          <w:color w:val="auto"/>
          <w:sz w:val="24"/>
          <w:szCs w:val="28"/>
        </w:rPr>
        <w:t>基本资格条件承诺函</w:t>
      </w:r>
    </w:p>
    <w:p>
      <w:pPr>
        <w:tabs>
          <w:tab w:val="left" w:pos="6300"/>
        </w:tabs>
        <w:snapToGrid w:val="0"/>
        <w:spacing w:line="500" w:lineRule="exact"/>
        <w:ind w:firstLine="640" w:firstLineChars="200"/>
        <w:jc w:val="center"/>
        <w:rPr>
          <w:rFonts w:hint="eastAsia" w:ascii="微软雅黑" w:hAnsi="微软雅黑" w:eastAsia="微软雅黑" w:cs="微软雅黑"/>
          <w:b/>
          <w:bCs/>
          <w:color w:val="auto"/>
          <w:sz w:val="32"/>
          <w:szCs w:val="32"/>
        </w:rPr>
      </w:pPr>
      <w:r>
        <w:rPr>
          <w:rFonts w:hint="eastAsia" w:ascii="微软雅黑" w:hAnsi="微软雅黑" w:eastAsia="微软雅黑" w:cs="微软雅黑"/>
          <w:b/>
          <w:bCs/>
          <w:color w:val="auto"/>
          <w:sz w:val="32"/>
          <w:szCs w:val="32"/>
        </w:rPr>
        <w:t>基本资格条件承诺函</w:t>
      </w:r>
    </w:p>
    <w:p>
      <w:pPr>
        <w:tabs>
          <w:tab w:val="left" w:pos="6300"/>
        </w:tabs>
        <w:snapToGrid w:val="0"/>
        <w:spacing w:line="530" w:lineRule="exact"/>
        <w:rPr>
          <w:rFonts w:hint="eastAsia" w:ascii="微软雅黑" w:hAnsi="微软雅黑" w:eastAsia="微软雅黑" w:cs="微软雅黑"/>
          <w:color w:val="auto"/>
          <w:sz w:val="24"/>
        </w:rPr>
      </w:pP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1.我方具有良好的商业信誉和健全的财务会计制度，具有履行合同所必需的设备和专业技术能力，具</w:t>
      </w:r>
      <w:r>
        <w:rPr>
          <w:rFonts w:hint="eastAsia" w:ascii="微软雅黑" w:hAnsi="微软雅黑" w:eastAsia="微软雅黑" w:cs="微软雅黑"/>
          <w:color w:val="auto"/>
          <w:sz w:val="24"/>
          <w:lang w:val="zh-CN"/>
        </w:rPr>
        <w:t>有依法缴纳税收和社会保障金的良好记录</w:t>
      </w:r>
      <w:r>
        <w:rPr>
          <w:rFonts w:hint="eastAsia" w:ascii="微软雅黑" w:hAnsi="微软雅黑" w:eastAsia="微软雅黑" w:cs="微软雅黑"/>
          <w:color w:val="auto"/>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3.我方在采购项目评审（评标）环节结束后，随时接受采购人的检查验证，配合提供相关证明材料，证明符合《中华人民共和国政府采购法》第二十二条规定的投标人基本资格条件。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p>
    <w:p>
      <w:pPr>
        <w:tabs>
          <w:tab w:val="left" w:pos="6300"/>
        </w:tabs>
        <w:snapToGrid w:val="0"/>
        <w:spacing w:line="500" w:lineRule="exact"/>
        <w:ind w:firstLine="480" w:firstLineChars="20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年   月   日</w:t>
      </w:r>
    </w:p>
    <w:p>
      <w:pPr>
        <w:snapToGrid w:val="0"/>
        <w:spacing w:line="400" w:lineRule="exact"/>
        <w:ind w:firstLine="56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rPr>
        <w:br w:type="page"/>
      </w:r>
      <w:r>
        <w:rPr>
          <w:rFonts w:hint="eastAsia" w:ascii="微软雅黑" w:hAnsi="微软雅黑" w:eastAsia="微软雅黑" w:cs="微软雅黑"/>
          <w:color w:val="auto"/>
          <w:sz w:val="24"/>
          <w:szCs w:val="24"/>
        </w:rPr>
        <w:t>（六）特定资格条件证明文件</w:t>
      </w:r>
    </w:p>
    <w:p>
      <w:pPr>
        <w:tabs>
          <w:tab w:val="left" w:pos="6300"/>
        </w:tabs>
        <w:snapToGrid w:val="0"/>
        <w:spacing w:line="400" w:lineRule="exact"/>
        <w:ind w:firstLine="480" w:firstLineChars="200"/>
        <w:rPr>
          <w:rFonts w:hint="eastAsia" w:ascii="微软雅黑" w:hAnsi="微软雅黑" w:eastAsia="微软雅黑" w:cs="微软雅黑"/>
          <w:color w:val="auto"/>
          <w:sz w:val="24"/>
          <w:szCs w:val="24"/>
        </w:rPr>
      </w:pPr>
    </w:p>
    <w:p>
      <w:pPr>
        <w:pStyle w:val="4"/>
        <w:adjustRightInd w:val="0"/>
        <w:snapToGrid w:val="0"/>
        <w:spacing w:before="0" w:after="0" w:line="400" w:lineRule="exact"/>
        <w:ind w:firstLine="560" w:firstLineChars="200"/>
        <w:rPr>
          <w:rFonts w:hint="eastAsia" w:ascii="微软雅黑" w:hAnsi="微软雅黑" w:eastAsia="微软雅黑" w:cs="微软雅黑"/>
          <w:color w:val="auto"/>
          <w:sz w:val="24"/>
        </w:rPr>
      </w:pPr>
      <w:bookmarkStart w:id="231" w:name="_Toc14422"/>
      <w:r>
        <w:rPr>
          <w:rFonts w:hint="eastAsia" w:ascii="微软雅黑" w:hAnsi="微软雅黑" w:eastAsia="微软雅黑" w:cs="微软雅黑"/>
          <w:b w:val="0"/>
          <w:color w:val="auto"/>
          <w:sz w:val="28"/>
        </w:rPr>
        <w:br w:type="page"/>
      </w:r>
      <w:bookmarkStart w:id="232" w:name="_Toc28615"/>
      <w:bookmarkStart w:id="233" w:name="_Toc106030910"/>
      <w:bookmarkStart w:id="234" w:name="_Toc76462354"/>
      <w:bookmarkStart w:id="235" w:name="_Toc32260"/>
      <w:bookmarkStart w:id="236" w:name="_Toc8805"/>
      <w:bookmarkStart w:id="237" w:name="_Toc15465"/>
      <w:r>
        <w:rPr>
          <w:rFonts w:hint="eastAsia" w:ascii="微软雅黑" w:hAnsi="微软雅黑" w:eastAsia="微软雅黑" w:cs="微软雅黑"/>
          <w:color w:val="auto"/>
          <w:sz w:val="24"/>
        </w:rPr>
        <w:t>五、</w:t>
      </w:r>
      <w:r>
        <w:rPr>
          <w:rFonts w:hint="eastAsia" w:ascii="微软雅黑" w:hAnsi="微软雅黑" w:eastAsia="微软雅黑" w:cs="微软雅黑"/>
          <w:color w:val="auto"/>
          <w:sz w:val="24"/>
          <w:lang w:val="en-US" w:eastAsia="zh-CN"/>
        </w:rPr>
        <w:t>综合评标</w:t>
      </w:r>
      <w:r>
        <w:rPr>
          <w:rFonts w:hint="eastAsia" w:ascii="微软雅黑" w:hAnsi="微软雅黑" w:eastAsia="微软雅黑" w:cs="微软雅黑"/>
          <w:color w:val="auto"/>
          <w:sz w:val="24"/>
        </w:rPr>
        <w:t>资料</w:t>
      </w:r>
      <w:bookmarkEnd w:id="231"/>
      <w:bookmarkEnd w:id="232"/>
      <w:bookmarkEnd w:id="233"/>
      <w:bookmarkEnd w:id="234"/>
      <w:bookmarkEnd w:id="235"/>
      <w:bookmarkEnd w:id="236"/>
      <w:bookmarkEnd w:id="237"/>
    </w:p>
    <w:p>
      <w:pPr>
        <w:snapToGrid w:val="0"/>
        <w:spacing w:line="400" w:lineRule="exact"/>
        <w:ind w:firstLine="480" w:firstLineChars="20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综合评标应答表</w:t>
      </w:r>
    </w:p>
    <w:tbl>
      <w:tblPr>
        <w:tblStyle w:val="58"/>
        <w:tblW w:w="100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70"/>
        <w:gridCol w:w="805"/>
        <w:gridCol w:w="3978"/>
        <w:gridCol w:w="2440"/>
        <w:gridCol w:w="12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570" w:type="dxa"/>
            <w:vAlign w:val="center"/>
          </w:tcPr>
          <w:p>
            <w:pPr>
              <w:ind w:firstLine="0"/>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评分因素</w:t>
            </w:r>
          </w:p>
          <w:p>
            <w:pPr>
              <w:ind w:firstLine="0"/>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及权重</w:t>
            </w:r>
          </w:p>
        </w:tc>
        <w:tc>
          <w:tcPr>
            <w:tcW w:w="805" w:type="dxa"/>
            <w:vAlign w:val="center"/>
          </w:tcPr>
          <w:p>
            <w:pPr>
              <w:ind w:firstLine="0"/>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分值</w:t>
            </w:r>
          </w:p>
        </w:tc>
        <w:tc>
          <w:tcPr>
            <w:tcW w:w="3978" w:type="dxa"/>
            <w:vAlign w:val="center"/>
          </w:tcPr>
          <w:p>
            <w:pPr>
              <w:ind w:firstLine="0"/>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评分标准</w:t>
            </w:r>
          </w:p>
        </w:tc>
        <w:tc>
          <w:tcPr>
            <w:tcW w:w="2440" w:type="dxa"/>
            <w:vAlign w:val="center"/>
          </w:tcPr>
          <w:p>
            <w:pPr>
              <w:pStyle w:val="238"/>
              <w:spacing w:before="0" w:after="0" w:line="240" w:lineRule="auto"/>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说明</w:t>
            </w:r>
          </w:p>
        </w:tc>
        <w:tc>
          <w:tcPr>
            <w:tcW w:w="1215" w:type="dxa"/>
            <w:vAlign w:val="center"/>
          </w:tcPr>
          <w:p>
            <w:pPr>
              <w:pStyle w:val="238"/>
              <w:spacing w:before="0" w:after="0" w:line="240" w:lineRule="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应答彩票</w:t>
            </w:r>
          </w:p>
          <w:p>
            <w:pPr>
              <w:pStyle w:val="238"/>
              <w:spacing w:before="0" w:after="0" w:line="240" w:lineRule="auto"/>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对应页码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10008" w:type="dxa"/>
            <w:gridSpan w:val="5"/>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采购文件“技术（质量）需求”中“※”标注的技术需求为符合性审查中的实质性要求，若不满足按无效投标处理。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1570" w:type="dxa"/>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技术（质量）部分</w:t>
            </w:r>
          </w:p>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（50%）</w:t>
            </w:r>
          </w:p>
        </w:tc>
        <w:tc>
          <w:tcPr>
            <w:tcW w:w="805" w:type="dxa"/>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50</w:t>
            </w: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1.起评分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有效投标人的起评分为50分。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2.扣分条款</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2.1投标文件投标应答有一条不满足招标文件重要技术需求的（本招标文件第二篇中带“▲”号标注的部分，共计</w:t>
            </w:r>
            <w:r>
              <w:rPr>
                <w:rFonts w:hint="eastAsia" w:ascii="微软雅黑" w:hAnsi="微软雅黑" w:eastAsia="微软雅黑" w:cs="微软雅黑"/>
                <w:color w:val="auto"/>
                <w:sz w:val="21"/>
                <w:szCs w:val="21"/>
                <w:lang w:val="en-US" w:eastAsia="zh-CN"/>
              </w:rPr>
              <w:t>4</w:t>
            </w:r>
            <w:r>
              <w:rPr>
                <w:rFonts w:hint="eastAsia" w:ascii="微软雅黑" w:hAnsi="微软雅黑" w:eastAsia="微软雅黑" w:cs="微软雅黑"/>
                <w:color w:val="auto"/>
                <w:sz w:val="21"/>
                <w:szCs w:val="21"/>
              </w:rPr>
              <w:t>条），从起评分中扣除</w:t>
            </w:r>
            <w:r>
              <w:rPr>
                <w:rFonts w:hint="eastAsia" w:ascii="微软雅黑" w:hAnsi="微软雅黑" w:eastAsia="微软雅黑" w:cs="微软雅黑"/>
                <w:color w:val="auto"/>
                <w:sz w:val="21"/>
                <w:szCs w:val="21"/>
                <w:lang w:val="en-US" w:eastAsia="zh-CN"/>
              </w:rPr>
              <w:t>10</w:t>
            </w:r>
            <w:r>
              <w:rPr>
                <w:rFonts w:hint="eastAsia" w:ascii="微软雅黑" w:hAnsi="微软雅黑" w:eastAsia="微软雅黑" w:cs="微软雅黑"/>
                <w:color w:val="auto"/>
                <w:sz w:val="21"/>
                <w:szCs w:val="21"/>
              </w:rPr>
              <w:t>分，扣完为止。</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2.2投标文件投标应答有一条不满足招标文件一般性技术需求的（本招标文件第二篇中“○”号标注的部分，共计</w:t>
            </w:r>
            <w:r>
              <w:rPr>
                <w:rFonts w:hint="eastAsia" w:ascii="微软雅黑" w:hAnsi="微软雅黑" w:eastAsia="微软雅黑" w:cs="微软雅黑"/>
                <w:color w:val="auto"/>
                <w:sz w:val="21"/>
                <w:szCs w:val="21"/>
                <w:lang w:val="en-US" w:eastAsia="zh-CN"/>
              </w:rPr>
              <w:t>20</w:t>
            </w:r>
            <w:r>
              <w:rPr>
                <w:rFonts w:hint="eastAsia" w:ascii="微软雅黑" w:hAnsi="微软雅黑" w:eastAsia="微软雅黑" w:cs="微软雅黑"/>
                <w:color w:val="auto"/>
                <w:sz w:val="21"/>
                <w:szCs w:val="21"/>
              </w:rPr>
              <w:t>条），从起评分中扣除</w:t>
            </w:r>
            <w:r>
              <w:rPr>
                <w:rFonts w:hint="eastAsia" w:ascii="微软雅黑" w:hAnsi="微软雅黑" w:eastAsia="微软雅黑" w:cs="微软雅黑"/>
                <w:color w:val="auto"/>
                <w:sz w:val="21"/>
                <w:szCs w:val="21"/>
                <w:lang w:val="en-US" w:eastAsia="zh-CN"/>
              </w:rPr>
              <w:t>0.5</w:t>
            </w:r>
            <w:r>
              <w:rPr>
                <w:rFonts w:hint="eastAsia" w:ascii="微软雅黑" w:hAnsi="微软雅黑" w:eastAsia="微软雅黑" w:cs="微软雅黑"/>
                <w:color w:val="auto"/>
                <w:sz w:val="21"/>
                <w:szCs w:val="21"/>
              </w:rPr>
              <w:t>分，扣完为止。</w:t>
            </w:r>
          </w:p>
        </w:tc>
        <w:tc>
          <w:tcPr>
            <w:tcW w:w="2440" w:type="dxa"/>
            <w:vAlign w:val="center"/>
          </w:tcPr>
          <w:p>
            <w:pPr>
              <w:rPr>
                <w:rFonts w:hint="eastAsia" w:ascii="微软雅黑" w:hAnsi="微软雅黑" w:eastAsia="微软雅黑" w:cs="微软雅黑"/>
                <w:color w:val="auto"/>
                <w:sz w:val="21"/>
                <w:szCs w:val="21"/>
              </w:rPr>
            </w:pPr>
          </w:p>
        </w:tc>
        <w:tc>
          <w:tcPr>
            <w:tcW w:w="1215" w:type="dxa"/>
            <w:vAlign w:val="center"/>
          </w:tcPr>
          <w:p>
            <w:pP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008" w:type="dxa"/>
            <w:gridSpan w:val="5"/>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投标人的应答应满足招标文件“商务需求”，有一条不满足的（</w:t>
            </w:r>
            <w:r>
              <w:rPr>
                <w:rFonts w:hint="eastAsia" w:ascii="微软雅黑" w:hAnsi="微软雅黑" w:eastAsia="微软雅黑" w:cs="微软雅黑"/>
                <w:color w:val="auto"/>
                <w:kern w:val="0"/>
                <w:sz w:val="21"/>
                <w:szCs w:val="21"/>
              </w:rPr>
              <w:t>“※”号标注的部分除外</w:t>
            </w:r>
            <w:r>
              <w:rPr>
                <w:rFonts w:hint="eastAsia" w:ascii="微软雅黑" w:hAnsi="微软雅黑" w:eastAsia="微软雅黑" w:cs="微软雅黑"/>
                <w:color w:val="auto"/>
                <w:sz w:val="21"/>
                <w:szCs w:val="21"/>
              </w:rPr>
              <w:t>），商务部分得分为0分，不再进入商务部分的评审。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8" w:hRule="atLeast"/>
          <w:jc w:val="center"/>
        </w:trPr>
        <w:tc>
          <w:tcPr>
            <w:tcW w:w="1570" w:type="dxa"/>
            <w:vMerge w:val="restart"/>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商务部分</w:t>
            </w:r>
          </w:p>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（20%）</w:t>
            </w:r>
          </w:p>
        </w:tc>
        <w:tc>
          <w:tcPr>
            <w:tcW w:w="805" w:type="dxa"/>
            <w:vMerge w:val="restart"/>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售后服务16</w:t>
            </w: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1.维保服务方案</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投标人提供维保服务方案，方案内容包括日常维修保养、巡查、年度大保养计划。方案内容不存在瑕疵，得</w:t>
            </w:r>
            <w:r>
              <w:rPr>
                <w:rFonts w:hint="eastAsia" w:ascii="微软雅黑" w:hAnsi="微软雅黑" w:eastAsia="微软雅黑" w:cs="微软雅黑"/>
                <w:color w:val="auto"/>
                <w:sz w:val="21"/>
                <w:szCs w:val="21"/>
                <w:lang w:val="en-US" w:eastAsia="zh-CN"/>
              </w:rPr>
              <w:t>4</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方案内容存在1处瑕疵，得</w:t>
            </w: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方案内容存在2处瑕疵，得</w:t>
            </w: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方案内容存在3处及以上瑕疵或未提供方案得0分。</w:t>
            </w:r>
          </w:p>
        </w:tc>
        <w:tc>
          <w:tcPr>
            <w:tcW w:w="2440" w:type="dxa"/>
            <w:vMerge w:val="restart"/>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提供方案，格式自拟。</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注：本项内容中所称的“瑕疵”指以下内容：</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①方案内容缺项、内容表述不完整或缺少维保服务内容或售后服务内容中任意一项内容的针对性分析或介绍；</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②方案内容表述前后矛盾、无连贯性；</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③维保服务范围或售后服务范围覆盖不全、服务流程低效；</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④方案内容存在逻辑漏洞、常识错误、维保服务或售后服务流程并不适用本项目特性和或非专门针对本项目特征制定；</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⑤方案内容并无体现时效性的售后处理计划或保养巡查计划安排；</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⑥方案中提出的措施不利于本项目目标的实现；</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⑦现有科学技术条件下不可能实现的情形。</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上述任意一种情形为1处瑕疵。</w:t>
            </w:r>
          </w:p>
        </w:tc>
        <w:tc>
          <w:tcPr>
            <w:tcW w:w="1215" w:type="dxa"/>
            <w:vAlign w:val="center"/>
          </w:tcPr>
          <w:p>
            <w:pP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7" w:hRule="atLeast"/>
          <w:jc w:val="center"/>
        </w:trPr>
        <w:tc>
          <w:tcPr>
            <w:tcW w:w="1570" w:type="dxa"/>
            <w:vMerge w:val="continue"/>
            <w:vAlign w:val="center"/>
          </w:tcPr>
          <w:p>
            <w:pPr>
              <w:ind w:firstLine="28"/>
              <w:jc w:val="center"/>
              <w:rPr>
                <w:rFonts w:hint="eastAsia" w:ascii="微软雅黑" w:hAnsi="微软雅黑" w:eastAsia="微软雅黑" w:cs="微软雅黑"/>
                <w:color w:val="auto"/>
                <w:sz w:val="21"/>
                <w:szCs w:val="21"/>
              </w:rPr>
            </w:pPr>
          </w:p>
        </w:tc>
        <w:tc>
          <w:tcPr>
            <w:tcW w:w="805" w:type="dxa"/>
            <w:vMerge w:val="continue"/>
            <w:vAlign w:val="center"/>
          </w:tcPr>
          <w:p>
            <w:pPr>
              <w:ind w:firstLine="28"/>
              <w:jc w:val="center"/>
              <w:rPr>
                <w:rFonts w:hint="eastAsia" w:ascii="微软雅黑" w:hAnsi="微软雅黑" w:eastAsia="微软雅黑" w:cs="微软雅黑"/>
                <w:color w:val="auto"/>
                <w:sz w:val="21"/>
                <w:szCs w:val="21"/>
              </w:rPr>
            </w:pP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2.售后服务方案</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根据投标人提供的售后服务方案进行评审，方案内容包括售后服务流程、售后服务范围、维修时间等。</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方案内容不存在瑕疵，得</w:t>
            </w: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方案内容存在1处瑕疵，得</w:t>
            </w: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方案内容存在2处瑕疵，得</w:t>
            </w:r>
            <w:r>
              <w:rPr>
                <w:rFonts w:hint="eastAsia" w:ascii="微软雅黑" w:hAnsi="微软雅黑" w:eastAsia="微软雅黑" w:cs="微软雅黑"/>
                <w:color w:val="auto"/>
                <w:sz w:val="21"/>
                <w:szCs w:val="21"/>
                <w:lang w:val="en-US" w:eastAsia="zh-CN"/>
              </w:rPr>
              <w:t>1</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方案内容存在3处及以上瑕疵或未提供方案得0分。</w:t>
            </w:r>
          </w:p>
        </w:tc>
        <w:tc>
          <w:tcPr>
            <w:tcW w:w="2440" w:type="dxa"/>
            <w:vMerge w:val="continue"/>
            <w:vAlign w:val="center"/>
          </w:tcPr>
          <w:p>
            <w:pPr>
              <w:rPr>
                <w:rFonts w:hint="eastAsia" w:ascii="微软雅黑" w:hAnsi="微软雅黑" w:eastAsia="微软雅黑" w:cs="微软雅黑"/>
                <w:color w:val="auto"/>
                <w:sz w:val="21"/>
                <w:szCs w:val="21"/>
              </w:rPr>
            </w:pPr>
          </w:p>
        </w:tc>
        <w:tc>
          <w:tcPr>
            <w:tcW w:w="1215" w:type="dxa"/>
            <w:vAlign w:val="center"/>
          </w:tcPr>
          <w:p>
            <w:pP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7" w:hRule="atLeast"/>
          <w:jc w:val="center"/>
        </w:trPr>
        <w:tc>
          <w:tcPr>
            <w:tcW w:w="1570" w:type="dxa"/>
            <w:vMerge w:val="continue"/>
            <w:vAlign w:val="center"/>
          </w:tcPr>
          <w:p>
            <w:pPr>
              <w:ind w:firstLine="28"/>
              <w:jc w:val="center"/>
              <w:rPr>
                <w:rFonts w:hint="eastAsia" w:ascii="微软雅黑" w:hAnsi="微软雅黑" w:eastAsia="微软雅黑" w:cs="微软雅黑"/>
                <w:color w:val="auto"/>
                <w:sz w:val="21"/>
                <w:szCs w:val="21"/>
              </w:rPr>
            </w:pPr>
          </w:p>
        </w:tc>
        <w:tc>
          <w:tcPr>
            <w:tcW w:w="805" w:type="dxa"/>
            <w:vMerge w:val="continue"/>
            <w:vAlign w:val="center"/>
          </w:tcPr>
          <w:p>
            <w:pPr>
              <w:ind w:firstLine="28"/>
              <w:jc w:val="center"/>
              <w:rPr>
                <w:rFonts w:hint="eastAsia" w:ascii="微软雅黑" w:hAnsi="微软雅黑" w:eastAsia="微软雅黑" w:cs="微软雅黑"/>
                <w:color w:val="auto"/>
                <w:sz w:val="21"/>
                <w:szCs w:val="21"/>
              </w:rPr>
            </w:pP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3.质量保证期</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所投产品质量保证期在满足招标文件质保期要求的前提下，每增加1年加</w:t>
            </w:r>
            <w:r>
              <w:rPr>
                <w:rFonts w:hint="eastAsia" w:ascii="微软雅黑" w:hAnsi="微软雅黑" w:eastAsia="微软雅黑" w:cs="微软雅黑"/>
                <w:color w:val="auto"/>
                <w:sz w:val="21"/>
                <w:szCs w:val="21"/>
                <w:lang w:val="en-US" w:eastAsia="zh-CN"/>
              </w:rPr>
              <w:t>1</w:t>
            </w:r>
            <w:r>
              <w:rPr>
                <w:rFonts w:hint="eastAsia" w:ascii="微软雅黑" w:hAnsi="微软雅黑" w:eastAsia="微软雅黑" w:cs="微软雅黑"/>
                <w:color w:val="auto"/>
                <w:sz w:val="21"/>
                <w:szCs w:val="21"/>
              </w:rPr>
              <w:t>分，本项最多加</w:t>
            </w: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分。</w:t>
            </w:r>
          </w:p>
        </w:tc>
        <w:tc>
          <w:tcPr>
            <w:tcW w:w="2440"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以投标人响应情况或提供承诺函为准（两者二选一提供）。</w:t>
            </w:r>
          </w:p>
        </w:tc>
        <w:tc>
          <w:tcPr>
            <w:tcW w:w="1215" w:type="dxa"/>
            <w:vAlign w:val="center"/>
          </w:tcPr>
          <w:p>
            <w:pP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8" w:hRule="atLeast"/>
          <w:jc w:val="center"/>
        </w:trPr>
        <w:tc>
          <w:tcPr>
            <w:tcW w:w="1570" w:type="dxa"/>
            <w:vMerge w:val="continue"/>
            <w:vAlign w:val="center"/>
          </w:tcPr>
          <w:p>
            <w:pPr>
              <w:ind w:firstLine="28"/>
              <w:jc w:val="center"/>
              <w:rPr>
                <w:rFonts w:hint="eastAsia" w:ascii="微软雅黑" w:hAnsi="微软雅黑" w:eastAsia="微软雅黑" w:cs="微软雅黑"/>
                <w:color w:val="auto"/>
                <w:sz w:val="21"/>
                <w:szCs w:val="21"/>
              </w:rPr>
            </w:pPr>
          </w:p>
        </w:tc>
        <w:tc>
          <w:tcPr>
            <w:tcW w:w="805" w:type="dxa"/>
            <w:vMerge w:val="continue"/>
            <w:vAlign w:val="center"/>
          </w:tcPr>
          <w:p>
            <w:pPr>
              <w:ind w:firstLine="28"/>
              <w:jc w:val="center"/>
              <w:rPr>
                <w:rFonts w:hint="eastAsia" w:ascii="微软雅黑" w:hAnsi="微软雅黑" w:eastAsia="微软雅黑" w:cs="微软雅黑"/>
                <w:color w:val="auto"/>
                <w:sz w:val="21"/>
                <w:szCs w:val="21"/>
              </w:rPr>
            </w:pP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4.质保期后要求</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投标人承诺，质保期到期后，每年所投产品维保费≤中标单价金额的</w:t>
            </w: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%得6分，维保费为中标单价金额的</w:t>
            </w: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%得4分，维保费为中标单价金额的</w:t>
            </w:r>
            <w:r>
              <w:rPr>
                <w:rFonts w:hint="eastAsia" w:ascii="微软雅黑" w:hAnsi="微软雅黑" w:eastAsia="微软雅黑" w:cs="微软雅黑"/>
                <w:color w:val="auto"/>
                <w:sz w:val="21"/>
                <w:szCs w:val="21"/>
                <w:lang w:val="en-US" w:eastAsia="zh-CN"/>
              </w:rPr>
              <w:t>4</w:t>
            </w:r>
            <w:r>
              <w:rPr>
                <w:rFonts w:hint="eastAsia" w:ascii="微软雅黑" w:hAnsi="微软雅黑" w:eastAsia="微软雅黑" w:cs="微软雅黑"/>
                <w:color w:val="auto"/>
                <w:sz w:val="21"/>
                <w:szCs w:val="21"/>
              </w:rPr>
              <w:t>%得</w:t>
            </w: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分，维保费为中标单价金额的</w:t>
            </w:r>
            <w:r>
              <w:rPr>
                <w:rFonts w:hint="eastAsia" w:ascii="微软雅黑" w:hAnsi="微软雅黑" w:eastAsia="微软雅黑" w:cs="微软雅黑"/>
                <w:color w:val="auto"/>
                <w:sz w:val="21"/>
                <w:szCs w:val="21"/>
                <w:lang w:val="en-US" w:eastAsia="zh-CN"/>
              </w:rPr>
              <w:t>5</w:t>
            </w:r>
            <w:r>
              <w:rPr>
                <w:rFonts w:hint="eastAsia" w:ascii="微软雅黑" w:hAnsi="微软雅黑" w:eastAsia="微软雅黑" w:cs="微软雅黑"/>
                <w:color w:val="auto"/>
                <w:sz w:val="21"/>
                <w:szCs w:val="21"/>
              </w:rPr>
              <w:t>%得</w:t>
            </w:r>
            <w:r>
              <w:rPr>
                <w:rFonts w:hint="eastAsia" w:ascii="微软雅黑" w:hAnsi="微软雅黑" w:eastAsia="微软雅黑" w:cs="微软雅黑"/>
                <w:color w:val="auto"/>
                <w:sz w:val="21"/>
                <w:szCs w:val="21"/>
                <w:lang w:val="en-US" w:eastAsia="zh-CN"/>
              </w:rPr>
              <w:t>0</w:t>
            </w:r>
            <w:r>
              <w:rPr>
                <w:rFonts w:hint="eastAsia" w:ascii="微软雅黑" w:hAnsi="微软雅黑" w:eastAsia="微软雅黑" w:cs="微软雅黑"/>
                <w:color w:val="auto"/>
                <w:sz w:val="21"/>
                <w:szCs w:val="21"/>
              </w:rPr>
              <w:t>分，超出中标单价金额/中标金额的</w:t>
            </w:r>
            <w:r>
              <w:rPr>
                <w:rFonts w:hint="eastAsia" w:ascii="微软雅黑" w:hAnsi="微软雅黑" w:eastAsia="微软雅黑" w:cs="微软雅黑"/>
                <w:color w:val="auto"/>
                <w:sz w:val="21"/>
                <w:szCs w:val="21"/>
                <w:lang w:val="en-US" w:eastAsia="zh-CN"/>
              </w:rPr>
              <w:t>5</w:t>
            </w:r>
            <w:r>
              <w:rPr>
                <w:rFonts w:hint="eastAsia" w:ascii="微软雅黑" w:hAnsi="微软雅黑" w:eastAsia="微软雅黑" w:cs="微软雅黑"/>
                <w:color w:val="auto"/>
                <w:sz w:val="21"/>
                <w:szCs w:val="21"/>
              </w:rPr>
              <w:t>%或未提供承诺函得0分。</w:t>
            </w:r>
          </w:p>
        </w:tc>
        <w:tc>
          <w:tcPr>
            <w:tcW w:w="2440"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提供承诺函，格式自拟。</w:t>
            </w:r>
          </w:p>
        </w:tc>
        <w:tc>
          <w:tcPr>
            <w:tcW w:w="1215" w:type="dxa"/>
            <w:vAlign w:val="center"/>
          </w:tcPr>
          <w:p>
            <w:pP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5" w:hRule="atLeast"/>
          <w:jc w:val="center"/>
        </w:trPr>
        <w:tc>
          <w:tcPr>
            <w:tcW w:w="1570" w:type="dxa"/>
            <w:vMerge w:val="continue"/>
            <w:vAlign w:val="center"/>
          </w:tcPr>
          <w:p>
            <w:pPr>
              <w:ind w:firstLine="28"/>
              <w:jc w:val="center"/>
              <w:rPr>
                <w:rFonts w:hint="eastAsia" w:ascii="微软雅黑" w:hAnsi="微软雅黑" w:eastAsia="微软雅黑" w:cs="微软雅黑"/>
                <w:color w:val="auto"/>
                <w:sz w:val="21"/>
                <w:szCs w:val="21"/>
              </w:rPr>
            </w:pPr>
          </w:p>
        </w:tc>
        <w:tc>
          <w:tcPr>
            <w:tcW w:w="805" w:type="dxa"/>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履约能力</w:t>
            </w:r>
          </w:p>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4</w:t>
            </w: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2021年1月1日至投标截止时间止（以合同签订时间为准)，投标人或所投产品制造商有所投同品牌同型号产品的销售业绩（买方非经销商或代理商），提供一个业绩得1分，本项最多得4分，不满足或未提供对应佐证材料的得0分。</w:t>
            </w:r>
          </w:p>
        </w:tc>
        <w:tc>
          <w:tcPr>
            <w:tcW w:w="2440"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1.提供业绩合同复印件（合同内容至少包含合同首页，产品信息页（内容包含产品型号规格和数量）、签字盖章页）；</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2.业绩合同对应佐证材料：验收合格报告复印件或中标/成交结果公示（公告）复印件或对应业绩合同的付款凭证（转账凭证）复印件，以上三选一提供；</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3.同一业绩合同只计分一次。</w:t>
            </w:r>
          </w:p>
        </w:tc>
        <w:tc>
          <w:tcPr>
            <w:tcW w:w="1215" w:type="dxa"/>
            <w:vAlign w:val="center"/>
          </w:tcPr>
          <w:p>
            <w:pPr>
              <w:rPr>
                <w:rFonts w:hint="eastAsia" w:ascii="微软雅黑" w:hAnsi="微软雅黑" w:eastAsia="微软雅黑" w:cs="微软雅黑"/>
                <w:color w:val="auto"/>
                <w:sz w:val="21"/>
                <w:szCs w:val="21"/>
              </w:rPr>
            </w:pPr>
          </w:p>
        </w:tc>
      </w:tr>
    </w:tbl>
    <w:p>
      <w:pPr>
        <w:spacing w:line="360" w:lineRule="auto"/>
        <w:ind w:firstLine="480" w:firstLineChars="200"/>
        <w:jc w:val="center"/>
        <w:outlineLvl w:val="0"/>
        <w:rPr>
          <w:rFonts w:hint="eastAsia" w:ascii="微软雅黑" w:hAnsi="微软雅黑" w:eastAsia="微软雅黑" w:cs="微软雅黑"/>
          <w:color w:val="auto"/>
          <w:sz w:val="24"/>
          <w:szCs w:val="24"/>
        </w:rPr>
      </w:pPr>
    </w:p>
    <w:p>
      <w:pPr>
        <w:spacing w:line="360" w:lineRule="auto"/>
        <w:ind w:firstLine="480" w:firstLineChars="200"/>
        <w:jc w:val="center"/>
        <w:outlineLvl w:val="0"/>
        <w:rPr>
          <w:rFonts w:hint="eastAsia" w:ascii="微软雅黑" w:hAnsi="微软雅黑" w:eastAsia="微软雅黑" w:cs="微软雅黑"/>
          <w:color w:val="auto"/>
          <w:sz w:val="24"/>
          <w:szCs w:val="24"/>
        </w:rPr>
      </w:pPr>
    </w:p>
    <w:p>
      <w:pPr>
        <w:spacing w:line="360" w:lineRule="auto"/>
        <w:ind w:firstLine="480" w:firstLineChars="200"/>
        <w:jc w:val="center"/>
        <w:outlineLvl w:val="0"/>
        <w:rPr>
          <w:rFonts w:hint="eastAsia" w:ascii="微软雅黑" w:hAnsi="微软雅黑" w:eastAsia="微软雅黑" w:cs="微软雅黑"/>
          <w:color w:val="auto"/>
          <w:sz w:val="24"/>
          <w:szCs w:val="24"/>
        </w:rPr>
      </w:pPr>
    </w:p>
    <w:p>
      <w:pPr>
        <w:spacing w:line="360" w:lineRule="auto"/>
        <w:ind w:firstLine="480" w:firstLineChars="200"/>
        <w:jc w:val="center"/>
        <w:outlineLvl w:val="0"/>
        <w:rPr>
          <w:rFonts w:hint="eastAsia" w:ascii="微软雅黑" w:hAnsi="微软雅黑" w:eastAsia="微软雅黑" w:cs="微软雅黑"/>
          <w:color w:val="auto"/>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完</w:t>
      </w:r>
      <w:r>
        <w:rPr>
          <w:rFonts w:hint="eastAsia" w:ascii="微软雅黑" w:hAnsi="微软雅黑" w:eastAsia="微软雅黑" w:cs="微软雅黑"/>
          <w:color w:val="auto"/>
          <w:sz w:val="24"/>
          <w:szCs w:val="24"/>
        </w:rPr>
        <w:t>）</w:t>
      </w:r>
      <w:bookmarkEnd w:id="4"/>
    </w:p>
    <w:sectPr>
      <w:headerReference r:id="rId22"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ind w:right="360"/>
      <w:jc w:val="center"/>
    </w:pPr>
    <w:r>
      <w:fldChar w:fldCharType="begin"/>
    </w:r>
    <w:r>
      <w:rPr>
        <w:rStyle w:val="62"/>
      </w:rPr>
      <w:instrText xml:space="preserve"> PAGE </w:instrText>
    </w:r>
    <w:r>
      <w:fldChar w:fldCharType="separate"/>
    </w:r>
    <w:r>
      <w:rPr>
        <w:rStyle w:val="62"/>
      </w:rPr>
      <w:t>- 23 -</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right" w:y="1"/>
      <w:rPr>
        <w:rStyle w:val="62"/>
      </w:rPr>
    </w:pPr>
    <w:r>
      <w:fldChar w:fldCharType="begin"/>
    </w:r>
    <w:r>
      <w:rPr>
        <w:rStyle w:val="62"/>
      </w:rPr>
      <w:instrText xml:space="preserve">PAGE  </w:instrText>
    </w:r>
    <w:r>
      <w:fldChar w:fldCharType="separate"/>
    </w:r>
    <w:r>
      <w:rPr>
        <w:rStyle w:val="62"/>
      </w:rPr>
      <w:t>- 4 -</w:t>
    </w:r>
    <w:r>
      <w:fldChar w:fldCharType="end"/>
    </w:r>
  </w:p>
  <w:p>
    <w:pPr>
      <w:pStyle w:val="36"/>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ind w:right="360"/>
      <w:jc w:val="center"/>
    </w:pPr>
    <w:r>
      <w:fldChar w:fldCharType="begin"/>
    </w:r>
    <w:r>
      <w:rPr>
        <w:rStyle w:val="62"/>
      </w:rPr>
      <w:instrText xml:space="preserve"> PAGE </w:instrText>
    </w:r>
    <w:r>
      <w:fldChar w:fldCharType="separate"/>
    </w:r>
    <w:r>
      <w:rPr>
        <w:rStyle w:val="62"/>
      </w:rPr>
      <w:t>- 23 -</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right" w:y="1"/>
      <w:rPr>
        <w:rStyle w:val="62"/>
      </w:rPr>
    </w:pPr>
    <w:r>
      <w:fldChar w:fldCharType="begin"/>
    </w:r>
    <w:r>
      <w:rPr>
        <w:rStyle w:val="62"/>
      </w:rPr>
      <w:instrText xml:space="preserve">PAGE  </w:instrText>
    </w:r>
    <w:r>
      <w:fldChar w:fldCharType="separate"/>
    </w:r>
    <w:r>
      <w:rPr>
        <w:rStyle w:val="62"/>
      </w:rPr>
      <w:t>- 4 -</w:t>
    </w:r>
    <w:r>
      <w:fldChar w:fldCharType="end"/>
    </w:r>
  </w:p>
  <w:p>
    <w:pPr>
      <w:pStyle w:val="36"/>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rPr>
        <w:rStyle w:val="62"/>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18</w:t>
                    </w:r>
                    <w:r>
                      <w:fldChar w:fldCharType="end"/>
                    </w:r>
                  </w:p>
                </w:txbxContent>
              </v:textbox>
            </v:shape>
          </w:pict>
        </mc:Fallback>
      </mc:AlternateContent>
    </w:r>
  </w:p>
  <w:p>
    <w:pPr>
      <w:pStyle w:val="36"/>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w:t>
    </w:r>
    <w:r>
      <w:rPr>
        <w:rFonts w:hint="eastAsia"/>
        <w:lang w:val="en-US" w:eastAsia="zh-CN"/>
      </w:rPr>
      <w:t>采购</w:t>
    </w:r>
    <w:r>
      <w:rPr>
        <w:rFonts w:hint="eastAsia"/>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30AFF8"/>
    <w:multiLevelType w:val="singleLevel"/>
    <w:tmpl w:val="D930AFF8"/>
    <w:lvl w:ilvl="0" w:tentative="0">
      <w:start w:val="3"/>
      <w:numFmt w:val="chineseCounting"/>
      <w:suff w:val="nothing"/>
      <w:lvlText w:val="（%1）"/>
      <w:lvlJc w:val="left"/>
      <w:rPr>
        <w:rFonts w:hint="eastAsia"/>
      </w:rPr>
    </w:lvl>
  </w:abstractNum>
  <w:abstractNum w:abstractNumId="1">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4">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5">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6">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7">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10">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1">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2">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9"/>
  </w:num>
  <w:num w:numId="2">
    <w:abstractNumId w:val="6"/>
  </w:num>
  <w:num w:numId="3">
    <w:abstractNumId w:val="4"/>
  </w:num>
  <w:num w:numId="4">
    <w:abstractNumId w:val="10"/>
  </w:num>
  <w:num w:numId="5">
    <w:abstractNumId w:val="13"/>
  </w:num>
  <w:num w:numId="6">
    <w:abstractNumId w:val="1"/>
  </w:num>
  <w:num w:numId="7">
    <w:abstractNumId w:val="7"/>
  </w:num>
  <w:num w:numId="8">
    <w:abstractNumId w:val="12"/>
  </w:num>
  <w:num w:numId="9">
    <w:abstractNumId w:val="2"/>
  </w:num>
  <w:num w:numId="10">
    <w:abstractNumId w:val="3"/>
  </w:num>
  <w:num w:numId="11">
    <w:abstractNumId w:val="8"/>
  </w:num>
  <w:num w:numId="12">
    <w:abstractNumId w:val="5"/>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30620E3"/>
    <w:rsid w:val="031F6604"/>
    <w:rsid w:val="032339C1"/>
    <w:rsid w:val="03502CFD"/>
    <w:rsid w:val="039F2B72"/>
    <w:rsid w:val="05B83278"/>
    <w:rsid w:val="07486D0C"/>
    <w:rsid w:val="079B568B"/>
    <w:rsid w:val="07F103E0"/>
    <w:rsid w:val="092E6FC0"/>
    <w:rsid w:val="0A5B1BB3"/>
    <w:rsid w:val="0AEE1399"/>
    <w:rsid w:val="0BB87E47"/>
    <w:rsid w:val="0BEB3E35"/>
    <w:rsid w:val="0C1A31B5"/>
    <w:rsid w:val="0C3E4D15"/>
    <w:rsid w:val="0D1F249B"/>
    <w:rsid w:val="0D26388C"/>
    <w:rsid w:val="0D2D45FA"/>
    <w:rsid w:val="0D8A3C16"/>
    <w:rsid w:val="0EF9321E"/>
    <w:rsid w:val="0F4F0F37"/>
    <w:rsid w:val="0FBA6FCD"/>
    <w:rsid w:val="1009316D"/>
    <w:rsid w:val="108300B5"/>
    <w:rsid w:val="11044578"/>
    <w:rsid w:val="11C41133"/>
    <w:rsid w:val="1317485C"/>
    <w:rsid w:val="13D824C6"/>
    <w:rsid w:val="147A5E14"/>
    <w:rsid w:val="14D11CFB"/>
    <w:rsid w:val="15935DB5"/>
    <w:rsid w:val="15BB3449"/>
    <w:rsid w:val="17324323"/>
    <w:rsid w:val="17A1211B"/>
    <w:rsid w:val="17F359FB"/>
    <w:rsid w:val="18ED7A84"/>
    <w:rsid w:val="19255AF5"/>
    <w:rsid w:val="1A7E6296"/>
    <w:rsid w:val="1BCD722E"/>
    <w:rsid w:val="1BDA5AD7"/>
    <w:rsid w:val="1F0D01CA"/>
    <w:rsid w:val="21226BB2"/>
    <w:rsid w:val="21864056"/>
    <w:rsid w:val="222348FC"/>
    <w:rsid w:val="22F860AB"/>
    <w:rsid w:val="2486441F"/>
    <w:rsid w:val="24E6174E"/>
    <w:rsid w:val="25922C5A"/>
    <w:rsid w:val="263535D3"/>
    <w:rsid w:val="273F7D71"/>
    <w:rsid w:val="28426BC2"/>
    <w:rsid w:val="2863744A"/>
    <w:rsid w:val="29601F8B"/>
    <w:rsid w:val="296F02CD"/>
    <w:rsid w:val="2AA01F44"/>
    <w:rsid w:val="2C43216E"/>
    <w:rsid w:val="2CD472B8"/>
    <w:rsid w:val="2D4B12DF"/>
    <w:rsid w:val="2DB02B6B"/>
    <w:rsid w:val="2EB17C28"/>
    <w:rsid w:val="2ED06C87"/>
    <w:rsid w:val="300C58E0"/>
    <w:rsid w:val="30607DAE"/>
    <w:rsid w:val="31DA5A58"/>
    <w:rsid w:val="32FD7152"/>
    <w:rsid w:val="332D1E43"/>
    <w:rsid w:val="33D42561"/>
    <w:rsid w:val="34692D0C"/>
    <w:rsid w:val="34A20882"/>
    <w:rsid w:val="34B67588"/>
    <w:rsid w:val="35AA6A30"/>
    <w:rsid w:val="361F2D7D"/>
    <w:rsid w:val="365370CC"/>
    <w:rsid w:val="37556B60"/>
    <w:rsid w:val="38CD7FDC"/>
    <w:rsid w:val="3ACE5D4F"/>
    <w:rsid w:val="3C55524B"/>
    <w:rsid w:val="3CCE1388"/>
    <w:rsid w:val="3DF6488D"/>
    <w:rsid w:val="3F1C71CA"/>
    <w:rsid w:val="406334F2"/>
    <w:rsid w:val="406D5057"/>
    <w:rsid w:val="409F14A1"/>
    <w:rsid w:val="415F6EA3"/>
    <w:rsid w:val="446528DF"/>
    <w:rsid w:val="44F64ED7"/>
    <w:rsid w:val="452C7897"/>
    <w:rsid w:val="46151D23"/>
    <w:rsid w:val="46D026EE"/>
    <w:rsid w:val="475C42D4"/>
    <w:rsid w:val="475E104C"/>
    <w:rsid w:val="494C6B8D"/>
    <w:rsid w:val="497B7CB3"/>
    <w:rsid w:val="4A8845CE"/>
    <w:rsid w:val="4B2D12E0"/>
    <w:rsid w:val="4BEB6B31"/>
    <w:rsid w:val="4DD36371"/>
    <w:rsid w:val="4EEC1F3B"/>
    <w:rsid w:val="4F070047"/>
    <w:rsid w:val="4F3C244F"/>
    <w:rsid w:val="4FCD30B4"/>
    <w:rsid w:val="5115115D"/>
    <w:rsid w:val="521E4A24"/>
    <w:rsid w:val="52D92ACB"/>
    <w:rsid w:val="53B4776F"/>
    <w:rsid w:val="53DF1E3A"/>
    <w:rsid w:val="540F25CE"/>
    <w:rsid w:val="545B425C"/>
    <w:rsid w:val="54E16692"/>
    <w:rsid w:val="558E730F"/>
    <w:rsid w:val="56313E1D"/>
    <w:rsid w:val="56DE0514"/>
    <w:rsid w:val="573C43EC"/>
    <w:rsid w:val="57857077"/>
    <w:rsid w:val="58EA1C45"/>
    <w:rsid w:val="59AE6800"/>
    <w:rsid w:val="59D52FEA"/>
    <w:rsid w:val="5A1F6A46"/>
    <w:rsid w:val="5CA67F0E"/>
    <w:rsid w:val="5DAD4E7C"/>
    <w:rsid w:val="5DB97A48"/>
    <w:rsid w:val="5E16050E"/>
    <w:rsid w:val="5E3D2C1E"/>
    <w:rsid w:val="5EFE2025"/>
    <w:rsid w:val="5F05278C"/>
    <w:rsid w:val="60CB5C8F"/>
    <w:rsid w:val="61743609"/>
    <w:rsid w:val="6190049D"/>
    <w:rsid w:val="628D3A49"/>
    <w:rsid w:val="648E3C9A"/>
    <w:rsid w:val="6493239B"/>
    <w:rsid w:val="64DA4767"/>
    <w:rsid w:val="65170F5B"/>
    <w:rsid w:val="65215328"/>
    <w:rsid w:val="670A099E"/>
    <w:rsid w:val="68BD663A"/>
    <w:rsid w:val="692F74C0"/>
    <w:rsid w:val="696405DD"/>
    <w:rsid w:val="69BE2355"/>
    <w:rsid w:val="6B75107A"/>
    <w:rsid w:val="6D5236ED"/>
    <w:rsid w:val="6F1D384D"/>
    <w:rsid w:val="6FE969BF"/>
    <w:rsid w:val="701245F9"/>
    <w:rsid w:val="71175C34"/>
    <w:rsid w:val="74D70DF7"/>
    <w:rsid w:val="750950F5"/>
    <w:rsid w:val="750D16CF"/>
    <w:rsid w:val="76F6623C"/>
    <w:rsid w:val="773622B4"/>
    <w:rsid w:val="789F3DA6"/>
    <w:rsid w:val="78A52377"/>
    <w:rsid w:val="78D56BE5"/>
    <w:rsid w:val="79082185"/>
    <w:rsid w:val="791259F2"/>
    <w:rsid w:val="7A6F77AB"/>
    <w:rsid w:val="7ABA3FBA"/>
    <w:rsid w:val="7B3C12E1"/>
    <w:rsid w:val="7B5B7497"/>
    <w:rsid w:val="7BEF5F10"/>
    <w:rsid w:val="7C567AC5"/>
    <w:rsid w:val="7C745D1B"/>
    <w:rsid w:val="7D9563F1"/>
    <w:rsid w:val="7EB03B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Indent"/>
    <w:basedOn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index 4"/>
    <w:basedOn w:val="1"/>
    <w:next w:val="1"/>
    <w:qFormat/>
    <w:uiPriority w:val="99"/>
    <w:pPr>
      <w:ind w:left="600" w:leftChars="600"/>
    </w:p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next w:val="17"/>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1"/>
    <w:next w:val="1"/>
    <w:qFormat/>
    <w:uiPriority w:val="0"/>
    <w:pPr>
      <w:spacing w:line="360" w:lineRule="auto"/>
      <w:ind w:firstLine="420"/>
    </w:pPr>
    <w:rPr>
      <w:rFonts w:ascii="宋体" w:hAnsi="宋体"/>
      <w:sz w:val="24"/>
    </w:rPr>
  </w:style>
  <w:style w:type="paragraph" w:styleId="57">
    <w:name w:val="Body Text First Indent 2"/>
    <w:basedOn w:val="23"/>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黑体"/>
      <w:b/>
      <w:kern w:val="2"/>
      <w:sz w:val="32"/>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3"/>
    <w:qFormat/>
    <w:uiPriority w:val="0"/>
    <w:rPr>
      <w:kern w:val="2"/>
      <w:sz w:val="44"/>
    </w:rPr>
  </w:style>
  <w:style w:type="character" w:customStyle="1" w:styleId="75">
    <w:name w:val="日期 字符"/>
    <w:link w:val="33"/>
    <w:qFormat/>
    <w:uiPriority w:val="0"/>
    <w:rPr>
      <w:kern w:val="2"/>
      <w:sz w:val="28"/>
    </w:rPr>
  </w:style>
  <w:style w:type="character" w:customStyle="1" w:styleId="76">
    <w:name w:val="正文文本缩进 2 字符1"/>
    <w:link w:val="34"/>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8"/>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3"/>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10"/>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2"/>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character" w:customStyle="1" w:styleId="243">
    <w:name w:val="font11"/>
    <w:basedOn w:val="60"/>
    <w:qFormat/>
    <w:uiPriority w:val="0"/>
    <w:rPr>
      <w:rFonts w:hint="eastAsia" w:ascii="宋体" w:hAnsi="宋体" w:eastAsia="宋体" w:cs="宋体"/>
      <w:color w:val="000000"/>
      <w:sz w:val="22"/>
      <w:szCs w:val="22"/>
      <w:u w:val="none"/>
    </w:rPr>
  </w:style>
  <w:style w:type="character" w:customStyle="1" w:styleId="244">
    <w:name w:val="font21"/>
    <w:basedOn w:val="60"/>
    <w:qFormat/>
    <w:uiPriority w:val="0"/>
    <w:rPr>
      <w:rFonts w:hint="default" w:ascii="Arial" w:hAnsi="Arial" w:cs="Arial"/>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theme" Target="theme/theme1.xml"/><Relationship Id="rId22" Type="http://schemas.openxmlformats.org/officeDocument/2006/relationships/header" Target="header7.xml"/><Relationship Id="rId21" Type="http://schemas.openxmlformats.org/officeDocument/2006/relationships/header" Target="header6.xml"/><Relationship Id="rId20" Type="http://schemas.openxmlformats.org/officeDocument/2006/relationships/footer" Target="footer13.xml"/><Relationship Id="rId2" Type="http://schemas.openxmlformats.org/officeDocument/2006/relationships/settings" Target="settings.xml"/><Relationship Id="rId19" Type="http://schemas.openxmlformats.org/officeDocument/2006/relationships/footer" Target="footer12.xml"/><Relationship Id="rId18" Type="http://schemas.openxmlformats.org/officeDocument/2006/relationships/footer" Target="footer11.xml"/><Relationship Id="rId17" Type="http://schemas.openxmlformats.org/officeDocument/2006/relationships/header" Target="header5.xml"/><Relationship Id="rId16" Type="http://schemas.openxmlformats.org/officeDocument/2006/relationships/header" Target="header4.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header" Target="header3.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30</Pages>
  <Words>2254</Words>
  <Characters>12851</Characters>
  <Lines>107</Lines>
  <Paragraphs>30</Paragraphs>
  <TotalTime>0</TotalTime>
  <ScaleCrop>false</ScaleCrop>
  <LinksUpToDate>false</LinksUpToDate>
  <CharactersWithSpaces>15075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2023-08-07T11:03:00Z</dcterms:created>
  <dc:creator>周媛媛</dc:creator>
  <cp:lastModifiedBy>Administrator</cp:lastModifiedBy>
  <cp:lastPrinted>2015-03-25T02:14:00Z</cp:lastPrinted>
  <dcterms:modified xsi:type="dcterms:W3CDTF">2026-03-09T06:32:47Z</dcterms:modified>
  <dc:title>竞争性谈判文件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344C033820B54069A89AD68EA4A04C71</vt:lpwstr>
  </property>
</Properties>
</file>