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YSB260013</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无创脑水肿动态监护仪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7110"/>
      <w:bookmarkStart w:id="1" w:name="_Toc76462316"/>
      <w:bookmarkStart w:id="2" w:name="_Toc11641050"/>
      <w:bookmarkStart w:id="3" w:name="_Toc106030870"/>
      <w:bookmarkStart w:id="4" w:name="_Toc12789052"/>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无创脑水肿动态监护仪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3094"/>
      <w:bookmarkStart w:id="7" w:name="_Toc3856"/>
      <w:bookmarkStart w:id="8" w:name="_Toc106030871"/>
      <w:bookmarkStart w:id="9" w:name="_Toc317775175"/>
      <w:bookmarkStart w:id="10" w:name="_Toc76462317"/>
      <w:bookmarkStart w:id="11" w:name="_Toc31389352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51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1914"/>
        <w:gridCol w:w="1222"/>
        <w:gridCol w:w="1168"/>
        <w:gridCol w:w="1489"/>
        <w:gridCol w:w="2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96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618"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w:t>
            </w:r>
          </w:p>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（万元）</w:t>
            </w:r>
          </w:p>
        </w:tc>
        <w:tc>
          <w:tcPr>
            <w:tcW w:w="59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53"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c>
          <w:tcPr>
            <w:tcW w:w="1296"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1"/>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YSB260013</w:t>
            </w:r>
          </w:p>
        </w:tc>
        <w:tc>
          <w:tcPr>
            <w:tcW w:w="9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rPr>
            </w:pPr>
            <w:r>
              <w:rPr>
                <w:rFonts w:hint="eastAsia" w:ascii="微软雅黑" w:hAnsi="微软雅黑" w:eastAsia="微软雅黑" w:cs="微软雅黑"/>
                <w:color w:val="auto"/>
                <w:sz w:val="21"/>
                <w:szCs w:val="21"/>
                <w:highlight w:val="none"/>
              </w:rPr>
              <w:t>无创脑水肿动态监护仪</w:t>
            </w:r>
          </w:p>
        </w:tc>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49</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296" w:type="pct"/>
            <w:tcBorders>
              <w:top w:val="single" w:color="auto" w:sz="4" w:space="0"/>
              <w:left w:val="single" w:color="auto" w:sz="4" w:space="0"/>
              <w:bottom w:val="single" w:color="auto" w:sz="4" w:space="0"/>
              <w:right w:val="single" w:color="auto" w:sz="4" w:space="0"/>
            </w:tcBorders>
            <w:vAlign w:val="center"/>
          </w:tcPr>
          <w:p>
            <w:pPr>
              <w:pStyle w:val="2"/>
              <w:rPr>
                <w:rFonts w:hint="eastAsia" w:ascii="微软雅黑" w:hAnsi="微软雅黑" w:eastAsia="微软雅黑" w:cs="微软雅黑"/>
                <w:sz w:val="21"/>
                <w:szCs w:val="21"/>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27954"/>
      <w:bookmarkStart w:id="23" w:name="_Toc106030874"/>
      <w:bookmarkStart w:id="24" w:name="_Toc7646232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须具有所提供产品《第一类医疗器械备案凭证》及《第一类医疗器械备案信息表》及产品备案;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所提供产品不属于医疗器械的无需提供上述第2-6款材料。</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投标人所投产品必须为国内生产</w:t>
      </w:r>
      <w:r>
        <w:rPr>
          <w:rFonts w:hint="eastAsia" w:ascii="微软雅黑" w:hAnsi="微软雅黑" w:eastAsia="微软雅黑" w:cs="微软雅黑"/>
          <w:sz w:val="24"/>
          <w:szCs w:val="24"/>
          <w:lang w:eastAsia="zh-CN"/>
        </w:rPr>
        <w:t>。</w:t>
      </w:r>
    </w:p>
    <w:p>
      <w:pPr>
        <w:numPr>
          <w:ilvl w:val="0"/>
          <w:numId w:val="0"/>
        </w:numPr>
        <w:spacing w:line="400" w:lineRule="exact"/>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12841"/>
      <w:bookmarkStart w:id="27" w:name="_Toc6178"/>
      <w:bookmarkStart w:id="28" w:name="_Toc11956"/>
      <w:bookmarkStart w:id="29" w:name="_Toc525047161"/>
      <w:bookmarkStart w:id="30" w:name="_Toc26664"/>
      <w:bookmarkStart w:id="31" w:name="_Toc521053053"/>
      <w:bookmarkStart w:id="32" w:name="_Toc6566033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65660335"/>
      <w:bookmarkStart w:id="36" w:name="_Toc521053054"/>
      <w:bookmarkStart w:id="37" w:name="_Toc2945"/>
      <w:bookmarkStart w:id="38" w:name="_Toc106034626"/>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521053055"/>
      <w:bookmarkStart w:id="43" w:name="_Toc16269"/>
      <w:bookmarkStart w:id="44" w:name="_Toc6563"/>
      <w:bookmarkStart w:id="45" w:name="_Toc106034627"/>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1079"/>
      <w:bookmarkStart w:id="48" w:name="_Toc521053056"/>
      <w:bookmarkStart w:id="49" w:name="_Toc525047164"/>
      <w:bookmarkStart w:id="50" w:name="_Toc1733"/>
      <w:bookmarkStart w:id="51" w:name="_Toc106034628"/>
      <w:bookmarkStart w:id="52" w:name="_Toc24901"/>
      <w:bookmarkStart w:id="53" w:name="_Toc10415"/>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9886"/>
      <w:bookmarkStart w:id="56" w:name="_Toc75793504"/>
      <w:bookmarkStart w:id="57" w:name="_Toc26176"/>
      <w:bookmarkStart w:id="58" w:name="_Toc25639"/>
      <w:bookmarkStart w:id="59" w:name="_Toc2070"/>
      <w:bookmarkStart w:id="60" w:name="_Toc1492"/>
      <w:bookmarkStart w:id="61" w:name="_Toc11017"/>
      <w:bookmarkStart w:id="62" w:name="_Toc1625"/>
      <w:bookmarkStart w:id="63" w:name="_Toc5461"/>
      <w:bookmarkStart w:id="64" w:name="_Toc32686"/>
      <w:bookmarkStart w:id="65" w:name="_Toc725"/>
      <w:bookmarkStart w:id="66" w:name="_Toc2422"/>
      <w:bookmarkStart w:id="67" w:name="_Toc8649"/>
      <w:bookmarkStart w:id="68" w:name="_Toc23143"/>
      <w:bookmarkStart w:id="69" w:name="_Toc12959"/>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14433"/>
      <w:bookmarkStart w:id="74" w:name="_Toc4913"/>
      <w:bookmarkStart w:id="75" w:name="_Toc4531"/>
      <w:bookmarkStart w:id="76" w:name="_Toc75793505"/>
      <w:bookmarkStart w:id="77" w:name="_Toc20979"/>
      <w:bookmarkStart w:id="78" w:name="_Toc9261"/>
      <w:bookmarkStart w:id="79" w:name="_Toc23504"/>
      <w:bookmarkStart w:id="80" w:name="_Toc19238"/>
      <w:bookmarkStart w:id="81" w:name="_Toc4519"/>
      <w:bookmarkStart w:id="82" w:name="_Toc29985"/>
      <w:bookmarkStart w:id="83" w:name="_Toc106030381"/>
      <w:bookmarkStart w:id="84" w:name="_Toc7027"/>
      <w:bookmarkStart w:id="85" w:name="_Toc11703"/>
      <w:bookmarkStart w:id="86" w:name="_Toc23656"/>
      <w:bookmarkStart w:id="87" w:name="_Toc8370"/>
      <w:bookmarkStart w:id="88" w:name="_Toc2291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rPr>
            </w:pPr>
            <w:r>
              <w:rPr>
                <w:rFonts w:hint="eastAsia" w:ascii="微软雅黑" w:hAnsi="微软雅黑" w:eastAsia="微软雅黑" w:cs="微软雅黑"/>
                <w:color w:val="auto"/>
                <w:sz w:val="21"/>
                <w:szCs w:val="21"/>
                <w:highlight w:val="none"/>
              </w:rPr>
              <w:t>无创脑水肿动态监护仪</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1台</w:t>
            </w:r>
          </w:p>
        </w:tc>
        <w:tc>
          <w:tcPr>
            <w:tcW w:w="1462" w:type="dxa"/>
            <w:vAlign w:val="center"/>
          </w:tcPr>
          <w:p>
            <w:pPr>
              <w:jc w:val="center"/>
              <w:rPr>
                <w:rFonts w:hint="eastAsia" w:ascii="微软雅黑" w:hAnsi="微软雅黑" w:eastAsia="微软雅黑" w:cs="微软雅黑"/>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lang w:val="en-US" w:eastAsia="zh-CN"/>
              </w:rPr>
            </w:pPr>
            <w:bookmarkStart w:id="89" w:name="_Toc28205"/>
            <w:bookmarkStart w:id="90" w:name="_Toc15696"/>
            <w:bookmarkStart w:id="91" w:name="_Toc695"/>
            <w:bookmarkStart w:id="92" w:name="_Toc7792"/>
            <w:bookmarkStart w:id="93" w:name="_Toc5751"/>
            <w:bookmarkStart w:id="94" w:name="_Toc18675"/>
            <w:bookmarkStart w:id="95" w:name="_Toc75793506"/>
            <w:bookmarkStart w:id="96" w:name="_Toc27067"/>
            <w:bookmarkStart w:id="97" w:name="_Toc12568"/>
            <w:bookmarkStart w:id="98" w:name="_Toc10143"/>
            <w:bookmarkStart w:id="99" w:name="_Toc18903"/>
            <w:bookmarkStart w:id="100" w:name="_Toc18800"/>
            <w:bookmarkStart w:id="101" w:name="_Toc32262"/>
            <w:bookmarkStart w:id="102" w:name="_Toc23975"/>
            <w:bookmarkStart w:id="103" w:name="_Toc21817"/>
            <w:bookmarkStart w:id="104" w:name="_Toc106030382"/>
            <w:bookmarkStart w:id="105" w:name="_Toc26453"/>
            <w:r>
              <w:rPr>
                <w:rFonts w:hint="eastAsia" w:ascii="微软雅黑" w:hAnsi="微软雅黑" w:eastAsia="微软雅黑" w:cs="微软雅黑"/>
                <w:sz w:val="21"/>
                <w:szCs w:val="21"/>
                <w:lang w:val="en-US" w:eastAsia="zh-CN"/>
              </w:rPr>
              <w:t>2</w:t>
            </w:r>
          </w:p>
        </w:tc>
        <w:tc>
          <w:tcPr>
            <w:tcW w:w="3614"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color w:val="auto"/>
                <w:sz w:val="21"/>
                <w:szCs w:val="21"/>
                <w:lang w:eastAsia="zh-CN"/>
              </w:rPr>
              <w:t>一次性使用脑检测电极</w:t>
            </w:r>
          </w:p>
        </w:tc>
        <w:tc>
          <w:tcPr>
            <w:tcW w:w="1462" w:type="dxa"/>
            <w:vAlign w:val="center"/>
          </w:tcPr>
          <w:p>
            <w:pPr>
              <w:jc w:val="center"/>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5年</w:t>
            </w:r>
          </w:p>
        </w:tc>
        <w:tc>
          <w:tcPr>
            <w:tcW w:w="1462"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专属耗材</w:t>
            </w:r>
          </w:p>
        </w:tc>
      </w:tr>
    </w:tbl>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eastAsia="zh-CN"/>
        </w:rPr>
      </w:pPr>
      <w:bookmarkStart w:id="106" w:name="_Toc7791"/>
      <w:bookmarkStart w:id="107" w:name="_Toc12473"/>
      <w:bookmarkStart w:id="108" w:name="_Toc106030882"/>
      <w:bookmarkStart w:id="109" w:name="_Toc76462327"/>
      <w:r>
        <w:rPr>
          <w:rFonts w:hint="eastAsia" w:ascii="微软雅黑" w:hAnsi="微软雅黑" w:eastAsia="微软雅黑" w:cs="微软雅黑"/>
          <w:sz w:val="24"/>
          <w:szCs w:val="24"/>
          <w:lang w:eastAsia="zh-CN"/>
        </w:rPr>
        <w:t>（可优于以下参数和配置）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1.功能：</w:t>
      </w:r>
      <w:r>
        <w:rPr>
          <w:rFonts w:hint="eastAsia" w:ascii="微软雅黑" w:hAnsi="微软雅黑" w:eastAsia="微软雅黑" w:cs="微软雅黑"/>
          <w:sz w:val="24"/>
          <w:szCs w:val="24"/>
        </w:rPr>
        <w:t>无创脑水肿动态监护仪输出水肿系数、扰动系数、颅内压值三项参数，适用于对脑出血、脑梗塞、脑外伤、脑肿瘤、脑炎等一系列颅脑疾病引起的生物脑电阻抗异常、颅内压增高及继发性脑水肿、脑积水监测。</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便携式机型，液晶显示触屏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嵌入式实时操作系统：Windows 10操作系统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存储方式：本地存储≥30GB，提供USB转存储接口</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5.正</w:t>
      </w:r>
      <w:r>
        <w:rPr>
          <w:rFonts w:hint="eastAsia" w:ascii="微软雅黑" w:hAnsi="微软雅黑" w:eastAsia="微软雅黑" w:cs="微软雅黑"/>
          <w:sz w:val="24"/>
          <w:szCs w:val="24"/>
        </w:rPr>
        <w:t>弦波输出，频率10 KHz-100 KHz</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测量精度：误差在±5%以内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采样速率：1 MSPS</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输出波形幅值≤5V</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输出电流幅值≤2mA</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AD转换位数：≥12位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滤波方式：数字化软件滤波</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电极数量：4个及以上</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测量方式：差分测量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阻抗测量精度：误差≤5%以内</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阻抗测量范围：50Ω~2000Ω</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专家数据库：内嵌大数据算法；海量存储，可存储10万病人档案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单次监测时间：根据监测需要1min-24h可调整</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功能指标：动态监护并可数值显示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至少包含以下内容</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参数1：扰动系数（生物电阻抗）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参数2：水肿系数值动态监护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参数3：平均颅内压值ICP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17、</w:t>
      </w:r>
      <w:r>
        <w:rPr>
          <w:rFonts w:hint="eastAsia" w:ascii="微软雅黑" w:hAnsi="微软雅黑" w:eastAsia="微软雅黑" w:cs="微软雅黑"/>
          <w:sz w:val="24"/>
          <w:szCs w:val="24"/>
        </w:rPr>
        <w:t>数据显示：能按照柱状图/曲线图等方式进行显示</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18、配置需求：</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6074"/>
        <w:gridCol w:w="1390"/>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序号</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设备配置名称</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数量</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rPr>
              <w:t>1</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主  机</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测试线</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2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电源线</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熔断器</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2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防尘罩</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使用说明书</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合格证</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99" w:type="pct"/>
            <w:vAlign w:val="center"/>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p>
        </w:tc>
        <w:tc>
          <w:tcPr>
            <w:tcW w:w="315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保修卡</w:t>
            </w:r>
          </w:p>
        </w:tc>
        <w:tc>
          <w:tcPr>
            <w:tcW w:w="721"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 xml:space="preserve">1 </w:t>
            </w:r>
          </w:p>
        </w:tc>
        <w:tc>
          <w:tcPr>
            <w:tcW w:w="624" w:type="pct"/>
            <w:vAlign w:val="center"/>
          </w:tcPr>
          <w:p>
            <w:pPr>
              <w:snapToGrid w:val="0"/>
              <w:spacing w:line="400" w:lineRule="exact"/>
              <w:ind w:firstLine="480" w:firstLineChars="200"/>
              <w:rPr>
                <w:rFonts w:hint="eastAsia" w:ascii="微软雅黑" w:hAnsi="微软雅黑" w:eastAsia="微软雅黑" w:cs="微软雅黑"/>
                <w:sz w:val="24"/>
                <w:szCs w:val="24"/>
                <w:lang w:val="zh-CN"/>
              </w:rPr>
            </w:pPr>
            <w:r>
              <w:rPr>
                <w:rFonts w:hint="eastAsia" w:ascii="微软雅黑" w:hAnsi="微软雅黑" w:eastAsia="微软雅黑" w:cs="微软雅黑"/>
                <w:sz w:val="24"/>
                <w:szCs w:val="24"/>
                <w:lang w:val="zh-CN"/>
              </w:rPr>
              <w:t>张</w:t>
            </w:r>
          </w:p>
        </w:tc>
      </w:tr>
    </w:tbl>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微软雅黑" w:hAnsi="微软雅黑" w:eastAsia="微软雅黑" w:cs="微软雅黑"/>
          <w:sz w:val="44"/>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1.耗材合同期限：5年。</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2.交货时间：</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耗材：中标人应在接到采购人通知后7个日历日内送到指定地点。</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设备：中标人应在接到采购人通知后30个日历日内送到指定地点。</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3.交货地点：</w:t>
            </w:r>
            <w:r>
              <w:rPr>
                <w:rFonts w:hint="eastAsia" w:ascii="微软雅黑" w:hAnsi="微软雅黑" w:eastAsia="微软雅黑" w:cs="微软雅黑"/>
                <w:sz w:val="21"/>
                <w:szCs w:val="21"/>
              </w:rPr>
              <w:t>重庆医科大学附属儿童医院</w:t>
            </w:r>
            <w:r>
              <w:rPr>
                <w:rFonts w:hint="eastAsia" w:ascii="微软雅黑" w:hAnsi="微软雅黑" w:eastAsia="微软雅黑" w:cs="微软雅黑"/>
                <w:sz w:val="21"/>
                <w:szCs w:val="21"/>
                <w:lang w:val="en-US" w:eastAsia="zh-CN"/>
              </w:rPr>
              <w:t>。</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4.验收方式：</w:t>
            </w:r>
          </w:p>
          <w:p>
            <w:pPr>
              <w:widowControl/>
              <w:adjustRightInd w:val="0"/>
              <w:snapToGrid w:val="0"/>
              <w:spacing w:line="300" w:lineRule="auto"/>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耗材：现场抽样开箱验收。</w:t>
            </w:r>
          </w:p>
          <w:p>
            <w:pPr>
              <w:pStyle w:val="2"/>
              <w:numPr>
                <w:ilvl w:val="-1"/>
                <w:numId w:val="0"/>
              </w:numPr>
              <w:ind w:left="0" w:firstLine="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sz w:val="21"/>
                <w:szCs w:val="21"/>
                <w:lang w:val="en-US" w:eastAsia="zh-CN"/>
              </w:rPr>
              <w:t>设备：科室及医学工程科现场验收。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jc w:val="left"/>
              <w:rPr>
                <w:rFonts w:hint="eastAsia" w:ascii="微软雅黑" w:hAnsi="微软雅黑" w:eastAsia="微软雅黑" w:cs="微软雅黑"/>
                <w:bCs/>
                <w:color w:val="333333"/>
                <w:kern w:val="0"/>
                <w:sz w:val="21"/>
                <w:szCs w:val="21"/>
              </w:rPr>
            </w:pPr>
            <w:r>
              <w:rPr>
                <w:rFonts w:hint="eastAsia" w:ascii="微软雅黑" w:hAnsi="微软雅黑" w:eastAsia="微软雅黑" w:cs="微软雅黑"/>
                <w:bCs/>
                <w:color w:val="333333"/>
                <w:kern w:val="0"/>
                <w:sz w:val="21"/>
                <w:szCs w:val="21"/>
              </w:rPr>
              <w:t>1</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rPr>
              <w:t>质保期：不低于5年；</w:t>
            </w:r>
            <w:r>
              <w:rPr>
                <w:rFonts w:hint="eastAsia" w:ascii="微软雅黑" w:hAnsi="微软雅黑" w:eastAsia="微软雅黑" w:cs="微软雅黑"/>
                <w:sz w:val="21"/>
                <w:szCs w:val="21"/>
              </w:rPr>
              <w:t>设备最低使用年限10年。</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2</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机器故障应2</w:t>
            </w:r>
            <w:r>
              <w:rPr>
                <w:rFonts w:hint="eastAsia" w:ascii="微软雅黑" w:hAnsi="微软雅黑" w:eastAsia="微软雅黑" w:cs="微软雅黑"/>
                <w:bCs/>
                <w:color w:val="333333"/>
                <w:kern w:val="0"/>
                <w:sz w:val="21"/>
                <w:szCs w:val="21"/>
              </w:rPr>
              <w:t>小时</w:t>
            </w:r>
            <w:r>
              <w:rPr>
                <w:rFonts w:hint="eastAsia" w:ascii="微软雅黑" w:hAnsi="微软雅黑" w:eastAsia="微软雅黑" w:cs="微软雅黑"/>
                <w:bCs/>
                <w:color w:val="333333"/>
                <w:kern w:val="0"/>
                <w:sz w:val="21"/>
                <w:szCs w:val="21"/>
                <w:lang w:val="de-DE"/>
              </w:rPr>
              <w:t>内故障响应，</w:t>
            </w:r>
            <w:r>
              <w:rPr>
                <w:rFonts w:hint="eastAsia" w:ascii="微软雅黑" w:hAnsi="微软雅黑" w:eastAsia="微软雅黑" w:cs="微软雅黑"/>
                <w:bCs/>
                <w:color w:val="333333"/>
                <w:kern w:val="0"/>
                <w:sz w:val="21"/>
                <w:szCs w:val="21"/>
              </w:rPr>
              <w:t>24小时</w:t>
            </w:r>
            <w:r>
              <w:rPr>
                <w:rFonts w:hint="eastAsia" w:ascii="微软雅黑" w:hAnsi="微软雅黑" w:eastAsia="微软雅黑" w:cs="微软雅黑"/>
                <w:bCs/>
                <w:color w:val="333333"/>
                <w:kern w:val="0"/>
                <w:sz w:val="21"/>
                <w:szCs w:val="21"/>
                <w:lang w:val="de-DE"/>
              </w:rPr>
              <w:t>内到达现场</w:t>
            </w:r>
            <w:r>
              <w:rPr>
                <w:rFonts w:hint="eastAsia" w:ascii="微软雅黑" w:hAnsi="微软雅黑" w:eastAsia="微软雅黑" w:cs="微软雅黑"/>
                <w:bCs/>
                <w:color w:val="333333"/>
                <w:kern w:val="0"/>
                <w:sz w:val="21"/>
                <w:szCs w:val="21"/>
              </w:rPr>
              <w:t>,72小时内</w:t>
            </w:r>
            <w:r>
              <w:rPr>
                <w:rFonts w:hint="eastAsia" w:ascii="微软雅黑" w:hAnsi="微软雅黑" w:eastAsia="微软雅黑" w:cs="微软雅黑"/>
                <w:bCs/>
                <w:color w:val="333333"/>
                <w:kern w:val="0"/>
                <w:sz w:val="21"/>
                <w:szCs w:val="21"/>
                <w:lang w:val="de-DE"/>
              </w:rPr>
              <w:t>解决故障</w:t>
            </w:r>
            <w:r>
              <w:rPr>
                <w:rFonts w:hint="eastAsia" w:ascii="微软雅黑" w:hAnsi="微软雅黑" w:eastAsia="微软雅黑" w:cs="微软雅黑"/>
                <w:bCs/>
                <w:color w:val="333333"/>
                <w:kern w:val="0"/>
                <w:sz w:val="21"/>
                <w:szCs w:val="21"/>
              </w:rPr>
              <w:t>；</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3</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rPr>
              <w:t>不能解决故障48小时内提供备用机或解决方案；</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4</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提供维修技术资料；</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5</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维修工程师免费上门安装、培训；</w:t>
            </w:r>
            <w:r>
              <w:rPr>
                <w:rFonts w:hint="eastAsia" w:ascii="微软雅黑" w:hAnsi="微软雅黑" w:eastAsia="微软雅黑" w:cs="微软雅黑"/>
                <w:sz w:val="21"/>
                <w:szCs w:val="21"/>
              </w:rPr>
              <w:t>供方应对使用及维护人员进行必要的培训，包括异常情况处理及日常的维护操作，现场使用、维护人员能够独立完成各项操作为止。</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6</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一年不低于4次定期维护保养，</w:t>
            </w:r>
            <w:r>
              <w:rPr>
                <w:rFonts w:hint="eastAsia" w:ascii="微软雅黑" w:hAnsi="微软雅黑" w:eastAsia="微软雅黑" w:cs="微软雅黑"/>
                <w:bCs/>
                <w:color w:val="333333"/>
                <w:kern w:val="0"/>
                <w:sz w:val="21"/>
                <w:szCs w:val="21"/>
              </w:rPr>
              <w:t>有故障情况发生，终身免费上门维修</w:t>
            </w:r>
            <w:r>
              <w:rPr>
                <w:rFonts w:hint="eastAsia" w:ascii="微软雅黑" w:hAnsi="微软雅黑" w:eastAsia="微软雅黑" w:cs="微软雅黑"/>
                <w:bCs/>
                <w:color w:val="333333"/>
                <w:kern w:val="0"/>
                <w:sz w:val="21"/>
                <w:szCs w:val="21"/>
                <w:lang w:val="de-DE"/>
              </w:rPr>
              <w:t>；</w:t>
            </w:r>
          </w:p>
          <w:p>
            <w:pPr>
              <w:spacing w:line="360" w:lineRule="auto"/>
              <w:jc w:val="left"/>
              <w:rPr>
                <w:rFonts w:hint="eastAsia" w:ascii="微软雅黑" w:hAnsi="微软雅黑" w:eastAsia="微软雅黑" w:cs="微软雅黑"/>
                <w:bCs/>
                <w:color w:val="333333"/>
                <w:kern w:val="0"/>
                <w:sz w:val="21"/>
                <w:szCs w:val="21"/>
                <w:lang w:val="de-DE" w:eastAsia="zh-CN"/>
              </w:rPr>
            </w:pPr>
            <w:r>
              <w:rPr>
                <w:rFonts w:hint="eastAsia" w:ascii="微软雅黑" w:hAnsi="微软雅黑" w:eastAsia="微软雅黑" w:cs="微软雅黑"/>
                <w:bCs/>
                <w:color w:val="333333"/>
                <w:kern w:val="0"/>
                <w:sz w:val="21"/>
                <w:szCs w:val="21"/>
              </w:rPr>
              <w:t>7</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有西南地区本地化服务机构和服务人员证明并且能够提供证明材料（公司的营业证等复印件加盖公章）</w:t>
            </w:r>
            <w:r>
              <w:rPr>
                <w:rFonts w:hint="eastAsia" w:ascii="微软雅黑" w:hAnsi="微软雅黑" w:eastAsia="微软雅黑" w:cs="微软雅黑"/>
                <w:bCs/>
                <w:color w:val="333333"/>
                <w:kern w:val="0"/>
                <w:sz w:val="21"/>
                <w:szCs w:val="21"/>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bCs/>
                <w:color w:val="333333"/>
                <w:sz w:val="21"/>
                <w:szCs w:val="21"/>
              </w:rPr>
              <w:t>8</w:t>
            </w:r>
            <w:r>
              <w:rPr>
                <w:rFonts w:hint="eastAsia" w:ascii="微软雅黑" w:hAnsi="微软雅黑" w:eastAsia="微软雅黑" w:cs="微软雅黑"/>
                <w:bCs/>
                <w:color w:val="333333"/>
                <w:sz w:val="21"/>
                <w:szCs w:val="21"/>
                <w:lang w:val="en-US" w:eastAsia="zh-CN"/>
              </w:rPr>
              <w:t>.</w:t>
            </w:r>
            <w:r>
              <w:rPr>
                <w:rFonts w:hint="eastAsia" w:ascii="微软雅黑" w:hAnsi="微软雅黑" w:eastAsia="微软雅黑" w:cs="微软雅黑"/>
                <w:bCs/>
                <w:color w:val="333333"/>
                <w:sz w:val="21"/>
                <w:szCs w:val="21"/>
              </w:rPr>
              <w:t>中标商对自己投标产品对应参数需要满足，验收时根据投标响应文件中的技术参数一一验收，如果有一条或者多条不满足，客户有权取消合同，所产生的损失由中标商承担。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jc w:val="left"/>
              <w:rPr>
                <w:rFonts w:hint="eastAsia" w:ascii="微软雅黑" w:hAnsi="微软雅黑" w:eastAsia="微软雅黑" w:cs="微软雅黑"/>
                <w:bCs/>
                <w:color w:val="333333"/>
                <w:kern w:val="0"/>
                <w:sz w:val="21"/>
                <w:szCs w:val="21"/>
                <w:lang w:val="en-US" w:eastAsia="zh-CN" w:bidi="ar-SA"/>
              </w:rPr>
            </w:pPr>
            <w:r>
              <w:rPr>
                <w:rFonts w:hint="eastAsia" w:ascii="微软雅黑" w:hAnsi="微软雅黑" w:eastAsia="微软雅黑" w:cs="微软雅黑"/>
                <w:bCs/>
                <w:color w:val="333333"/>
                <w:kern w:val="0"/>
                <w:sz w:val="21"/>
                <w:szCs w:val="21"/>
                <w:lang w:val="en-US" w:eastAsia="zh-CN" w:bidi="ar-SA"/>
              </w:rPr>
              <w:t>1.该项目可在开标现场进行二次报价。</w:t>
            </w:r>
          </w:p>
          <w:p>
            <w:pPr>
              <w:spacing w:line="360" w:lineRule="auto"/>
              <w:jc w:val="left"/>
              <w:rPr>
                <w:rFonts w:hint="eastAsia" w:ascii="微软雅黑" w:hAnsi="微软雅黑" w:eastAsia="微软雅黑" w:cs="微软雅黑"/>
                <w:bCs/>
                <w:color w:val="333333"/>
                <w:kern w:val="0"/>
                <w:sz w:val="21"/>
                <w:szCs w:val="21"/>
                <w:lang w:val="en-US" w:eastAsia="zh-CN" w:bidi="ar-SA"/>
              </w:rPr>
            </w:pPr>
            <w:r>
              <w:rPr>
                <w:rFonts w:hint="eastAsia" w:ascii="微软雅黑" w:hAnsi="微软雅黑" w:eastAsia="微软雅黑" w:cs="微软雅黑"/>
                <w:bCs/>
                <w:color w:val="333333"/>
                <w:kern w:val="0"/>
                <w:sz w:val="21"/>
                <w:szCs w:val="21"/>
                <w:lang w:val="en-US" w:eastAsia="zh-CN" w:bidi="ar-SA"/>
              </w:rPr>
              <w:t>2.</w:t>
            </w:r>
          </w:p>
          <w:p>
            <w:pPr>
              <w:spacing w:line="360" w:lineRule="auto"/>
              <w:jc w:val="left"/>
              <w:rPr>
                <w:rFonts w:hint="eastAsia" w:ascii="微软雅黑" w:hAnsi="微软雅黑" w:eastAsia="微软雅黑" w:cs="微软雅黑"/>
                <w:bCs/>
                <w:color w:val="333333"/>
                <w:kern w:val="0"/>
                <w:sz w:val="21"/>
                <w:szCs w:val="21"/>
                <w:lang w:val="en-US" w:eastAsia="zh-CN" w:bidi="ar-SA"/>
              </w:rPr>
            </w:pPr>
            <w:r>
              <w:rPr>
                <w:rFonts w:hint="eastAsia" w:ascii="微软雅黑" w:hAnsi="微软雅黑" w:eastAsia="微软雅黑" w:cs="微软雅黑"/>
                <w:bCs/>
                <w:color w:val="333333"/>
                <w:kern w:val="0"/>
                <w:sz w:val="21"/>
                <w:szCs w:val="21"/>
                <w:lang w:val="en-US" w:eastAsia="zh-CN" w:bidi="ar-SA"/>
              </w:rPr>
              <w:t>设备：该项目报价须对设备包干总价和分项明细单价分别进行报价，包括完成货物、运输、验收及其他本项目所需的所有费用及各种应纳的税费。因投标人自身原因造成漏报、少报皆由其自行承担责任，采购人不再补偿。</w:t>
            </w:r>
          </w:p>
          <w:p>
            <w:pPr>
              <w:pStyle w:val="144"/>
              <w:widowControl/>
              <w:adjustRightInd w:val="0"/>
              <w:snapToGrid w:val="0"/>
              <w:spacing w:line="400" w:lineRule="exact"/>
              <w:jc w:val="left"/>
              <w:rPr>
                <w:rFonts w:hint="eastAsia" w:ascii="微软雅黑" w:hAnsi="微软雅黑" w:eastAsia="微软雅黑" w:cs="微软雅黑"/>
                <w:color w:val="0000FF"/>
                <w:sz w:val="21"/>
                <w:szCs w:val="21"/>
              </w:rPr>
            </w:pPr>
            <w:r>
              <w:rPr>
                <w:rFonts w:hint="eastAsia" w:ascii="微软雅黑" w:hAnsi="微软雅黑" w:eastAsia="微软雅黑" w:cs="微软雅黑"/>
                <w:bCs/>
                <w:color w:val="333333"/>
                <w:kern w:val="0"/>
                <w:sz w:val="21"/>
                <w:szCs w:val="21"/>
                <w:lang w:val="en-US" w:eastAsia="zh-CN" w:bidi="ar-SA"/>
              </w:rPr>
              <w:t>耗材：该项目耗材报价须对线上及备案的单价分别报价。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70"/>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结算方式：合同签订后中标供应商按采购合同交货并安装调试完成，经验收合格后采购方出具项目验收报告，中标供应商向采购方开具发票，采购方于2个月内以转账方式向中标供应商支付合同全款。</w:t>
            </w:r>
          </w:p>
          <w:p>
            <w:pPr>
              <w:pStyle w:val="144"/>
              <w:snapToGrid w:val="0"/>
              <w:spacing w:line="400" w:lineRule="exact"/>
              <w:rPr>
                <w:rFonts w:hint="eastAsia" w:ascii="微软雅黑" w:hAnsi="微软雅黑" w:eastAsia="微软雅黑" w:cs="微软雅黑"/>
                <w:color w:val="0000FF"/>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333333"/>
                <w:kern w:val="0"/>
                <w:sz w:val="21"/>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pStyle w:val="144"/>
              <w:snapToGrid w:val="0"/>
              <w:spacing w:line="40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b/>
          <w:sz w:val="44"/>
        </w:rPr>
      </w:pPr>
      <w:bookmarkStart w:id="110" w:name="_Toc106030887"/>
      <w:bookmarkStart w:id="111" w:name="_Toc6692"/>
      <w:bookmarkStart w:id="112"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4958"/>
      <w:bookmarkStart w:id="115" w:name="_Toc76462333"/>
      <w:bookmarkStart w:id="116" w:name="_Toc106030888"/>
      <w:bookmarkStart w:id="117" w:name="_Toc26127"/>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bookmarkStart w:id="119" w:name="_Toc30944"/>
      <w:bookmarkStart w:id="120" w:name="_Toc106030889"/>
      <w:bookmarkStart w:id="121" w:name="_Toc24315"/>
      <w:bookmarkStart w:id="122" w:name="_Toc76462334"/>
      <w:bookmarkStart w:id="123" w:name="_Toc342913394"/>
      <w:bookmarkStart w:id="124" w:name="_Toc102227320"/>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4"/>
        <w:numPr>
          <w:ilvl w:val="0"/>
          <w:numId w:val="0"/>
        </w:numPr>
        <w:adjustRightInd w:val="0"/>
        <w:snapToGrid w:val="0"/>
        <w:spacing w:before="0" w:after="0" w:line="400" w:lineRule="exact"/>
        <w:rPr>
          <w:rFonts w:hint="eastAsia" w:ascii="微软雅黑" w:hAnsi="微软雅黑" w:eastAsia="微软雅黑" w:cs="微软雅黑"/>
          <w:sz w:val="24"/>
        </w:rPr>
      </w:pPr>
      <w:r>
        <w:rPr>
          <w:rFonts w:hint="eastAsia" w:ascii="微软雅黑" w:hAnsi="微软雅黑" w:eastAsia="微软雅黑" w:cs="微软雅黑"/>
          <w:sz w:val="24"/>
          <w:lang w:eastAsia="zh-CN"/>
        </w:rPr>
        <w:t>四、</w:t>
      </w:r>
      <w:r>
        <w:rPr>
          <w:rFonts w:hint="eastAsia" w:ascii="微软雅黑" w:hAnsi="微软雅黑" w:eastAsia="微软雅黑" w:cs="微软雅黑"/>
          <w:sz w:val="24"/>
        </w:rPr>
        <w:t>评审标准</w:t>
      </w:r>
      <w:bookmarkEnd w:id="119"/>
      <w:bookmarkEnd w:id="120"/>
      <w:bookmarkEnd w:id="121"/>
      <w:bookmarkEnd w:id="122"/>
    </w:p>
    <w:p>
      <w:pPr>
        <w:numPr>
          <w:ilvl w:val="0"/>
          <w:numId w:val="0"/>
        </w:numPr>
        <w:rPr>
          <w:rFonts w:hint="eastAsia"/>
        </w:rPr>
      </w:pP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ind w:firstLine="0"/>
              <w:jc w:val="center"/>
              <w:rPr>
                <w:rFonts w:ascii="Times New Roman" w:hAnsi="Times New Roman" w:cs="宋体"/>
                <w:b/>
                <w:szCs w:val="21"/>
              </w:rPr>
            </w:pPr>
            <w:r>
              <w:rPr>
                <w:rFonts w:hint="eastAsia" w:ascii="Times New Roman" w:hAnsi="Times New Roman" w:cs="宋体"/>
                <w:b/>
                <w:szCs w:val="21"/>
              </w:rPr>
              <w:t>序号</w:t>
            </w:r>
          </w:p>
        </w:tc>
        <w:tc>
          <w:tcPr>
            <w:tcW w:w="1570" w:type="dxa"/>
            <w:vAlign w:val="center"/>
          </w:tcPr>
          <w:p>
            <w:pPr>
              <w:ind w:firstLine="0"/>
              <w:jc w:val="center"/>
              <w:rPr>
                <w:rFonts w:ascii="Times New Roman" w:hAnsi="Times New Roman" w:cs="宋体"/>
                <w:b/>
                <w:szCs w:val="21"/>
              </w:rPr>
            </w:pPr>
            <w:r>
              <w:rPr>
                <w:rFonts w:hint="eastAsia" w:ascii="Times New Roman" w:hAnsi="Times New Roman" w:cs="宋体"/>
                <w:b/>
                <w:szCs w:val="21"/>
              </w:rPr>
              <w:t>评分因素</w:t>
            </w:r>
          </w:p>
          <w:p>
            <w:pPr>
              <w:ind w:firstLine="0"/>
              <w:jc w:val="center"/>
              <w:rPr>
                <w:rFonts w:ascii="Times New Roman" w:hAnsi="Times New Roman" w:cs="宋体"/>
                <w:b/>
                <w:szCs w:val="21"/>
              </w:rPr>
            </w:pPr>
            <w:r>
              <w:rPr>
                <w:rFonts w:hint="eastAsia" w:ascii="Times New Roman" w:hAnsi="Times New Roman" w:cs="宋体"/>
                <w:b/>
                <w:szCs w:val="21"/>
              </w:rPr>
              <w:t>及权重</w:t>
            </w:r>
          </w:p>
        </w:tc>
        <w:tc>
          <w:tcPr>
            <w:tcW w:w="805" w:type="dxa"/>
            <w:vAlign w:val="center"/>
          </w:tcPr>
          <w:p>
            <w:pPr>
              <w:ind w:firstLine="0"/>
              <w:jc w:val="center"/>
              <w:rPr>
                <w:rFonts w:ascii="Times New Roman" w:hAnsi="Times New Roman" w:cs="宋体"/>
                <w:b/>
                <w:szCs w:val="21"/>
              </w:rPr>
            </w:pPr>
            <w:r>
              <w:rPr>
                <w:rFonts w:hint="eastAsia" w:ascii="Times New Roman" w:hAnsi="Times New Roman" w:cs="宋体"/>
                <w:b/>
                <w:szCs w:val="21"/>
              </w:rPr>
              <w:t>分值</w:t>
            </w:r>
          </w:p>
        </w:tc>
        <w:tc>
          <w:tcPr>
            <w:tcW w:w="3978" w:type="dxa"/>
            <w:vAlign w:val="center"/>
          </w:tcPr>
          <w:p>
            <w:pPr>
              <w:ind w:firstLine="0"/>
              <w:jc w:val="center"/>
              <w:rPr>
                <w:rFonts w:ascii="Times New Roman" w:hAnsi="Times New Roman" w:cs="宋体"/>
                <w:b/>
                <w:szCs w:val="21"/>
              </w:rPr>
            </w:pPr>
            <w:r>
              <w:rPr>
                <w:rFonts w:hint="eastAsia" w:ascii="Times New Roman" w:hAnsi="Times New Roman" w:cs="宋体"/>
                <w:b/>
                <w:szCs w:val="21"/>
              </w:rPr>
              <w:t>评分标准</w:t>
            </w:r>
          </w:p>
        </w:tc>
        <w:tc>
          <w:tcPr>
            <w:tcW w:w="2440" w:type="dxa"/>
            <w:vAlign w:val="center"/>
          </w:tcPr>
          <w:p>
            <w:pPr>
              <w:pStyle w:val="238"/>
              <w:spacing w:before="0" w:after="0" w:line="240" w:lineRule="auto"/>
              <w:rPr>
                <w:rFonts w:ascii="Times New Roman" w:hAnsi="Times New Roman" w:eastAsia="宋体" w:cs="宋体"/>
                <w:sz w:val="21"/>
                <w:szCs w:val="21"/>
              </w:rPr>
            </w:pPr>
            <w:r>
              <w:rPr>
                <w:rFonts w:hint="eastAsia" w:ascii="Times New Roman" w:hAnsi="Times New Roman" w:eastAsia="宋体" w:cs="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ind w:lef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投标报价=设备价格+各项</w:t>
            </w:r>
            <w:r>
              <w:rPr>
                <w:rFonts w:hint="eastAsia" w:ascii="微软雅黑" w:hAnsi="微软雅黑" w:eastAsia="微软雅黑" w:cs="微软雅黑"/>
                <w:color w:val="auto"/>
                <w:sz w:val="21"/>
                <w:szCs w:val="21"/>
                <w:lang w:eastAsia="zh-CN"/>
              </w:rPr>
              <w:t>耗材</w:t>
            </w:r>
            <w:r>
              <w:rPr>
                <w:rFonts w:hint="eastAsia" w:ascii="微软雅黑" w:hAnsi="微软雅黑" w:eastAsia="微软雅黑" w:cs="微软雅黑"/>
                <w:color w:val="auto"/>
                <w:sz w:val="21"/>
                <w:szCs w:val="21"/>
              </w:rPr>
              <w:t>单价*各项</w:t>
            </w:r>
            <w:r>
              <w:rPr>
                <w:rFonts w:hint="eastAsia" w:ascii="微软雅黑" w:hAnsi="微软雅黑" w:eastAsia="微软雅黑" w:cs="微软雅黑"/>
                <w:color w:val="auto"/>
                <w:sz w:val="21"/>
                <w:szCs w:val="21"/>
                <w:lang w:eastAsia="zh-CN"/>
              </w:rPr>
              <w:t>耗材</w:t>
            </w:r>
            <w:r>
              <w:rPr>
                <w:rFonts w:hint="eastAsia" w:ascii="微软雅黑" w:hAnsi="微软雅黑" w:eastAsia="微软雅黑" w:cs="微软雅黑"/>
                <w:color w:val="auto"/>
                <w:sz w:val="21"/>
                <w:szCs w:val="21"/>
              </w:rPr>
              <w:t>合同期内</w:t>
            </w:r>
            <w:r>
              <w:rPr>
                <w:rFonts w:hint="eastAsia" w:ascii="微软雅黑" w:hAnsi="微软雅黑" w:eastAsia="微软雅黑" w:cs="微软雅黑"/>
                <w:color w:val="auto"/>
                <w:sz w:val="21"/>
                <w:szCs w:val="21"/>
                <w:lang w:eastAsia="zh-CN"/>
              </w:rPr>
              <w:t>预估</w:t>
            </w:r>
            <w:r>
              <w:rPr>
                <w:rFonts w:hint="eastAsia" w:ascii="微软雅黑" w:hAnsi="微软雅黑" w:eastAsia="微软雅黑" w:cs="微软雅黑"/>
                <w:color w:val="auto"/>
                <w:sz w:val="21"/>
                <w:szCs w:val="21"/>
              </w:rPr>
              <w:t>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15</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rPr>
          <w:rFonts w:hint="eastAsia" w:ascii="微软雅黑" w:hAnsi="微软雅黑" w:eastAsia="微软雅黑" w:cs="微软雅黑"/>
          <w:sz w:val="24"/>
        </w:rPr>
      </w:pPr>
      <w:r>
        <w:rPr>
          <w:rFonts w:hint="eastAsia" w:ascii="微软雅黑" w:hAnsi="微软雅黑" w:eastAsia="微软雅黑" w:cs="微软雅黑"/>
          <w:color w:val="auto"/>
          <w:sz w:val="21"/>
          <w:szCs w:val="21"/>
        </w:rPr>
        <w:br w:type="page"/>
      </w:r>
    </w:p>
    <w:p>
      <w:pPr>
        <w:rPr>
          <w:rFonts w:hint="eastAsia"/>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106030890"/>
      <w:bookmarkStart w:id="126" w:name="_Toc17606"/>
      <w:bookmarkStart w:id="127" w:name="_Toc76462335"/>
      <w:bookmarkStart w:id="128" w:name="_Toc31497"/>
      <w:r>
        <w:rPr>
          <w:rFonts w:hint="eastAsia" w:ascii="微软雅黑" w:hAnsi="微软雅黑" w:eastAsia="微软雅黑" w:cs="微软雅黑"/>
          <w:sz w:val="24"/>
          <w:lang w:eastAsia="zh-CN"/>
        </w:rPr>
        <w:t>五</w:t>
      </w:r>
      <w:r>
        <w:rPr>
          <w:rFonts w:hint="eastAsia" w:ascii="微软雅黑" w:hAnsi="微软雅黑" w:eastAsia="微软雅黑" w:cs="微软雅黑"/>
          <w:sz w:val="24"/>
        </w:rPr>
        <w:t>、无效响应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87"/>
      <w:bookmarkStart w:id="130" w:name="_Toc76462336"/>
      <w:bookmarkStart w:id="131" w:name="_Toc106030891"/>
      <w:bookmarkStart w:id="132" w:name="_Toc12222"/>
      <w:r>
        <w:rPr>
          <w:rFonts w:hint="eastAsia" w:ascii="微软雅黑" w:hAnsi="微软雅黑" w:eastAsia="微软雅黑" w:cs="微软雅黑"/>
          <w:sz w:val="24"/>
          <w:lang w:eastAsia="zh-CN"/>
        </w:rPr>
        <w:t>六</w:t>
      </w:r>
      <w:r>
        <w:rPr>
          <w:rFonts w:hint="eastAsia" w:ascii="微软雅黑" w:hAnsi="微软雅黑" w:eastAsia="微软雅黑" w:cs="微软雅黑"/>
          <w:sz w:val="24"/>
        </w:rPr>
        <w:t>、</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2227313"/>
      <w:bookmarkStart w:id="134" w:name="_Toc13119"/>
      <w:bookmarkStart w:id="135" w:name="_Toc76462337"/>
      <w:bookmarkStart w:id="136" w:name="_Toc29948"/>
      <w:bookmarkStart w:id="137" w:name="_Toc106030892"/>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342913389"/>
      <w:bookmarkStart w:id="139" w:name="_Toc26717"/>
      <w:bookmarkStart w:id="140" w:name="_Toc106030893"/>
      <w:bookmarkStart w:id="141" w:name="_Toc76462338"/>
      <w:bookmarkStart w:id="142" w:name="_Toc20271"/>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342913391"/>
      <w:bookmarkStart w:id="144" w:name="_Toc27891"/>
      <w:bookmarkStart w:id="145" w:name="_Toc76462339"/>
      <w:bookmarkStart w:id="146" w:name="_Toc15712"/>
      <w:bookmarkStart w:id="147" w:name="_Toc106030894"/>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349"/>
      <w:bookmarkStart w:id="150" w:name="_Toc318159160"/>
      <w:bookmarkStart w:id="151" w:name="_Toc31815978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2227318"/>
      <w:bookmarkStart w:id="153" w:name="_Toc20510"/>
      <w:bookmarkStart w:id="154" w:name="_Toc76462340"/>
      <w:bookmarkStart w:id="155" w:name="_Toc342913392"/>
      <w:bookmarkStart w:id="156" w:name="_Toc179714297"/>
      <w:bookmarkStart w:id="157" w:name="_Toc106030895"/>
      <w:bookmarkStart w:id="158" w:name="_Toc26007"/>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106030896"/>
      <w:bookmarkStart w:id="160" w:name="_Toc32166"/>
      <w:bookmarkStart w:id="161" w:name="_Toc6435"/>
      <w:bookmarkStart w:id="162"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342913395"/>
      <w:bookmarkStart w:id="164" w:name="_Toc2729"/>
      <w:bookmarkStart w:id="165" w:name="_Toc102227321"/>
      <w:bookmarkStart w:id="166" w:name="_Toc21532"/>
      <w:bookmarkStart w:id="167" w:name="_Toc106030897"/>
      <w:bookmarkStart w:id="168" w:name="_Toc76462342"/>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106030898"/>
      <w:bookmarkStart w:id="170" w:name="_Toc76462343"/>
      <w:bookmarkStart w:id="171" w:name="_Toc21448"/>
      <w:bookmarkStart w:id="172" w:name="_Toc4796"/>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76462344"/>
      <w:bookmarkStart w:id="174" w:name="_Toc106030899"/>
      <w:bookmarkStart w:id="175"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42913396"/>
      <w:bookmarkStart w:id="179" w:name="_Toc3372"/>
      <w:bookmarkStart w:id="180" w:name="_Toc76462346"/>
      <w:bookmarkStart w:id="181" w:name="_Toc106030901"/>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27984"/>
      <w:bookmarkStart w:id="186" w:name="_Toc21717"/>
      <w:bookmarkStart w:id="187" w:name="_Toc76462349"/>
      <w:bookmarkStart w:id="188" w:name="_Toc106030905"/>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9" w:name="_Toc15994"/>
      <w:bookmarkStart w:id="190" w:name="_Toc106030906"/>
      <w:bookmarkStart w:id="191" w:name="_Toc342913419"/>
      <w:bookmarkStart w:id="192" w:name="_Toc313888360"/>
      <w:bookmarkStart w:id="193" w:name="_Toc313008356"/>
      <w:bookmarkStart w:id="194" w:name="_Toc76462350"/>
      <w:bookmarkStart w:id="195" w:name="_Toc283382454"/>
      <w:bookmarkStart w:id="196"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7890"/>
      <w:r>
        <w:rPr>
          <w:rFonts w:hint="eastAsia" w:ascii="微软雅黑" w:hAnsi="微软雅黑" w:eastAsia="微软雅黑" w:cs="微软雅黑"/>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bookmarkStart w:id="227" w:name="_GoBack"/>
      <w:bookmarkEnd w:id="227"/>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jc w:val="center"/>
        <w:rPr>
          <w:rFonts w:hint="eastAsia" w:ascii="微软雅黑" w:hAnsi="微软雅黑" w:eastAsia="微软雅黑" w:cs="微软雅黑"/>
          <w:b/>
          <w:szCs w:val="28"/>
        </w:rPr>
      </w:pPr>
      <w:bookmarkStart w:id="198" w:name="_Toc106030907"/>
      <w:bookmarkStart w:id="199" w:name="_Toc18669"/>
      <w:bookmarkStart w:id="200" w:name="_Toc313008357"/>
      <w:bookmarkStart w:id="201" w:name="_Toc21535"/>
      <w:bookmarkStart w:id="202" w:name="_Toc313888361"/>
      <w:bookmarkStart w:id="203" w:name="_Toc76462351"/>
      <w:bookmarkStart w:id="204" w:name="_Toc342913420"/>
      <w:r>
        <w:rPr>
          <w:rFonts w:hint="eastAsia" w:ascii="微软雅黑" w:hAnsi="微软雅黑" w:eastAsia="微软雅黑" w:cs="微软雅黑"/>
          <w:b/>
          <w:szCs w:val="28"/>
        </w:rPr>
        <w:t>耗材专用报价表</w:t>
      </w:r>
    </w:p>
    <w:p>
      <w:pPr>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11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984"/>
        <w:gridCol w:w="1413"/>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335"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9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413"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6236" w:leftChars="170" w:hanging="5760" w:hangingChars="24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p>
    <w:p>
      <w:pPr>
        <w:rPr>
          <w:rFonts w:hint="eastAsia" w:ascii="微软雅黑" w:hAnsi="微软雅黑" w:eastAsia="微软雅黑" w:cs="微软雅黑"/>
          <w:sz w:val="24"/>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default"/>
          <w:lang w:val="en-US" w:eastAsia="zh-CN"/>
        </w:rPr>
      </w:pPr>
      <w:r>
        <w:rPr>
          <w:rFonts w:hint="default"/>
          <w:lang w:val="en-US" w:eastAsia="zh-CN"/>
        </w:rPr>
        <w:br w:type="page"/>
      </w:r>
    </w:p>
    <w:p>
      <w:pPr>
        <w:pStyle w:val="2"/>
        <w:rPr>
          <w:rFonts w:hint="default"/>
          <w:lang w:val="en-US" w:eastAsia="zh-CN"/>
        </w:rPr>
      </w:pP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11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984"/>
        <w:gridCol w:w="1413"/>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335"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9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413"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80" w:lineRule="auto"/>
              <w:jc w:val="center"/>
              <w:rPr>
                <w:rFonts w:hint="eastAsia" w:ascii="微软雅黑" w:hAnsi="微软雅黑" w:eastAsia="微软雅黑" w:cs="微软雅黑"/>
                <w:sz w:val="21"/>
                <w:szCs w:val="21"/>
                <w:lang w:val="de-DE"/>
              </w:rPr>
            </w:pPr>
          </w:p>
        </w:tc>
        <w:tc>
          <w:tcPr>
            <w:tcW w:w="1984" w:type="dxa"/>
            <w:vAlign w:val="center"/>
          </w:tcPr>
          <w:p>
            <w:pPr>
              <w:spacing w:line="480" w:lineRule="auto"/>
              <w:jc w:val="center"/>
              <w:rPr>
                <w:rFonts w:hint="eastAsia" w:ascii="微软雅黑" w:hAnsi="微软雅黑" w:eastAsia="微软雅黑" w:cs="微软雅黑"/>
                <w:color w:val="000000"/>
                <w:sz w:val="21"/>
                <w:szCs w:val="21"/>
              </w:rPr>
            </w:pPr>
          </w:p>
        </w:tc>
        <w:tc>
          <w:tcPr>
            <w:tcW w:w="1413"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w:t>
      </w:r>
      <w:r>
        <w:rPr>
          <w:rFonts w:hint="eastAsia" w:ascii="微软雅黑" w:hAnsi="微软雅黑" w:eastAsia="微软雅黑" w:cs="微软雅黑"/>
          <w:sz w:val="24"/>
          <w:szCs w:val="24"/>
        </w:rPr>
        <w:t>标人                                   法定代表人授权代表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5276" w:leftChars="170" w:hanging="4800" w:hangingChars="20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default"/>
          <w:lang w:val="en-US" w:eastAsia="zh-CN"/>
        </w:rPr>
        <w:sectPr>
          <w:pgSz w:w="11907" w:h="16840"/>
          <w:pgMar w:top="1134" w:right="1191" w:bottom="1134" w:left="1304" w:header="851" w:footer="992" w:gutter="0"/>
          <w:pgNumType w:fmt="numberInDash"/>
          <w:cols w:space="720" w:num="1"/>
          <w:docGrid w:linePitch="380" w:charSpace="-5735"/>
        </w:sectPr>
      </w:pPr>
    </w:p>
    <w:bookmarkEnd w:id="198"/>
    <w:bookmarkEnd w:id="199"/>
    <w:bookmarkEnd w:id="200"/>
    <w:bookmarkEnd w:id="201"/>
    <w:bookmarkEnd w:id="202"/>
    <w:bookmarkEnd w:id="203"/>
    <w:bookmarkEnd w:id="20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125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106030908"/>
      <w:bookmarkStart w:id="207" w:name="_Toc313888362"/>
      <w:bookmarkStart w:id="208" w:name="_Toc11635"/>
      <w:bookmarkStart w:id="209" w:name="_Toc30639"/>
      <w:bookmarkStart w:id="210" w:name="_Toc342913421"/>
      <w:bookmarkStart w:id="211" w:name="_Toc313008358"/>
      <w:bookmarkStart w:id="212" w:name="_Toc76462352"/>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213"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342913422"/>
      <w:bookmarkStart w:id="215" w:name="_Toc106030909"/>
      <w:bookmarkStart w:id="216" w:name="_Toc26948"/>
      <w:bookmarkStart w:id="217" w:name="_Toc313888363"/>
      <w:bookmarkStart w:id="218" w:name="_Toc313008359"/>
      <w:bookmarkStart w:id="219" w:name="_Toc25318"/>
      <w:bookmarkStart w:id="220" w:name="_Toc76462353"/>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26771"/>
      <w:bookmarkStart w:id="223" w:name="_Toc106030910"/>
      <w:bookmarkStart w:id="224" w:name="_Toc7308"/>
      <w:bookmarkStart w:id="225" w:name="_Toc76462354"/>
      <w:bookmarkStart w:id="226" w:name="_Toc8805"/>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综合评标应答</w:t>
      </w:r>
      <w:r>
        <w:rPr>
          <w:rFonts w:hint="eastAsia" w:ascii="微软雅黑" w:hAnsi="微软雅黑" w:eastAsia="微软雅黑" w:cs="微软雅黑"/>
          <w:sz w:val="24"/>
        </w:rPr>
        <w:t>资料</w:t>
      </w:r>
      <w:bookmarkEnd w:id="222"/>
    </w:p>
    <w:tbl>
      <w:tblPr>
        <w:tblStyle w:val="58"/>
        <w:tblW w:w="1002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5735"/>
        <w:gridCol w:w="2446"/>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备注</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应答材料</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5735" w:type="dxa"/>
            <w:noWrap w:val="0"/>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有效的投标报价中的最低价为评标基准价，其价格分为满分。其他投标人的价格分统一按照下列公式计算：</w:t>
            </w:r>
          </w:p>
          <w:p>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sz w:val="21"/>
                <w:szCs w:val="21"/>
              </w:rPr>
              <w:t>投标报价得分＝（评标基准价/投标报价）×价格权重×100。</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提醒：请注明具体内容以及响应文件中具体内容的位置（页码</w:t>
            </w:r>
            <w:r>
              <w:rPr>
                <w:rFonts w:hint="eastAsia" w:ascii="微软雅黑" w:hAnsi="微软雅黑" w:eastAsia="微软雅黑" w:cs="微软雅黑"/>
                <w:color w:val="auto"/>
                <w:sz w:val="21"/>
                <w:szCs w:val="21"/>
                <w:lang w:eastAsia="zh-CN"/>
              </w:rPr>
              <w:t>）</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15</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分，扣完为止。</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方案内容存在3处及以上瑕疵或未提供方案得0分。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5735" w:type="dxa"/>
            <w:noWrap w:val="0"/>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2.售后服务方案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sz w:val="21"/>
                <w:szCs w:val="21"/>
              </w:rPr>
              <w:t>方案内容不存在</w:t>
            </w:r>
            <w:r>
              <w:rPr>
                <w:rFonts w:hint="eastAsia" w:ascii="微软雅黑" w:hAnsi="微软雅黑" w:eastAsia="微软雅黑" w:cs="微软雅黑"/>
                <w:color w:val="auto"/>
                <w:sz w:val="21"/>
                <w:szCs w:val="21"/>
              </w:rPr>
              <w:t>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方案内容存在3处及以上瑕疵或未提供方案得0分。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0" w:type="auto"/>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3.质量保证期</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sz w:val="21"/>
                <w:szCs w:val="21"/>
              </w:rPr>
              <w:t>所投产品质量保证期在满足招标文件质保期要求的前提下，每增加1年加</w:t>
            </w:r>
            <w:r>
              <w:rPr>
                <w:rFonts w:hint="eastAsia" w:ascii="微软雅黑" w:hAnsi="微软雅黑" w:eastAsia="微软雅黑" w:cs="微软雅黑"/>
                <w:color w:val="FF0000"/>
                <w:sz w:val="21"/>
                <w:szCs w:val="21"/>
                <w:lang w:val="en-US" w:eastAsia="zh-CN"/>
              </w:rPr>
              <w:t>1</w:t>
            </w:r>
            <w:r>
              <w:rPr>
                <w:rFonts w:hint="eastAsia" w:ascii="微软雅黑" w:hAnsi="微软雅黑" w:eastAsia="微软雅黑" w:cs="微软雅黑"/>
                <w:sz w:val="21"/>
                <w:szCs w:val="21"/>
              </w:rPr>
              <w:t>分，本项最多加</w:t>
            </w:r>
            <w:r>
              <w:rPr>
                <w:rFonts w:hint="eastAsia" w:ascii="微软雅黑" w:hAnsi="微软雅黑" w:eastAsia="微软雅黑" w:cs="微软雅黑"/>
                <w:color w:val="FF0000"/>
                <w:sz w:val="21"/>
                <w:szCs w:val="21"/>
                <w:lang w:val="en-US" w:eastAsia="zh-CN"/>
              </w:rPr>
              <w:t>3</w:t>
            </w:r>
            <w:r>
              <w:rPr>
                <w:rFonts w:hint="eastAsia" w:ascii="微软雅黑" w:hAnsi="微软雅黑" w:eastAsia="微软雅黑" w:cs="微软雅黑"/>
                <w:sz w:val="21"/>
                <w:szCs w:val="21"/>
              </w:rPr>
              <w:t>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0" w:type="auto"/>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4.质保期后要求</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sz w:val="21"/>
                <w:szCs w:val="21"/>
              </w:rPr>
              <w:t>投标人承诺，质保期到期后，每年所投产品维保费≤中标单价金额的</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%得6分，维保费为中标单价金额的</w:t>
            </w: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rPr>
              <w:t>%得4分，维保费为中标单价金额的</w:t>
            </w:r>
            <w:r>
              <w:rPr>
                <w:rFonts w:hint="eastAsia" w:ascii="微软雅黑" w:hAnsi="微软雅黑" w:eastAsia="微软雅黑" w:cs="微软雅黑"/>
                <w:sz w:val="21"/>
                <w:szCs w:val="21"/>
                <w:lang w:val="en-US" w:eastAsia="zh-CN"/>
              </w:rPr>
              <w:t>4</w:t>
            </w:r>
            <w:r>
              <w:rPr>
                <w:rFonts w:hint="eastAsia" w:ascii="微软雅黑" w:hAnsi="微软雅黑" w:eastAsia="微软雅黑" w:cs="微软雅黑"/>
                <w:sz w:val="21"/>
                <w:szCs w:val="21"/>
              </w:rPr>
              <w:t>%得</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分，维保费为中标单价金额的</w:t>
            </w:r>
            <w:r>
              <w:rPr>
                <w:rFonts w:hint="eastAsia" w:ascii="微软雅黑" w:hAnsi="微软雅黑" w:eastAsia="微软雅黑" w:cs="微软雅黑"/>
                <w:sz w:val="21"/>
                <w:szCs w:val="21"/>
                <w:lang w:val="en-US" w:eastAsia="zh-CN"/>
              </w:rPr>
              <w:t>5</w:t>
            </w:r>
            <w:r>
              <w:rPr>
                <w:rFonts w:hint="eastAsia" w:ascii="微软雅黑" w:hAnsi="微软雅黑" w:eastAsia="微软雅黑" w:cs="微软雅黑"/>
                <w:sz w:val="21"/>
                <w:szCs w:val="21"/>
              </w:rPr>
              <w:t>%得</w:t>
            </w:r>
            <w:r>
              <w:rPr>
                <w:rFonts w:hint="eastAsia" w:ascii="微软雅黑" w:hAnsi="微软雅黑" w:eastAsia="微软雅黑" w:cs="微软雅黑"/>
                <w:sz w:val="21"/>
                <w:szCs w:val="21"/>
                <w:lang w:val="en-US" w:eastAsia="zh-CN"/>
              </w:rPr>
              <w:t>0</w:t>
            </w:r>
            <w:r>
              <w:rPr>
                <w:rFonts w:hint="eastAsia" w:ascii="微软雅黑" w:hAnsi="微软雅黑" w:eastAsia="微软雅黑" w:cs="微软雅黑"/>
                <w:sz w:val="21"/>
                <w:szCs w:val="21"/>
              </w:rPr>
              <w:t>分，超出中标单价金额/中标金额的</w:t>
            </w:r>
            <w:r>
              <w:rPr>
                <w:rFonts w:hint="eastAsia" w:ascii="微软雅黑" w:hAnsi="微软雅黑" w:eastAsia="微软雅黑" w:cs="微软雅黑"/>
                <w:sz w:val="21"/>
                <w:szCs w:val="21"/>
                <w:lang w:val="en-US" w:eastAsia="zh-CN"/>
              </w:rPr>
              <w:t>5</w:t>
            </w:r>
            <w:r>
              <w:rPr>
                <w:rFonts w:hint="eastAsia" w:ascii="微软雅黑" w:hAnsi="微软雅黑" w:eastAsia="微软雅黑" w:cs="微软雅黑"/>
                <w:sz w:val="21"/>
                <w:szCs w:val="21"/>
              </w:rPr>
              <w:t>%或未提供承诺函得0分。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0" w:type="auto"/>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bl>
    <w:p>
      <w:pPr>
        <w:spacing w:line="360" w:lineRule="auto"/>
        <w:jc w:val="both"/>
        <w:rPr>
          <w:rFonts w:hint="eastAsia" w:ascii="微软雅黑" w:hAnsi="微软雅黑" w:eastAsia="微软雅黑" w:cs="微软雅黑"/>
          <w:sz w:val="24"/>
          <w:szCs w:val="24"/>
        </w:rPr>
      </w:pPr>
    </w:p>
    <w:p>
      <w:pPr>
        <w:rPr>
          <w:rFonts w:hint="eastAsia" w:ascii="微软雅黑" w:hAnsi="微软雅黑" w:eastAsia="微软雅黑" w:cs="微软雅黑"/>
          <w:b w:val="0"/>
          <w:sz w:val="28"/>
        </w:rPr>
      </w:pPr>
      <w:r>
        <w:rPr>
          <w:rFonts w:hint="eastAsia" w:ascii="微软雅黑" w:hAnsi="微软雅黑" w:eastAsia="微软雅黑" w:cs="微软雅黑"/>
          <w:b w:val="0"/>
          <w:sz w:val="28"/>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六</w:t>
      </w:r>
      <w:r>
        <w:rPr>
          <w:rFonts w:hint="eastAsia" w:ascii="微软雅黑" w:hAnsi="微软雅黑" w:eastAsia="微软雅黑" w:cs="微软雅黑"/>
          <w:sz w:val="24"/>
        </w:rPr>
        <w:t>、其他资料</w:t>
      </w:r>
      <w:bookmarkEnd w:id="221"/>
      <w:bookmarkEnd w:id="223"/>
      <w:bookmarkEnd w:id="224"/>
      <w:bookmarkEnd w:id="225"/>
      <w:bookmarkEnd w:id="226"/>
    </w:p>
    <w:p>
      <w:pPr>
        <w:spacing w:line="360" w:lineRule="auto"/>
        <w:ind w:firstLine="480" w:firstLineChars="200"/>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9B568B"/>
    <w:rsid w:val="07F103E0"/>
    <w:rsid w:val="092E6FC0"/>
    <w:rsid w:val="093441FC"/>
    <w:rsid w:val="0BB87E47"/>
    <w:rsid w:val="0D1F249B"/>
    <w:rsid w:val="0D26388C"/>
    <w:rsid w:val="0D2D45FA"/>
    <w:rsid w:val="0F4F0F37"/>
    <w:rsid w:val="1009316D"/>
    <w:rsid w:val="124B488F"/>
    <w:rsid w:val="128D10D0"/>
    <w:rsid w:val="1317485C"/>
    <w:rsid w:val="137173BB"/>
    <w:rsid w:val="143E2110"/>
    <w:rsid w:val="147A5E14"/>
    <w:rsid w:val="14D11CFB"/>
    <w:rsid w:val="15935DB5"/>
    <w:rsid w:val="15BB3449"/>
    <w:rsid w:val="16404E7B"/>
    <w:rsid w:val="17324323"/>
    <w:rsid w:val="17A1211B"/>
    <w:rsid w:val="18ED7A84"/>
    <w:rsid w:val="19255AF5"/>
    <w:rsid w:val="1A7E6296"/>
    <w:rsid w:val="1F0D01CA"/>
    <w:rsid w:val="1FB21338"/>
    <w:rsid w:val="21226BB2"/>
    <w:rsid w:val="21864056"/>
    <w:rsid w:val="222348FC"/>
    <w:rsid w:val="22F860AB"/>
    <w:rsid w:val="23DB3147"/>
    <w:rsid w:val="242C5890"/>
    <w:rsid w:val="24844BF4"/>
    <w:rsid w:val="2486441F"/>
    <w:rsid w:val="24E663DB"/>
    <w:rsid w:val="25013478"/>
    <w:rsid w:val="263535D3"/>
    <w:rsid w:val="27D567CB"/>
    <w:rsid w:val="28426BC2"/>
    <w:rsid w:val="2863744A"/>
    <w:rsid w:val="29601F8B"/>
    <w:rsid w:val="296F02CD"/>
    <w:rsid w:val="2AA01F44"/>
    <w:rsid w:val="2B712B53"/>
    <w:rsid w:val="2C43216E"/>
    <w:rsid w:val="2CD472B8"/>
    <w:rsid w:val="2DB02B6B"/>
    <w:rsid w:val="2E966F2B"/>
    <w:rsid w:val="300C58E0"/>
    <w:rsid w:val="30607DAE"/>
    <w:rsid w:val="31093DAE"/>
    <w:rsid w:val="31DA5A58"/>
    <w:rsid w:val="32EF600F"/>
    <w:rsid w:val="32FD7152"/>
    <w:rsid w:val="332D1E43"/>
    <w:rsid w:val="33673EF7"/>
    <w:rsid w:val="361F2D7D"/>
    <w:rsid w:val="37556B60"/>
    <w:rsid w:val="37FB426B"/>
    <w:rsid w:val="38CD7FDC"/>
    <w:rsid w:val="3ACE5D4F"/>
    <w:rsid w:val="3C55524B"/>
    <w:rsid w:val="3C740F54"/>
    <w:rsid w:val="3CCE1388"/>
    <w:rsid w:val="3DF6488D"/>
    <w:rsid w:val="3F1C71CA"/>
    <w:rsid w:val="406334F2"/>
    <w:rsid w:val="406D5057"/>
    <w:rsid w:val="409F14A1"/>
    <w:rsid w:val="40FA491E"/>
    <w:rsid w:val="415F6EA3"/>
    <w:rsid w:val="41E22EB6"/>
    <w:rsid w:val="446528DF"/>
    <w:rsid w:val="44890FF5"/>
    <w:rsid w:val="44F64ED7"/>
    <w:rsid w:val="452C7897"/>
    <w:rsid w:val="4539779C"/>
    <w:rsid w:val="46151D23"/>
    <w:rsid w:val="46D026EE"/>
    <w:rsid w:val="475E104C"/>
    <w:rsid w:val="47AA1B14"/>
    <w:rsid w:val="47DF47C8"/>
    <w:rsid w:val="47E44DA2"/>
    <w:rsid w:val="494C6B8D"/>
    <w:rsid w:val="497B7CB3"/>
    <w:rsid w:val="4A8845CE"/>
    <w:rsid w:val="4B2D12E0"/>
    <w:rsid w:val="4BEB6B31"/>
    <w:rsid w:val="4CEE00A7"/>
    <w:rsid w:val="4DD36371"/>
    <w:rsid w:val="4EEC1F3B"/>
    <w:rsid w:val="4F070047"/>
    <w:rsid w:val="4F3C244F"/>
    <w:rsid w:val="4FCD30B4"/>
    <w:rsid w:val="50544178"/>
    <w:rsid w:val="5115115D"/>
    <w:rsid w:val="521E4A24"/>
    <w:rsid w:val="52D92ACB"/>
    <w:rsid w:val="533451FF"/>
    <w:rsid w:val="539058D7"/>
    <w:rsid w:val="53B4776F"/>
    <w:rsid w:val="53DF1E3A"/>
    <w:rsid w:val="540F25CE"/>
    <w:rsid w:val="545B425C"/>
    <w:rsid w:val="54B349D8"/>
    <w:rsid w:val="558E730F"/>
    <w:rsid w:val="573C43EC"/>
    <w:rsid w:val="57733AD9"/>
    <w:rsid w:val="57857077"/>
    <w:rsid w:val="58EA1C45"/>
    <w:rsid w:val="59D52FEA"/>
    <w:rsid w:val="5CA67F0E"/>
    <w:rsid w:val="5DAD4E7C"/>
    <w:rsid w:val="5E16050E"/>
    <w:rsid w:val="5E3D2C1E"/>
    <w:rsid w:val="5E7850F1"/>
    <w:rsid w:val="5EE04623"/>
    <w:rsid w:val="5F7C4D42"/>
    <w:rsid w:val="60CB5C8F"/>
    <w:rsid w:val="61743609"/>
    <w:rsid w:val="61DB1F11"/>
    <w:rsid w:val="6379050D"/>
    <w:rsid w:val="648E2F32"/>
    <w:rsid w:val="648E3C9A"/>
    <w:rsid w:val="64DA4767"/>
    <w:rsid w:val="65170F5B"/>
    <w:rsid w:val="65215328"/>
    <w:rsid w:val="670A099E"/>
    <w:rsid w:val="67C616A4"/>
    <w:rsid w:val="68BD663A"/>
    <w:rsid w:val="692F74C0"/>
    <w:rsid w:val="696405DD"/>
    <w:rsid w:val="69BB7DC1"/>
    <w:rsid w:val="69BE2355"/>
    <w:rsid w:val="6B75107A"/>
    <w:rsid w:val="6B790023"/>
    <w:rsid w:val="6D232EBC"/>
    <w:rsid w:val="6D5236ED"/>
    <w:rsid w:val="6F7E3D26"/>
    <w:rsid w:val="6FE969BF"/>
    <w:rsid w:val="701245F9"/>
    <w:rsid w:val="70316194"/>
    <w:rsid w:val="71175C34"/>
    <w:rsid w:val="721C10A9"/>
    <w:rsid w:val="74D70DF7"/>
    <w:rsid w:val="750950F5"/>
    <w:rsid w:val="750D16CF"/>
    <w:rsid w:val="773622B4"/>
    <w:rsid w:val="77500061"/>
    <w:rsid w:val="78877A5F"/>
    <w:rsid w:val="789F3DA6"/>
    <w:rsid w:val="78A52377"/>
    <w:rsid w:val="79082185"/>
    <w:rsid w:val="79D7056D"/>
    <w:rsid w:val="7A6F77AB"/>
    <w:rsid w:val="7ABA3FBA"/>
    <w:rsid w:val="7B5B7497"/>
    <w:rsid w:val="7B7D6B6D"/>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 w:type="paragraph" w:customStyle="1" w:styleId="246">
    <w:name w:val="Body 1"/>
    <w:qFormat/>
    <w:uiPriority w:val="0"/>
    <w:pPr>
      <w:outlineLvl w:val="0"/>
    </w:pPr>
    <w:rPr>
      <w:rFonts w:ascii="Helvetica" w:hAnsi="Helvetica" w:eastAsia="Arial Unicode MS" w:cs="Times New Roman"/>
      <w:b/>
      <w:color w:val="000000"/>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2026-01-09T08:03:26Z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