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YSB260047</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全自动蛋白印迹处理系统</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27110"/>
      <w:bookmarkStart w:id="1" w:name="_Toc11641050"/>
      <w:bookmarkStart w:id="2" w:name="_Toc24037"/>
      <w:bookmarkStart w:id="3" w:name="_Toc12789052"/>
      <w:bookmarkStart w:id="4" w:name="_Toc76462316"/>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全自动蛋白印迹处理系统</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13094"/>
      <w:bookmarkStart w:id="8" w:name="_Toc313893526"/>
      <w:bookmarkStart w:id="9" w:name="_Toc76462317"/>
      <w:bookmarkStart w:id="10" w:name="_Toc317775175"/>
      <w:bookmarkStart w:id="11" w:name="_Toc385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51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1914"/>
        <w:gridCol w:w="1222"/>
        <w:gridCol w:w="1168"/>
        <w:gridCol w:w="1489"/>
        <w:gridCol w:w="2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96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618"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w:t>
            </w:r>
          </w:p>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（万元）</w:t>
            </w:r>
          </w:p>
        </w:tc>
        <w:tc>
          <w:tcPr>
            <w:tcW w:w="59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53"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c>
          <w:tcPr>
            <w:tcW w:w="1296"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1"/>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YSB260047</w:t>
            </w:r>
          </w:p>
        </w:tc>
        <w:tc>
          <w:tcPr>
            <w:tcW w:w="96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rPr>
            </w:pPr>
            <w:r>
              <w:rPr>
                <w:rFonts w:hint="eastAsia" w:ascii="微软雅黑" w:hAnsi="微软雅黑" w:eastAsia="微软雅黑" w:cs="微软雅黑"/>
                <w:sz w:val="21"/>
                <w:szCs w:val="21"/>
                <w:lang w:val="en-US" w:eastAsia="zh-CN"/>
              </w:rPr>
              <w:t>全自动蛋白印迹处理系统</w:t>
            </w:r>
          </w:p>
        </w:tc>
        <w:tc>
          <w:tcPr>
            <w:tcW w:w="618"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15</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296" w:type="pct"/>
            <w:tcBorders>
              <w:top w:val="single" w:color="auto" w:sz="4" w:space="0"/>
              <w:left w:val="single" w:color="auto" w:sz="4" w:space="0"/>
              <w:bottom w:val="single" w:color="auto" w:sz="4" w:space="0"/>
              <w:right w:val="single" w:color="auto" w:sz="4" w:space="0"/>
            </w:tcBorders>
            <w:vAlign w:val="center"/>
          </w:tcPr>
          <w:p>
            <w:pPr>
              <w:pStyle w:val="2"/>
              <w:rPr>
                <w:rFonts w:hint="eastAsia" w:ascii="微软雅黑" w:hAnsi="微软雅黑" w:eastAsia="微软雅黑" w:cs="微软雅黑"/>
                <w:sz w:val="21"/>
                <w:szCs w:val="21"/>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bookmarkStart w:id="24" w:name="_Toc918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须具有所提供产品《第一类医疗器械备案凭证》及《第一类医疗器械备案信息表》及产品备案;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所提供产品不属于医疗器械的无需提供上述第2-6款材料。</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投标人所投产品必须为国内生产</w:t>
      </w:r>
      <w:r>
        <w:rPr>
          <w:rFonts w:hint="eastAsia" w:ascii="微软雅黑" w:hAnsi="微软雅黑" w:eastAsia="微软雅黑" w:cs="微软雅黑"/>
          <w:sz w:val="24"/>
          <w:szCs w:val="24"/>
          <w:lang w:eastAsia="zh-CN"/>
        </w:rPr>
        <w:t>。</w:t>
      </w:r>
    </w:p>
    <w:p>
      <w:pPr>
        <w:numPr>
          <w:ilvl w:val="0"/>
          <w:numId w:val="0"/>
        </w:numPr>
        <w:spacing w:line="400" w:lineRule="exact"/>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6178"/>
      <w:bookmarkStart w:id="27" w:name="_Toc12841"/>
      <w:bookmarkStart w:id="28" w:name="_Toc106034625"/>
      <w:bookmarkStart w:id="29" w:name="_Toc525047161"/>
      <w:bookmarkStart w:id="30" w:name="_Toc11956"/>
      <w:bookmarkStart w:id="31" w:name="_Toc26664"/>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4355"/>
      <w:bookmarkStart w:id="35" w:name="_Toc525047162"/>
      <w:bookmarkStart w:id="36" w:name="_Toc2945"/>
      <w:bookmarkStart w:id="37" w:name="_Toc106034626"/>
      <w:bookmarkStart w:id="38" w:name="_Toc521053054"/>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60336"/>
      <w:bookmarkStart w:id="42" w:name="_Toc16269"/>
      <w:bookmarkStart w:id="43" w:name="_Toc6563"/>
      <w:bookmarkStart w:id="44" w:name="_Toc521053055"/>
      <w:bookmarkStart w:id="45" w:name="_Toc106034627"/>
      <w:bookmarkStart w:id="46" w:name="_Toc5250471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1053056"/>
      <w:bookmarkStart w:id="48" w:name="_Toc106034628"/>
      <w:bookmarkStart w:id="49" w:name="_Toc1733"/>
      <w:bookmarkStart w:id="50" w:name="_Toc24901"/>
      <w:bookmarkStart w:id="51" w:name="_Toc21079"/>
      <w:bookmarkStart w:id="52" w:name="_Toc10415"/>
      <w:bookmarkStart w:id="53" w:name="_Toc525047164"/>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1492"/>
      <w:bookmarkStart w:id="56" w:name="_Toc8649"/>
      <w:bookmarkStart w:id="57" w:name="_Toc23143"/>
      <w:bookmarkStart w:id="58" w:name="_Toc5461"/>
      <w:bookmarkStart w:id="59" w:name="_Toc725"/>
      <w:bookmarkStart w:id="60" w:name="_Toc2422"/>
      <w:bookmarkStart w:id="61" w:name="_Toc26176"/>
      <w:bookmarkStart w:id="62" w:name="_Toc2070"/>
      <w:bookmarkStart w:id="63" w:name="_Toc12959"/>
      <w:bookmarkStart w:id="64" w:name="_Toc75793504"/>
      <w:bookmarkStart w:id="65" w:name="_Toc11017"/>
      <w:bookmarkStart w:id="66" w:name="_Toc1625"/>
      <w:bookmarkStart w:id="67" w:name="_Toc32686"/>
      <w:bookmarkStart w:id="68" w:name="_Toc25639"/>
      <w:bookmarkStart w:id="69" w:name="_Toc19886"/>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4913"/>
      <w:bookmarkStart w:id="74" w:name="_Toc75793505"/>
      <w:bookmarkStart w:id="75" w:name="_Toc8370"/>
      <w:bookmarkStart w:id="76" w:name="_Toc20979"/>
      <w:bookmarkStart w:id="77" w:name="_Toc7027"/>
      <w:bookmarkStart w:id="78" w:name="_Toc23656"/>
      <w:bookmarkStart w:id="79" w:name="_Toc9261"/>
      <w:bookmarkStart w:id="80" w:name="_Toc4531"/>
      <w:bookmarkStart w:id="81" w:name="_Toc14433"/>
      <w:bookmarkStart w:id="82" w:name="_Toc29985"/>
      <w:bookmarkStart w:id="83" w:name="_Toc23504"/>
      <w:bookmarkStart w:id="84" w:name="_Toc22910"/>
      <w:bookmarkStart w:id="85" w:name="_Toc19238"/>
      <w:bookmarkStart w:id="86" w:name="_Toc4519"/>
      <w:bookmarkStart w:id="87" w:name="_Toc11703"/>
      <w:bookmarkStart w:id="88" w:name="_Toc106030381"/>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rPr>
            </w:pPr>
            <w:r>
              <w:rPr>
                <w:rFonts w:hint="eastAsia" w:ascii="微软雅黑" w:hAnsi="微软雅黑" w:eastAsia="微软雅黑" w:cs="微软雅黑"/>
                <w:kern w:val="2"/>
                <w:sz w:val="21"/>
                <w:szCs w:val="21"/>
                <w:lang w:val="en-US" w:eastAsia="zh-CN" w:bidi="ar-SA"/>
              </w:rPr>
              <w:t>全自动蛋白印迹处理系统</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1台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28205"/>
      <w:bookmarkStart w:id="90" w:name="_Toc18675"/>
      <w:bookmarkStart w:id="91" w:name="_Toc75793506"/>
      <w:bookmarkStart w:id="92" w:name="_Toc695"/>
      <w:bookmarkStart w:id="93" w:name="_Toc27067"/>
      <w:bookmarkStart w:id="94" w:name="_Toc7792"/>
      <w:bookmarkStart w:id="95" w:name="_Toc5751"/>
      <w:bookmarkStart w:id="96" w:name="_Toc12568"/>
      <w:bookmarkStart w:id="97" w:name="_Toc15696"/>
      <w:bookmarkStart w:id="98" w:name="_Toc106030382"/>
      <w:bookmarkStart w:id="99" w:name="_Toc32262"/>
      <w:bookmarkStart w:id="100" w:name="_Toc21817"/>
      <w:bookmarkStart w:id="101" w:name="_Toc23975"/>
      <w:bookmarkStart w:id="102" w:name="_Toc18903"/>
      <w:bookmarkStart w:id="103" w:name="_Toc18800"/>
      <w:bookmarkStart w:id="104" w:name="_Toc10143"/>
      <w:bookmarkStart w:id="105" w:name="_Toc26453"/>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rPr>
      </w:pPr>
      <w:bookmarkStart w:id="106" w:name="_Toc12473"/>
      <w:bookmarkStart w:id="107" w:name="_Toc76462327"/>
      <w:bookmarkStart w:id="108" w:name="_Toc106030882"/>
      <w:bookmarkStart w:id="109" w:name="_Toc7791"/>
      <w:r>
        <w:rPr>
          <w:rFonts w:hint="eastAsia" w:ascii="微软雅黑" w:hAnsi="微软雅黑" w:eastAsia="微软雅黑" w:cs="微软雅黑"/>
          <w:sz w:val="24"/>
          <w:szCs w:val="24"/>
        </w:rPr>
        <w:t>（可优于以下要求）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○1.可完成Northern blot、Southern blot、Western blot的等膜的转印与孵育，考马斯亮蓝染色、银染等凝胶的染色；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▲2.设备具备≥7英寸触控操作屏，屏幕分辨率≥1200×600，屏幕可旋转折叠，适用于不同高度的桌面操作（需提供屏幕不同角度照片）；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○3.无需缓冲液槽或转印夹就能实现快速有效转印；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○4.转印时间范围：≤15-60分钟完成western转印；≤10-35分钟完成DNA和RNA的转印；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▲5.能同时转印≥4块小型手灌胶，≥4块预制胶；≥3块中型胶或≥3块大型胶，最大凝胶尺寸：≧24×15cm；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▲6.板式电极含有涂有铂金的钛阳级和不锈钢阴极，能实现均匀可靠的转印；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○7.阳极平台装有4个弹簧，能使平台容纳不同厚度的叠置凝胶，并在转印过程中对转印三明治产生均一压力；</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▲8.具有三种不同规格的样品盒，包括可同时处理≥12张小号膜（≥92×24mm），可同时处理≥8张中号膜的（≥92×38mm）的中号样品盒，可同时处理≥4张大号膜的（≥92×78mm）的大号样品盒（需提供孵育盒照片）；</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○9.孵育仓有避光、防尘、防挥发设计，可将孵育盒插入孵育仓内；</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○10.加样体积范围：≥5-17 mL；</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○11.孵育时间和振荡时间范围：≥1min-96h；</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○12.加样精度≥95%；</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○13.仪器内置抗体回收程序，回收精度≥95%；</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▲14.系统采用液体制冷方式（非半导体制冷），确保试剂4℃长时间</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24小时）</w:t>
      </w:r>
      <w:r>
        <w:rPr>
          <w:rFonts w:hint="eastAsia" w:ascii="微软雅黑" w:hAnsi="微软雅黑" w:eastAsia="微软雅黑" w:cs="微软雅黑"/>
          <w:sz w:val="24"/>
          <w:szCs w:val="24"/>
        </w:rPr>
        <w:t>孵育和保存；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○15.试剂存储区可独立设置温控，实现试剂的长时间</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24小时）</w:t>
      </w:r>
      <w:r>
        <w:rPr>
          <w:rFonts w:hint="eastAsia" w:ascii="微软雅黑" w:hAnsi="微软雅黑" w:eastAsia="微软雅黑" w:cs="微软雅黑"/>
          <w:sz w:val="24"/>
          <w:szCs w:val="24"/>
        </w:rPr>
        <w:t>保存；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▲16.内置标准操作方案，可以直接点击使用，亦可自定义方案，每个方案可设置≥10个步骤，仪器中最多可以存储≥10个不同的操作方案（需提供软件截图）；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▲17.设备断电时，系统自动保存当前实验进度，可在恢复通电后一键重启，避免断电对实验的影响；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▲18.振荡速度≥5档可调节，满足不同孵育条件（需提供软件截图）；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※19.系统采用移液枪头设计，可自动识别移液枪头位置，并自动更换，实现枪头的重复利用，保证每种试剂使用同一个枪头，完全避免交叉污染；</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※20.系统具备两种液面监测能力，液面不足时软件自动提醒，避免系统因加样或回收错误导致后续步骤实验失败；</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○21.实验程序运行结束后，自动蜂鸣提示；</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○22.实验程序运行结束后，最后一次的缓冲液会保留在样品盘中，以防止膜或凝胶脱水；</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※23.配置要求：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23.1.主机1台；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23.2.半干转印仪1套；</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23.3.孵育盒A：≥100×78mm 1个；</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23.4.孵育盒B：≥100×38mm 1个；</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23.5.孵育盒C：≥100×24mm 1个。</w:t>
      </w: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rPr>
        <w:t>以上参数要求请提供相应官网截图/产品彩页/产品说明书/检验报告等佐证材料（需生产厂家盖章、投标人盖章）。</w:t>
      </w:r>
      <w:r>
        <w:rPr>
          <w:rFonts w:hint="eastAsia" w:ascii="微软雅黑" w:hAnsi="微软雅黑" w:eastAsia="微软雅黑" w:cs="微软雅黑"/>
          <w:sz w:val="44"/>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widowControl/>
              <w:adjustRightInd w:val="0"/>
              <w:snapToGrid w:val="0"/>
              <w:spacing w:line="300" w:lineRule="auto"/>
              <w:jc w:val="left"/>
              <w:rPr>
                <w:rFonts w:hint="eastAsia" w:ascii="微软雅黑" w:hAnsi="微软雅黑" w:eastAsia="微软雅黑" w:cs="微软雅黑"/>
                <w:sz w:val="21"/>
                <w:szCs w:val="21"/>
              </w:rPr>
            </w:pPr>
            <w:r>
              <w:rPr>
                <w:rFonts w:hint="eastAsia" w:ascii="微软雅黑" w:hAnsi="微软雅黑" w:eastAsia="微软雅黑" w:cs="微软雅黑"/>
                <w:sz w:val="21"/>
                <w:szCs w:val="21"/>
              </w:rPr>
              <w:t>交货时间</w:t>
            </w: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rPr>
              <w:t>定标后30日历日内交货；</w:t>
            </w:r>
          </w:p>
          <w:p>
            <w:pPr>
              <w:pStyle w:val="2"/>
              <w:numPr>
                <w:ilvl w:val="-1"/>
                <w:numId w:val="0"/>
              </w:numPr>
              <w:ind w:left="0" w:firstLine="0"/>
              <w:rPr>
                <w:rFonts w:hint="eastAsia" w:ascii="微软雅黑" w:hAnsi="微软雅黑" w:eastAsia="微软雅黑" w:cs="微软雅黑"/>
                <w:sz w:val="21"/>
                <w:szCs w:val="21"/>
              </w:rPr>
            </w:pPr>
            <w:r>
              <w:rPr>
                <w:rFonts w:hint="eastAsia" w:ascii="微软雅黑" w:hAnsi="微软雅黑" w:eastAsia="微软雅黑" w:cs="微软雅黑"/>
                <w:sz w:val="21"/>
                <w:szCs w:val="21"/>
              </w:rPr>
              <w:t>交货地点：重庆医科大学附属儿童医院；</w:t>
            </w:r>
          </w:p>
          <w:p>
            <w:pPr>
              <w:pStyle w:val="2"/>
              <w:numPr>
                <w:ilvl w:val="-1"/>
                <w:numId w:val="0"/>
              </w:numPr>
              <w:ind w:left="0" w:firstLine="0"/>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验收方式：</w:t>
            </w:r>
            <w:r>
              <w:rPr>
                <w:rFonts w:hint="eastAsia" w:ascii="微软雅黑" w:hAnsi="微软雅黑" w:eastAsia="微软雅黑" w:cs="微软雅黑"/>
                <w:sz w:val="21"/>
                <w:szCs w:val="21"/>
              </w:rPr>
              <w:t>科室及医学工程科现场验收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jc w:val="left"/>
              <w:rPr>
                <w:rFonts w:hint="eastAsia" w:ascii="微软雅黑" w:hAnsi="微软雅黑" w:eastAsia="微软雅黑" w:cs="微软雅黑"/>
                <w:bCs/>
                <w:color w:val="333333"/>
                <w:kern w:val="0"/>
                <w:sz w:val="21"/>
                <w:szCs w:val="21"/>
              </w:rPr>
            </w:pPr>
            <w:r>
              <w:rPr>
                <w:rFonts w:hint="eastAsia" w:ascii="微软雅黑" w:hAnsi="微软雅黑" w:eastAsia="微软雅黑" w:cs="微软雅黑"/>
                <w:sz w:val="21"/>
                <w:szCs w:val="21"/>
                <w:lang w:val="en-US" w:eastAsia="zh-CN"/>
              </w:rPr>
              <w:t>1.</w:t>
            </w:r>
            <w:r>
              <w:rPr>
                <w:rFonts w:hint="eastAsia" w:ascii="微软雅黑" w:hAnsi="微软雅黑" w:eastAsia="微软雅黑" w:cs="微软雅黑"/>
                <w:bCs/>
                <w:color w:val="333333"/>
                <w:kern w:val="0"/>
                <w:sz w:val="21"/>
                <w:szCs w:val="21"/>
              </w:rPr>
              <w:t>质保期：不低于3年；</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2</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机器故障应2</w:t>
            </w:r>
            <w:r>
              <w:rPr>
                <w:rFonts w:hint="eastAsia" w:ascii="微软雅黑" w:hAnsi="微软雅黑" w:eastAsia="微软雅黑" w:cs="微软雅黑"/>
                <w:bCs/>
                <w:color w:val="333333"/>
                <w:kern w:val="0"/>
                <w:sz w:val="21"/>
                <w:szCs w:val="21"/>
              </w:rPr>
              <w:t>小时</w:t>
            </w:r>
            <w:r>
              <w:rPr>
                <w:rFonts w:hint="eastAsia" w:ascii="微软雅黑" w:hAnsi="微软雅黑" w:eastAsia="微软雅黑" w:cs="微软雅黑"/>
                <w:bCs/>
                <w:color w:val="333333"/>
                <w:kern w:val="0"/>
                <w:sz w:val="21"/>
                <w:szCs w:val="21"/>
                <w:lang w:val="de-DE"/>
              </w:rPr>
              <w:t>内故障响应，2</w:t>
            </w:r>
            <w:r>
              <w:rPr>
                <w:rFonts w:hint="eastAsia" w:ascii="微软雅黑" w:hAnsi="微软雅黑" w:eastAsia="微软雅黑" w:cs="微软雅黑"/>
                <w:bCs/>
                <w:color w:val="333333"/>
                <w:kern w:val="0"/>
                <w:sz w:val="21"/>
                <w:szCs w:val="21"/>
              </w:rPr>
              <w:t>4小时</w:t>
            </w:r>
            <w:r>
              <w:rPr>
                <w:rFonts w:hint="eastAsia" w:ascii="微软雅黑" w:hAnsi="微软雅黑" w:eastAsia="微软雅黑" w:cs="微软雅黑"/>
                <w:bCs/>
                <w:color w:val="333333"/>
                <w:kern w:val="0"/>
                <w:sz w:val="21"/>
                <w:szCs w:val="21"/>
                <w:lang w:val="de-DE"/>
              </w:rPr>
              <w:t>内到达现场</w:t>
            </w:r>
            <w:r>
              <w:rPr>
                <w:rFonts w:hint="eastAsia" w:ascii="微软雅黑" w:hAnsi="微软雅黑" w:eastAsia="微软雅黑" w:cs="微软雅黑"/>
                <w:bCs/>
                <w:color w:val="333333"/>
                <w:kern w:val="0"/>
                <w:sz w:val="21"/>
                <w:szCs w:val="21"/>
              </w:rPr>
              <w:t>,72小时内</w:t>
            </w:r>
            <w:r>
              <w:rPr>
                <w:rFonts w:hint="eastAsia" w:ascii="微软雅黑" w:hAnsi="微软雅黑" w:eastAsia="微软雅黑" w:cs="微软雅黑"/>
                <w:bCs/>
                <w:color w:val="333333"/>
                <w:kern w:val="0"/>
                <w:sz w:val="21"/>
                <w:szCs w:val="21"/>
                <w:lang w:val="de-DE"/>
              </w:rPr>
              <w:t>解决故障</w:t>
            </w:r>
            <w:r>
              <w:rPr>
                <w:rFonts w:hint="eastAsia" w:ascii="微软雅黑" w:hAnsi="微软雅黑" w:eastAsia="微软雅黑" w:cs="微软雅黑"/>
                <w:bCs/>
                <w:color w:val="333333"/>
                <w:kern w:val="0"/>
                <w:sz w:val="21"/>
                <w:szCs w:val="21"/>
              </w:rPr>
              <w:t>；</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3</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rPr>
              <w:t>不能解决故障48小时内提供备用机或解决方案；</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4</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提供维修技术资料；</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5</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维修工程师免费上门安装、培训；</w:t>
            </w:r>
            <w:r>
              <w:rPr>
                <w:rFonts w:hint="eastAsia" w:ascii="微软雅黑" w:hAnsi="微软雅黑" w:eastAsia="微软雅黑" w:cs="微软雅黑"/>
                <w:sz w:val="21"/>
                <w:szCs w:val="21"/>
              </w:rPr>
              <w:t>供方应对使用及维护人员进行必要的培训，包括异常情况处理及日常的维护操作，现场使用、维护人员能够独立完成各项操作为止。</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6</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一年不低于4次定期维护保养，</w:t>
            </w:r>
            <w:r>
              <w:rPr>
                <w:rFonts w:hint="eastAsia" w:ascii="微软雅黑" w:hAnsi="微软雅黑" w:eastAsia="微软雅黑" w:cs="微软雅黑"/>
                <w:bCs/>
                <w:color w:val="333333"/>
                <w:kern w:val="0"/>
                <w:sz w:val="21"/>
                <w:szCs w:val="21"/>
              </w:rPr>
              <w:t>有故障情况发生，终身免费上门维修</w:t>
            </w:r>
            <w:r>
              <w:rPr>
                <w:rFonts w:hint="eastAsia" w:ascii="微软雅黑" w:hAnsi="微软雅黑" w:eastAsia="微软雅黑" w:cs="微软雅黑"/>
                <w:bCs/>
                <w:color w:val="333333"/>
                <w:kern w:val="0"/>
                <w:sz w:val="21"/>
                <w:szCs w:val="21"/>
                <w:lang w:val="de-DE"/>
              </w:rPr>
              <w:t>；</w:t>
            </w:r>
          </w:p>
          <w:p>
            <w:pPr>
              <w:spacing w:line="360" w:lineRule="auto"/>
              <w:jc w:val="left"/>
              <w:rPr>
                <w:rFonts w:hint="eastAsia" w:ascii="微软雅黑" w:hAnsi="微软雅黑" w:eastAsia="微软雅黑" w:cs="微软雅黑"/>
                <w:bCs/>
                <w:color w:val="333333"/>
                <w:kern w:val="0"/>
                <w:sz w:val="21"/>
                <w:szCs w:val="21"/>
                <w:lang w:val="de-DE"/>
              </w:rPr>
            </w:pPr>
            <w:r>
              <w:rPr>
                <w:rFonts w:hint="eastAsia" w:ascii="微软雅黑" w:hAnsi="微软雅黑" w:eastAsia="微软雅黑" w:cs="微软雅黑"/>
                <w:bCs/>
                <w:color w:val="333333"/>
                <w:kern w:val="0"/>
                <w:sz w:val="21"/>
                <w:szCs w:val="21"/>
              </w:rPr>
              <w:t>7</w:t>
            </w:r>
            <w:r>
              <w:rPr>
                <w:rFonts w:hint="eastAsia" w:ascii="微软雅黑" w:hAnsi="微软雅黑" w:eastAsia="微软雅黑" w:cs="微软雅黑"/>
                <w:bCs/>
                <w:color w:val="333333"/>
                <w:kern w:val="0"/>
                <w:sz w:val="21"/>
                <w:szCs w:val="21"/>
                <w:lang w:val="en-US" w:eastAsia="zh-CN"/>
              </w:rPr>
              <w:t>.</w:t>
            </w:r>
            <w:r>
              <w:rPr>
                <w:rFonts w:hint="eastAsia" w:ascii="微软雅黑" w:hAnsi="微软雅黑" w:eastAsia="微软雅黑" w:cs="微软雅黑"/>
                <w:bCs/>
                <w:color w:val="333333"/>
                <w:kern w:val="0"/>
                <w:sz w:val="21"/>
                <w:szCs w:val="21"/>
                <w:lang w:val="de-DE"/>
              </w:rPr>
              <w:t>有西南地区本地化服务机构和服务人员证明并且能够提供证明材料（公司的营业证等复印件加盖公章）</w:t>
            </w:r>
          </w:p>
          <w:p>
            <w:pPr>
              <w:widowControl/>
              <w:adjustRightInd w:val="0"/>
              <w:snapToGrid w:val="0"/>
              <w:spacing w:line="300" w:lineRule="auto"/>
              <w:jc w:val="lef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bCs/>
                <w:color w:val="333333"/>
                <w:sz w:val="21"/>
                <w:szCs w:val="21"/>
              </w:rPr>
              <w:t>8</w:t>
            </w:r>
            <w:r>
              <w:rPr>
                <w:rFonts w:hint="eastAsia" w:ascii="微软雅黑" w:hAnsi="微软雅黑" w:eastAsia="微软雅黑" w:cs="微软雅黑"/>
                <w:bCs/>
                <w:color w:val="333333"/>
                <w:sz w:val="21"/>
                <w:szCs w:val="21"/>
                <w:lang w:val="en-US" w:eastAsia="zh-CN"/>
              </w:rPr>
              <w:t>.</w:t>
            </w:r>
            <w:r>
              <w:rPr>
                <w:rFonts w:hint="eastAsia" w:ascii="微软雅黑" w:hAnsi="微软雅黑" w:eastAsia="微软雅黑" w:cs="微软雅黑"/>
                <w:bCs/>
                <w:color w:val="333333"/>
                <w:sz w:val="21"/>
                <w:szCs w:val="21"/>
              </w:rPr>
              <w:t>中标商对自己投标产品对应参数需要满足，验收时根据投标响应文件中的技术参数一一验收，如果有一条或者多条不满足，客户有权取消合同，所产生的损失由中标商承担。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jc w:val="left"/>
              <w:rPr>
                <w:rFonts w:hint="eastAsia" w:ascii="微软雅黑" w:hAnsi="微软雅黑" w:eastAsia="微软雅黑" w:cs="微软雅黑"/>
                <w:bCs/>
                <w:color w:val="333333"/>
                <w:kern w:val="0"/>
                <w:sz w:val="21"/>
                <w:szCs w:val="21"/>
                <w:lang w:val="en-US" w:eastAsia="zh-CN" w:bidi="ar-SA"/>
              </w:rPr>
            </w:pPr>
            <w:r>
              <w:rPr>
                <w:rFonts w:hint="eastAsia" w:ascii="微软雅黑" w:hAnsi="微软雅黑" w:eastAsia="微软雅黑" w:cs="微软雅黑"/>
                <w:bCs/>
                <w:color w:val="333333"/>
                <w:kern w:val="0"/>
                <w:sz w:val="21"/>
                <w:szCs w:val="21"/>
                <w:lang w:val="en-US" w:eastAsia="zh-CN" w:bidi="ar-SA"/>
              </w:rPr>
              <w:t>1.该项目可在开标现场进行二次报价。</w:t>
            </w:r>
          </w:p>
          <w:p>
            <w:pPr>
              <w:spacing w:line="360" w:lineRule="auto"/>
              <w:jc w:val="left"/>
              <w:rPr>
                <w:rFonts w:hint="eastAsia" w:ascii="微软雅黑" w:hAnsi="微软雅黑" w:eastAsia="微软雅黑" w:cs="微软雅黑"/>
                <w:color w:val="0000FF"/>
                <w:sz w:val="21"/>
                <w:szCs w:val="21"/>
              </w:rPr>
            </w:pPr>
            <w:r>
              <w:rPr>
                <w:rFonts w:hint="eastAsia" w:ascii="微软雅黑" w:hAnsi="微软雅黑" w:eastAsia="微软雅黑" w:cs="微软雅黑"/>
                <w:bCs/>
                <w:color w:val="333333"/>
                <w:kern w:val="0"/>
                <w:sz w:val="21"/>
                <w:szCs w:val="21"/>
                <w:lang w:val="en-US" w:eastAsia="zh-CN" w:bidi="ar-SA"/>
              </w:rPr>
              <w:t>2.该项目报价须对设备包干总价和易损件分别进行报价，包括完成货物、运输、验收及其他本项目所需的所有费用及各种应纳的税费。因投标人自身原因造成漏报、少报皆由其自行承担责任，采购人不再补偿。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pStyle w:val="70"/>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结算方式：合同签订后中标供应商按采购合同交货并安装调试完成，经验收合格后采购方出具项目验收报告，中标供应商向采购方开具发票，采购方于2个月内以转账方式向中标供应商支付合同全款。</w:t>
            </w:r>
          </w:p>
          <w:p>
            <w:pPr>
              <w:pStyle w:val="144"/>
              <w:snapToGrid w:val="0"/>
              <w:spacing w:line="400" w:lineRule="exact"/>
              <w:rPr>
                <w:rFonts w:hint="eastAsia" w:ascii="微软雅黑" w:hAnsi="微软雅黑" w:eastAsia="微软雅黑" w:cs="微软雅黑"/>
                <w:color w:val="0000FF"/>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color w:val="333333"/>
                <w:kern w:val="0"/>
                <w:sz w:val="21"/>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pStyle w:val="144"/>
              <w:snapToGrid w:val="0"/>
              <w:spacing w:line="400" w:lineRule="exact"/>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投标人必须在响应文件中对以上条款和服务承诺明确列出，承诺内容必须达到本篇及协商文件其他条款的要求</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b/>
          <w:sz w:val="44"/>
        </w:rPr>
      </w:pPr>
      <w:bookmarkStart w:id="110" w:name="_Toc76462332"/>
      <w:bookmarkStart w:id="111" w:name="_Toc106030887"/>
      <w:bookmarkStart w:id="112"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26127"/>
      <w:bookmarkStart w:id="115" w:name="_Toc14958"/>
      <w:bookmarkStart w:id="116" w:name="_Toc106030888"/>
      <w:bookmarkStart w:id="117" w:name="_Toc76462333"/>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bookmarkStart w:id="119" w:name="_Toc106030889"/>
      <w:bookmarkStart w:id="120" w:name="_Toc30944"/>
      <w:bookmarkStart w:id="121" w:name="_Toc76462334"/>
      <w:bookmarkStart w:id="122" w:name="_Toc24315"/>
      <w:bookmarkStart w:id="123" w:name="_Toc342913394"/>
      <w:bookmarkStart w:id="124" w:name="_Toc102227320"/>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w:t>
      </w:r>
      <w:r>
        <w:rPr>
          <w:rFonts w:hint="eastAsia" w:ascii="微软雅黑" w:hAnsi="微软雅黑" w:eastAsia="微软雅黑" w:cs="微软雅黑"/>
          <w:color w:val="auto"/>
          <w:kern w:val="0"/>
          <w:sz w:val="24"/>
          <w:szCs w:val="24"/>
          <w:lang w:eastAsia="zh-CN"/>
        </w:rPr>
        <w:t>响应文件</w:t>
      </w:r>
      <w:r>
        <w:rPr>
          <w:rFonts w:hint="eastAsia" w:ascii="微软雅黑" w:hAnsi="微软雅黑" w:eastAsia="微软雅黑" w:cs="微软雅黑"/>
          <w:color w:val="auto"/>
          <w:kern w:val="0"/>
          <w:sz w:val="24"/>
          <w:szCs w:val="24"/>
        </w:rPr>
        <w:t>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推荐资格，招标文件未规定的采取随机抽取方式确定，其他同品牌投标人不作为中标候选人。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进行评价、打分，然后由评标委员会对各成员打分情况进行核查及复核，个别成员对同一投标人同一评分项的打分偏离较大的，应对投标人的</w:t>
      </w:r>
      <w:r>
        <w:rPr>
          <w:rFonts w:hint="eastAsia" w:ascii="微软雅黑" w:hAnsi="微软雅黑" w:eastAsia="微软雅黑" w:cs="微软雅黑"/>
          <w:color w:val="auto"/>
          <w:sz w:val="24"/>
          <w:szCs w:val="24"/>
          <w:lang w:eastAsia="zh-CN"/>
        </w:rPr>
        <w:t>响应文件</w:t>
      </w:r>
      <w:r>
        <w:rPr>
          <w:rFonts w:hint="eastAsia" w:ascii="微软雅黑" w:hAnsi="微软雅黑" w:eastAsia="微软雅黑" w:cs="微软雅黑"/>
          <w:color w:val="auto"/>
          <w:sz w:val="24"/>
          <w:szCs w:val="24"/>
        </w:rPr>
        <w:t>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4"/>
        <w:numPr>
          <w:ilvl w:val="0"/>
          <w:numId w:val="0"/>
        </w:numPr>
        <w:adjustRightInd w:val="0"/>
        <w:snapToGrid w:val="0"/>
        <w:spacing w:before="0" w:after="0" w:line="400" w:lineRule="exact"/>
        <w:rPr>
          <w:rFonts w:hint="eastAsia" w:ascii="微软雅黑" w:hAnsi="微软雅黑" w:eastAsia="微软雅黑" w:cs="微软雅黑"/>
          <w:sz w:val="24"/>
        </w:rPr>
      </w:pPr>
      <w:r>
        <w:rPr>
          <w:rFonts w:hint="eastAsia" w:ascii="微软雅黑" w:hAnsi="微软雅黑" w:eastAsia="微软雅黑" w:cs="微软雅黑"/>
          <w:sz w:val="24"/>
          <w:lang w:eastAsia="zh-CN"/>
        </w:rPr>
        <w:t>四、</w:t>
      </w:r>
      <w:r>
        <w:rPr>
          <w:rFonts w:hint="eastAsia" w:ascii="微软雅黑" w:hAnsi="微软雅黑" w:eastAsia="微软雅黑" w:cs="微软雅黑"/>
          <w:sz w:val="24"/>
        </w:rPr>
        <w:t>评审标准</w:t>
      </w:r>
      <w:bookmarkEnd w:id="119"/>
      <w:bookmarkEnd w:id="120"/>
      <w:bookmarkEnd w:id="121"/>
      <w:bookmarkEnd w:id="122"/>
    </w:p>
    <w:p>
      <w:pPr>
        <w:numPr>
          <w:ilvl w:val="0"/>
          <w:numId w:val="0"/>
        </w:numPr>
        <w:rPr>
          <w:rFonts w:hint="eastAsia"/>
        </w:rPr>
      </w:pPr>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70"/>
        <w:gridCol w:w="805"/>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1570"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805"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3978" w:type="dxa"/>
            <w:vAlign w:val="center"/>
          </w:tcPr>
          <w:p>
            <w:pPr>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0"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3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570"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83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570"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50</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 8条），从起评分中扣除4 分，扣完为止。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 12条），从起评分中扣除1.5 分，扣完为止。</w:t>
            </w:r>
          </w:p>
        </w:tc>
        <w:tc>
          <w:tcPr>
            <w:tcW w:w="244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628" w:type="dxa"/>
            <w:gridSpan w:val="5"/>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投标人的应答应满足招标文件“商务需求”，有一条不满足的，商务部分得分为0分，不再进入商务部分的评审。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8" w:hRule="atLeast"/>
          <w:jc w:val="center"/>
        </w:trPr>
        <w:tc>
          <w:tcPr>
            <w:tcW w:w="835" w:type="dxa"/>
            <w:vMerge w:val="restart"/>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w:t>
            </w:r>
          </w:p>
        </w:tc>
        <w:tc>
          <w:tcPr>
            <w:tcW w:w="1570" w:type="dxa"/>
            <w:vMerge w:val="restart"/>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商务部分</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w:t>
            </w:r>
          </w:p>
        </w:tc>
        <w:tc>
          <w:tcPr>
            <w:tcW w:w="805" w:type="dxa"/>
            <w:vMerge w:val="restart"/>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售后服务16</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投标人提供维保服务方案，方案内容包括日常维修保养、巡查、年度大保养计划。方案内容不存在瑕疵，得4分；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方案内容存在1处瑕疵，得3分；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方案内容存在2处瑕疵，得2分；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restart"/>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注：本项内容中所称的“瑕疵”指以下内容：</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①方案内容缺项、内容表述不完整或缺少维保服务内容或售后服务内容中任意一项内容的针对性分析或介绍；</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②方案内容表述前后矛盾、无连贯性；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③维保服务范围或售后服务范围覆盖不全、服务流程低效；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④方案内容存在逻辑漏洞、常识错误、维保服务或售后服务流程并不适用本项目特性和或非专门针对本项目特征制定；</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⑤方案内容并无体现时效性的售后处理计划或保养巡查计划安排；</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⑥方案中提出的措施不利于本项目目标的实现；</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⑦现有科学技术条件下不可能实现的情形。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方案内容不存在瑕疵，得3分；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方案内容存在1处瑕疵，得2分；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方案内容存在2处瑕疵，得1分；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方案内容存在3处及以上瑕疵或未提供方案得0分。</w:t>
            </w:r>
          </w:p>
        </w:tc>
        <w:tc>
          <w:tcPr>
            <w:tcW w:w="2440" w:type="dxa"/>
            <w:vMerge w:val="continue"/>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3.质量保证期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所投产品质量保证期在满足招标文件质保期要求的前提下，每增加1年加1分，本项最多加3分。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Merge w:val="continue"/>
            <w:vAlign w:val="center"/>
          </w:tcPr>
          <w:p>
            <w:pPr>
              <w:ind w:firstLine="28"/>
              <w:jc w:val="center"/>
              <w:rPr>
                <w:rFonts w:hint="eastAsia" w:ascii="微软雅黑" w:hAnsi="微软雅黑" w:eastAsia="微软雅黑" w:cs="微软雅黑"/>
                <w:color w:val="auto"/>
                <w:sz w:val="21"/>
                <w:szCs w:val="21"/>
              </w:rPr>
            </w:pP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4.质保期后要求</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承诺，质保期到期后，每年所投产品维保费≤中标单价金额的2%得6分，维保费为中标单价金额的3%得4分，维保费为中标单价金额的4%得2分，维保费为中标单价金额的5%得0分，超出中标单价金额/中标金额的5%或未提供承诺函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5" w:hRule="atLeast"/>
          <w:jc w:val="center"/>
        </w:trPr>
        <w:tc>
          <w:tcPr>
            <w:tcW w:w="835" w:type="dxa"/>
            <w:vMerge w:val="continue"/>
            <w:vAlign w:val="center"/>
          </w:tcPr>
          <w:p>
            <w:pPr>
              <w:ind w:firstLine="28"/>
              <w:jc w:val="center"/>
              <w:rPr>
                <w:rFonts w:hint="eastAsia" w:ascii="微软雅黑" w:hAnsi="微软雅黑" w:eastAsia="微软雅黑" w:cs="微软雅黑"/>
                <w:color w:val="auto"/>
                <w:sz w:val="21"/>
                <w:szCs w:val="21"/>
              </w:rPr>
            </w:pPr>
          </w:p>
        </w:tc>
        <w:tc>
          <w:tcPr>
            <w:tcW w:w="1570" w:type="dxa"/>
            <w:vMerge w:val="continue"/>
            <w:vAlign w:val="center"/>
          </w:tcPr>
          <w:p>
            <w:pPr>
              <w:ind w:firstLine="28"/>
              <w:jc w:val="center"/>
              <w:rPr>
                <w:rFonts w:hint="eastAsia" w:ascii="微软雅黑" w:hAnsi="微软雅黑" w:eastAsia="微软雅黑" w:cs="微软雅黑"/>
                <w:color w:val="auto"/>
                <w:sz w:val="21"/>
                <w:szCs w:val="21"/>
              </w:rPr>
            </w:pPr>
          </w:p>
        </w:tc>
        <w:tc>
          <w:tcPr>
            <w:tcW w:w="805" w:type="dxa"/>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履约能力</w:t>
            </w:r>
          </w:p>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4</w:t>
            </w:r>
          </w:p>
        </w:tc>
        <w:tc>
          <w:tcPr>
            <w:tcW w:w="3978"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244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1.提供业绩合同复印件（合同内容至少包含合同首页，产品信息页（内容包含产品型号规格和数量）、签字盖章页）；</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2.业绩合同对应佐证材料：验收合格报告复印件或中标/成交结果公示（公告）复印件或对应业绩合同的付款凭证（转账凭证）复印件，以上三选一提供；</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3.同一业绩合同只计分一次。</w:t>
            </w:r>
          </w:p>
        </w:tc>
      </w:tr>
    </w:tbl>
    <w:p>
      <w:pPr>
        <w:rPr>
          <w:rFonts w:hint="eastAsia" w:ascii="微软雅黑" w:hAnsi="微软雅黑" w:eastAsia="微软雅黑" w:cs="微软雅黑"/>
          <w:sz w:val="24"/>
        </w:rPr>
      </w:pPr>
      <w:r>
        <w:rPr>
          <w:rFonts w:hint="eastAsia" w:ascii="微软雅黑" w:hAnsi="微软雅黑" w:eastAsia="微软雅黑" w:cs="微软雅黑"/>
          <w:color w:val="auto"/>
          <w:sz w:val="21"/>
          <w:szCs w:val="21"/>
        </w:rPr>
        <w:br w:type="page"/>
      </w:r>
    </w:p>
    <w:p>
      <w:pPr>
        <w:rPr>
          <w:rFonts w:hint="eastAsia"/>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106030890"/>
      <w:bookmarkStart w:id="126" w:name="_Toc17606"/>
      <w:bookmarkStart w:id="127" w:name="_Toc76462335"/>
      <w:bookmarkStart w:id="128" w:name="_Toc31497"/>
      <w:r>
        <w:rPr>
          <w:rFonts w:hint="eastAsia" w:ascii="微软雅黑" w:hAnsi="微软雅黑" w:eastAsia="微软雅黑" w:cs="微软雅黑"/>
          <w:sz w:val="24"/>
          <w:lang w:eastAsia="zh-CN"/>
        </w:rPr>
        <w:t>五</w:t>
      </w:r>
      <w:r>
        <w:rPr>
          <w:rFonts w:hint="eastAsia" w:ascii="微软雅黑" w:hAnsi="微软雅黑" w:eastAsia="微软雅黑" w:cs="微软雅黑"/>
          <w:sz w:val="24"/>
        </w:rPr>
        <w:t>、无效响应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030891"/>
      <w:bookmarkStart w:id="130" w:name="_Toc10687"/>
      <w:bookmarkStart w:id="131" w:name="_Toc12222"/>
      <w:bookmarkStart w:id="132" w:name="_Toc76462336"/>
      <w:r>
        <w:rPr>
          <w:rFonts w:hint="eastAsia" w:ascii="微软雅黑" w:hAnsi="微软雅黑" w:eastAsia="微软雅黑" w:cs="微软雅黑"/>
          <w:sz w:val="24"/>
          <w:lang w:eastAsia="zh-CN"/>
        </w:rPr>
        <w:t>六</w:t>
      </w:r>
      <w:r>
        <w:rPr>
          <w:rFonts w:hint="eastAsia" w:ascii="微软雅黑" w:hAnsi="微软雅黑" w:eastAsia="微软雅黑" w:cs="微软雅黑"/>
          <w:sz w:val="24"/>
        </w:rPr>
        <w:t>、</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（三）在采购过程中符合要求的投标人或者报价未超过采购预算的投标人不足3家的；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6030892"/>
      <w:bookmarkStart w:id="134" w:name="_Toc13119"/>
      <w:bookmarkStart w:id="135" w:name="_Toc102227313"/>
      <w:bookmarkStart w:id="136" w:name="_Toc76462337"/>
      <w:bookmarkStart w:id="137" w:name="_Toc29948"/>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342913389"/>
      <w:bookmarkStart w:id="139" w:name="_Toc26717"/>
      <w:bookmarkStart w:id="140" w:name="_Toc20271"/>
      <w:bookmarkStart w:id="141" w:name="_Toc106030893"/>
      <w:bookmarkStart w:id="142" w:name="_Toc76462338"/>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27891"/>
      <w:bookmarkStart w:id="144" w:name="_Toc342913391"/>
      <w:bookmarkStart w:id="145" w:name="_Toc76462339"/>
      <w:bookmarkStart w:id="146" w:name="_Toc106030894"/>
      <w:bookmarkStart w:id="147" w:name="_Toc15712"/>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349"/>
      <w:bookmarkStart w:id="150" w:name="_Toc318159160"/>
      <w:bookmarkStart w:id="151" w:name="_Toc31815978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2227318"/>
      <w:bookmarkStart w:id="153" w:name="_Toc76462340"/>
      <w:bookmarkStart w:id="154" w:name="_Toc179714297"/>
      <w:bookmarkStart w:id="155" w:name="_Toc20510"/>
      <w:bookmarkStart w:id="156" w:name="_Toc26007"/>
      <w:bookmarkStart w:id="157" w:name="_Toc106030895"/>
      <w:bookmarkStart w:id="158" w:name="_Toc342913392"/>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6435"/>
      <w:bookmarkStart w:id="160" w:name="_Toc32166"/>
      <w:bookmarkStart w:id="161" w:name="_Toc106030896"/>
      <w:bookmarkStart w:id="162"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342913395"/>
      <w:bookmarkStart w:id="164" w:name="_Toc2729"/>
      <w:bookmarkStart w:id="165" w:name="_Toc102227321"/>
      <w:bookmarkStart w:id="166" w:name="_Toc21532"/>
      <w:bookmarkStart w:id="167" w:name="_Toc106030897"/>
      <w:bookmarkStart w:id="168" w:name="_Toc76462342"/>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21448"/>
      <w:bookmarkStart w:id="170" w:name="_Toc106030898"/>
      <w:bookmarkStart w:id="171" w:name="_Toc4796"/>
      <w:bookmarkStart w:id="172" w:name="_Toc76462343"/>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28334"/>
      <w:bookmarkStart w:id="174" w:name="_Toc7646234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76462346"/>
      <w:bookmarkStart w:id="179" w:name="_Toc342913396"/>
      <w:bookmarkStart w:id="180" w:name="_Toc3372"/>
      <w:bookmarkStart w:id="181" w:name="_Toc106030901"/>
      <w:bookmarkStart w:id="182" w:name="_Toc12789059"/>
      <w:bookmarkStart w:id="183" w:name="_Toc11641055"/>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76462349"/>
      <w:bookmarkStart w:id="186" w:name="_Toc27984"/>
      <w:bookmarkStart w:id="187" w:name="_Toc106030905"/>
      <w:bookmarkStart w:id="188" w:name="_Toc21717"/>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89" w:name="_Toc342913419"/>
      <w:bookmarkStart w:id="190" w:name="_Toc313008356"/>
      <w:bookmarkStart w:id="191" w:name="_Toc15994"/>
      <w:bookmarkStart w:id="192" w:name="_Toc313888360"/>
      <w:bookmarkStart w:id="193" w:name="_Toc106030906"/>
      <w:bookmarkStart w:id="194" w:name="_Toc76462350"/>
      <w:bookmarkStart w:id="195" w:name="_Toc283382454"/>
      <w:bookmarkStart w:id="196" w:name="_Toc12789073"/>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7" w:name="_Toc7890"/>
      <w:r>
        <w:rPr>
          <w:rFonts w:hint="eastAsia" w:ascii="微软雅黑" w:hAnsi="微软雅黑" w:eastAsia="微软雅黑" w:cs="微软雅黑"/>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br w:type="page"/>
      </w:r>
      <w:bookmarkStart w:id="198" w:name="_Toc18669"/>
      <w:bookmarkStart w:id="199" w:name="_Toc313888361"/>
      <w:bookmarkStart w:id="200" w:name="_Toc21535"/>
      <w:bookmarkStart w:id="201" w:name="_Toc76462351"/>
      <w:bookmarkStart w:id="202" w:name="_Toc342913420"/>
      <w:bookmarkStart w:id="203" w:name="_Toc313008357"/>
      <w:bookmarkStart w:id="204" w:name="_Toc106030907"/>
    </w:p>
    <w:p>
      <w:pPr>
        <w:rPr>
          <w:rFonts w:hint="eastAsia" w:ascii="微软雅黑" w:hAnsi="微软雅黑" w:eastAsia="微软雅黑" w:cs="微软雅黑"/>
          <w:sz w:val="24"/>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8"/>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960" w:firstLineChars="4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default"/>
          <w:lang w:val="en-US" w:eastAsia="zh-CN"/>
        </w:rPr>
      </w:pPr>
      <w:r>
        <w:rPr>
          <w:rFonts w:hint="default"/>
          <w:lang w:val="en-US" w:eastAsia="zh-CN"/>
        </w:rPr>
        <w:br w:type="page"/>
      </w:r>
    </w:p>
    <w:p>
      <w:pPr>
        <w:rPr>
          <w:rFonts w:hint="default"/>
          <w:lang w:val="en-US" w:eastAsia="zh-CN"/>
        </w:rPr>
        <w:sectPr>
          <w:pgSz w:w="11907" w:h="16840"/>
          <w:pgMar w:top="1134" w:right="1191" w:bottom="1134" w:left="1304" w:header="851" w:footer="992" w:gutter="0"/>
          <w:pgNumType w:fmt="numberInDash"/>
          <w:cols w:space="720" w:num="1"/>
          <w:docGrid w:linePitch="380" w:charSpace="-5735"/>
        </w:sectPr>
      </w:pPr>
    </w:p>
    <w:bookmarkEnd w:id="198"/>
    <w:bookmarkEnd w:id="199"/>
    <w:bookmarkEnd w:id="200"/>
    <w:bookmarkEnd w:id="201"/>
    <w:bookmarkEnd w:id="202"/>
    <w:bookmarkEnd w:id="203"/>
    <w:bookmarkEnd w:id="20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1257"/>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106030908"/>
      <w:bookmarkStart w:id="207" w:name="_Toc30639"/>
      <w:bookmarkStart w:id="208" w:name="_Toc11635"/>
      <w:bookmarkStart w:id="209" w:name="_Toc76462352"/>
      <w:bookmarkStart w:id="210" w:name="_Toc342913421"/>
      <w:bookmarkStart w:id="211" w:name="_Toc313008358"/>
      <w:bookmarkStart w:id="212" w:name="_Toc313888362"/>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tabs>
          <w:tab w:val="left" w:pos="6300"/>
        </w:tabs>
        <w:snapToGrid w:val="0"/>
        <w:spacing w:line="400" w:lineRule="exact"/>
        <w:ind w:firstLine="480" w:firstLineChars="200"/>
        <w:rPr>
          <w:rFonts w:hint="eastAsia" w:ascii="微软雅黑" w:hAnsi="微软雅黑" w:eastAsia="微软雅黑" w:cs="微软雅黑"/>
          <w:szCs w:val="24"/>
        </w:rPr>
      </w:pPr>
      <w:bookmarkStart w:id="213"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26948"/>
      <w:bookmarkStart w:id="215" w:name="_Toc313008359"/>
      <w:bookmarkStart w:id="216" w:name="_Toc313888363"/>
      <w:bookmarkStart w:id="217" w:name="_Toc76462353"/>
      <w:bookmarkStart w:id="218" w:name="_Toc25318"/>
      <w:bookmarkStart w:id="219" w:name="_Toc342913422"/>
      <w:bookmarkStart w:id="220" w:name="_Toc106030909"/>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9"/>
        <w:rPr>
          <w:rFonts w:hint="eastAsia" w:ascii="微软雅黑" w:hAnsi="微软雅黑" w:eastAsia="微软雅黑" w:cs="微软雅黑"/>
        </w:rPr>
      </w:pPr>
    </w:p>
    <w:p>
      <w:pPr>
        <w:pStyle w:val="70"/>
        <w:rPr>
          <w:rFonts w:hint="eastAsia" w:ascii="微软雅黑" w:hAnsi="微软雅黑" w:eastAsia="微软雅黑" w:cs="微软雅黑"/>
        </w:rPr>
      </w:pPr>
    </w:p>
    <w:p>
      <w:pPr>
        <w:pStyle w:val="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26771"/>
      <w:bookmarkStart w:id="223" w:name="_Toc106030910"/>
      <w:bookmarkStart w:id="224" w:name="_Toc7308"/>
      <w:bookmarkStart w:id="225" w:name="_Toc76462354"/>
      <w:bookmarkStart w:id="226" w:name="_Toc8805"/>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综合评标应答</w:t>
      </w:r>
      <w:r>
        <w:rPr>
          <w:rFonts w:hint="eastAsia" w:ascii="微软雅黑" w:hAnsi="微软雅黑" w:eastAsia="微软雅黑" w:cs="微软雅黑"/>
          <w:sz w:val="24"/>
        </w:rPr>
        <w:t>资料</w:t>
      </w:r>
      <w:bookmarkEnd w:id="222"/>
    </w:p>
    <w:tbl>
      <w:tblPr>
        <w:tblStyle w:val="58"/>
        <w:tblW w:w="1002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5735"/>
        <w:gridCol w:w="2446"/>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573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备注</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应答材料</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sz w:val="21"/>
                <w:szCs w:val="21"/>
              </w:rPr>
              <w:t>投标报价得分＝（评标基准价/投标报价）×价格权重×100。</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提醒：请注明具体内容以及响应文件中具体内容的位置（页码</w:t>
            </w:r>
            <w:r>
              <w:rPr>
                <w:rFonts w:hint="eastAsia" w:ascii="微软雅黑" w:hAnsi="微软雅黑" w:eastAsia="微软雅黑" w:cs="微软雅黑"/>
                <w:color w:val="auto"/>
                <w:sz w:val="21"/>
                <w:szCs w:val="21"/>
                <w:lang w:eastAsia="zh-CN"/>
              </w:rPr>
              <w:t>）</w:t>
            </w: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bookmarkEnd w:id="2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有效投标人的起评分为50分。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2.1投标文件投标应答有一条不满足招标文件重要技术需求的（本招标文件第二篇中带“▲”号标注的部分，共计 8条），从起评分中扣除4 分，扣完为止。</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2.2投标文件投标应答有一条不满足招标文件一般性技术需求的（本招标文件第二篇中“○”号标注的部分，共计 12条），从起评分中扣除1.5 分，扣完为止。</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维保服务方案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投标人提供维保服务方案，方案内容包括日常维修保养、巡查、年度大保养计划。方案内容不存在瑕疵，得4分；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方案内容存在1处瑕疵，得3分；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方案内容存在2处瑕疵，得2分；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方案内容存在3处及以上瑕疵或未提供方案得0分。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9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4</w:t>
            </w:r>
          </w:p>
        </w:tc>
        <w:tc>
          <w:tcPr>
            <w:tcW w:w="5735" w:type="dxa"/>
            <w:noWrap w:val="0"/>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根据投标人提供的售后服务方案进行评审，方案内容包括售后服务流程、售后服务范围、维修时间等。</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方案内容不存在瑕疵，得3分；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方案内容存在1处瑕疵，得2分；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方案内容存在2处瑕疵，得1分；</w:t>
            </w:r>
          </w:p>
          <w:p>
            <w:pPr>
              <w:pStyle w:val="2"/>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方案内容存在3处及以上瑕疵或未提供方案得0分。</w:t>
            </w:r>
          </w:p>
        </w:tc>
        <w:tc>
          <w:tcPr>
            <w:tcW w:w="244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w:t>
            </w:r>
          </w:p>
        </w:tc>
        <w:tc>
          <w:tcPr>
            <w:tcW w:w="0" w:type="auto"/>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质量保证期</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所投产品质量保证期在满足招标文件质保期要求的前提下，每增加1年加1分，本项最多加3分。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w:t>
            </w:r>
          </w:p>
        </w:tc>
        <w:tc>
          <w:tcPr>
            <w:tcW w:w="0" w:type="auto"/>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质保期后要求</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投标人承诺，质保期到期后，每年所投产品维保费≤中标单价金额的2%得6分，维保费为中标单价金额的3%得4分，维保费为中标单价金额的4%得2分，维保费为中标单价金额的5%得0分，超出中标单价金额/中标金额的5%或未提供承诺函得0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bookmarkStart w:id="228" w:name="_GoBack" w:colFirst="1" w:colLast="1"/>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right="0" w:rightChars="0" w:firstLine="210" w:firstLineChars="100"/>
              <w:jc w:val="both"/>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7</w:t>
            </w:r>
          </w:p>
        </w:tc>
        <w:tc>
          <w:tcPr>
            <w:tcW w:w="0" w:type="auto"/>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2021年1月1日至投标截止时间止（以合同签订时间为准)，投标人或所投产品制造商有所投同品牌同型号产品的销售业绩（买方非经销商或代理商），提供一个业绩得1分，本项最多得4分，不满足或未提供对应佐证材料的得0分。</w:t>
            </w: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bl>
    <w:p>
      <w:pPr>
        <w:spacing w:line="360" w:lineRule="auto"/>
        <w:jc w:val="both"/>
        <w:rPr>
          <w:rFonts w:hint="eastAsia" w:ascii="微软雅黑" w:hAnsi="微软雅黑" w:eastAsia="微软雅黑" w:cs="微软雅黑"/>
          <w:sz w:val="24"/>
          <w:szCs w:val="24"/>
        </w:rPr>
      </w:pPr>
    </w:p>
    <w:p>
      <w:pPr>
        <w:rPr>
          <w:rFonts w:hint="eastAsia" w:ascii="微软雅黑" w:hAnsi="微软雅黑" w:eastAsia="微软雅黑" w:cs="微软雅黑"/>
          <w:b w:val="0"/>
          <w:sz w:val="28"/>
        </w:rPr>
      </w:pPr>
      <w:r>
        <w:rPr>
          <w:rFonts w:hint="eastAsia" w:ascii="微软雅黑" w:hAnsi="微软雅黑" w:eastAsia="微软雅黑" w:cs="微软雅黑"/>
          <w:b w:val="0"/>
          <w:sz w:val="28"/>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eastAsia="zh-CN"/>
        </w:rPr>
        <w:t>六</w:t>
      </w:r>
      <w:r>
        <w:rPr>
          <w:rFonts w:hint="eastAsia" w:ascii="微软雅黑" w:hAnsi="微软雅黑" w:eastAsia="微软雅黑" w:cs="微软雅黑"/>
          <w:sz w:val="24"/>
        </w:rPr>
        <w:t>、其他资料</w:t>
      </w:r>
      <w:bookmarkEnd w:id="221"/>
      <w:bookmarkEnd w:id="223"/>
      <w:bookmarkEnd w:id="224"/>
      <w:bookmarkEnd w:id="225"/>
      <w:bookmarkEnd w:id="226"/>
    </w:p>
    <w:p>
      <w:pPr>
        <w:spacing w:line="360" w:lineRule="auto"/>
        <w:ind w:firstLine="480" w:firstLineChars="200"/>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其他与项目相关的材料</w:t>
      </w: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sectPr>
      <w:head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9B568B"/>
    <w:rsid w:val="07F103E0"/>
    <w:rsid w:val="092E6FC0"/>
    <w:rsid w:val="093441FC"/>
    <w:rsid w:val="0BB87E47"/>
    <w:rsid w:val="0D1F249B"/>
    <w:rsid w:val="0D26388C"/>
    <w:rsid w:val="0D2D45FA"/>
    <w:rsid w:val="0F4F0F37"/>
    <w:rsid w:val="1009316D"/>
    <w:rsid w:val="124B488F"/>
    <w:rsid w:val="128D10D0"/>
    <w:rsid w:val="1317485C"/>
    <w:rsid w:val="137173BB"/>
    <w:rsid w:val="143E2110"/>
    <w:rsid w:val="147A5E14"/>
    <w:rsid w:val="14D11CFB"/>
    <w:rsid w:val="15935DB5"/>
    <w:rsid w:val="15BB3449"/>
    <w:rsid w:val="16404E7B"/>
    <w:rsid w:val="17324323"/>
    <w:rsid w:val="17A1211B"/>
    <w:rsid w:val="18ED7A84"/>
    <w:rsid w:val="19255AF5"/>
    <w:rsid w:val="1A7E6296"/>
    <w:rsid w:val="1F0D01CA"/>
    <w:rsid w:val="1FB21338"/>
    <w:rsid w:val="21226BB2"/>
    <w:rsid w:val="21864056"/>
    <w:rsid w:val="222348FC"/>
    <w:rsid w:val="22F860AB"/>
    <w:rsid w:val="23DB3147"/>
    <w:rsid w:val="242C5890"/>
    <w:rsid w:val="24844BF4"/>
    <w:rsid w:val="2486441F"/>
    <w:rsid w:val="24E663DB"/>
    <w:rsid w:val="25013478"/>
    <w:rsid w:val="263535D3"/>
    <w:rsid w:val="27D567CB"/>
    <w:rsid w:val="28426BC2"/>
    <w:rsid w:val="2863744A"/>
    <w:rsid w:val="29601F8B"/>
    <w:rsid w:val="296F02CD"/>
    <w:rsid w:val="2AA01F44"/>
    <w:rsid w:val="2B712B53"/>
    <w:rsid w:val="2C43216E"/>
    <w:rsid w:val="2CD472B8"/>
    <w:rsid w:val="2DB02B6B"/>
    <w:rsid w:val="2E966F2B"/>
    <w:rsid w:val="300C58E0"/>
    <w:rsid w:val="30607DAE"/>
    <w:rsid w:val="31093DAE"/>
    <w:rsid w:val="31DA5A58"/>
    <w:rsid w:val="32EF600F"/>
    <w:rsid w:val="32FD7152"/>
    <w:rsid w:val="332D1E43"/>
    <w:rsid w:val="33673EF7"/>
    <w:rsid w:val="361F2D7D"/>
    <w:rsid w:val="37556B60"/>
    <w:rsid w:val="37FB426B"/>
    <w:rsid w:val="38CD7FDC"/>
    <w:rsid w:val="3ACE5D4F"/>
    <w:rsid w:val="3C55524B"/>
    <w:rsid w:val="3C740F54"/>
    <w:rsid w:val="3CCE1388"/>
    <w:rsid w:val="3DF6488D"/>
    <w:rsid w:val="3F1C71CA"/>
    <w:rsid w:val="406334F2"/>
    <w:rsid w:val="406D5057"/>
    <w:rsid w:val="409F14A1"/>
    <w:rsid w:val="40FA491E"/>
    <w:rsid w:val="415F6EA3"/>
    <w:rsid w:val="41E22EB6"/>
    <w:rsid w:val="446528DF"/>
    <w:rsid w:val="44890FF5"/>
    <w:rsid w:val="44F64ED7"/>
    <w:rsid w:val="452C7897"/>
    <w:rsid w:val="4539779C"/>
    <w:rsid w:val="46151D23"/>
    <w:rsid w:val="46D026EE"/>
    <w:rsid w:val="475E104C"/>
    <w:rsid w:val="47AA1B14"/>
    <w:rsid w:val="47DF47C8"/>
    <w:rsid w:val="47E44DA2"/>
    <w:rsid w:val="494C6B8D"/>
    <w:rsid w:val="497B7CB3"/>
    <w:rsid w:val="4A8845CE"/>
    <w:rsid w:val="4B2D12E0"/>
    <w:rsid w:val="4BEB6B31"/>
    <w:rsid w:val="4CEE00A7"/>
    <w:rsid w:val="4DD36371"/>
    <w:rsid w:val="4EEC1F3B"/>
    <w:rsid w:val="4F070047"/>
    <w:rsid w:val="4F3C244F"/>
    <w:rsid w:val="4FCD30B4"/>
    <w:rsid w:val="50544178"/>
    <w:rsid w:val="5115115D"/>
    <w:rsid w:val="521E4A24"/>
    <w:rsid w:val="52D92ACB"/>
    <w:rsid w:val="533451FF"/>
    <w:rsid w:val="539058D7"/>
    <w:rsid w:val="53B4776F"/>
    <w:rsid w:val="53DF1E3A"/>
    <w:rsid w:val="540F25CE"/>
    <w:rsid w:val="545B425C"/>
    <w:rsid w:val="54B349D8"/>
    <w:rsid w:val="558E730F"/>
    <w:rsid w:val="573C43EC"/>
    <w:rsid w:val="57733AD9"/>
    <w:rsid w:val="57857077"/>
    <w:rsid w:val="5787205D"/>
    <w:rsid w:val="58EA1C45"/>
    <w:rsid w:val="59D52FEA"/>
    <w:rsid w:val="5CA67F0E"/>
    <w:rsid w:val="5DAD4E7C"/>
    <w:rsid w:val="5E16050E"/>
    <w:rsid w:val="5E3D2C1E"/>
    <w:rsid w:val="5E7850F1"/>
    <w:rsid w:val="5EE04623"/>
    <w:rsid w:val="5F7C4D42"/>
    <w:rsid w:val="60CB5C8F"/>
    <w:rsid w:val="61743609"/>
    <w:rsid w:val="61DB1F11"/>
    <w:rsid w:val="6379050D"/>
    <w:rsid w:val="648E2F32"/>
    <w:rsid w:val="648E3C9A"/>
    <w:rsid w:val="64DA4767"/>
    <w:rsid w:val="65170F5B"/>
    <w:rsid w:val="65215328"/>
    <w:rsid w:val="670A099E"/>
    <w:rsid w:val="673A1C09"/>
    <w:rsid w:val="67C616A4"/>
    <w:rsid w:val="68BD663A"/>
    <w:rsid w:val="692F74C0"/>
    <w:rsid w:val="696405DD"/>
    <w:rsid w:val="69BB7DC1"/>
    <w:rsid w:val="69BE2355"/>
    <w:rsid w:val="6B75107A"/>
    <w:rsid w:val="6B790023"/>
    <w:rsid w:val="6D232EBC"/>
    <w:rsid w:val="6D5236ED"/>
    <w:rsid w:val="6F533B9D"/>
    <w:rsid w:val="6F7E3D26"/>
    <w:rsid w:val="6FE969BF"/>
    <w:rsid w:val="701245F9"/>
    <w:rsid w:val="70316194"/>
    <w:rsid w:val="71175C34"/>
    <w:rsid w:val="721C10A9"/>
    <w:rsid w:val="74D70DF7"/>
    <w:rsid w:val="750950F5"/>
    <w:rsid w:val="750D16CF"/>
    <w:rsid w:val="773622B4"/>
    <w:rsid w:val="77500061"/>
    <w:rsid w:val="78877A5F"/>
    <w:rsid w:val="789F3DA6"/>
    <w:rsid w:val="78A52377"/>
    <w:rsid w:val="79082185"/>
    <w:rsid w:val="79D7056D"/>
    <w:rsid w:val="7A6F77AB"/>
    <w:rsid w:val="7AB15A46"/>
    <w:rsid w:val="7ABA3FBA"/>
    <w:rsid w:val="7B5B7497"/>
    <w:rsid w:val="7B7D6B6D"/>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 w:type="paragraph" w:customStyle="1" w:styleId="246">
    <w:name w:val="Body 1"/>
    <w:qFormat/>
    <w:uiPriority w:val="0"/>
    <w:pPr>
      <w:outlineLvl w:val="0"/>
    </w:pPr>
    <w:rPr>
      <w:rFonts w:ascii="Helvetica" w:hAnsi="Helvetica" w:eastAsia="Arial Unicode MS" w:cs="Times New Roman"/>
      <w:b/>
      <w:color w:val="000000"/>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2026-01-30T07:24:22Z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