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YSB260049</w:t>
      </w:r>
    </w:p>
    <w:p>
      <w:pPr>
        <w:spacing w:line="360" w:lineRule="auto"/>
        <w:ind w:firstLine="1800" w:firstLineChars="500"/>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rPr>
        <w:t>项目名称：</w:t>
      </w:r>
      <w:bookmarkStart w:id="198" w:name="_GoBack"/>
      <w:r>
        <w:rPr>
          <w:rFonts w:hint="eastAsia" w:ascii="微软雅黑" w:hAnsi="微软雅黑" w:eastAsia="微软雅黑" w:cs="微软雅黑"/>
          <w:color w:val="auto"/>
          <w:sz w:val="36"/>
          <w:szCs w:val="36"/>
          <w:u w:val="single"/>
        </w:rPr>
        <w:t>恒温混匀仪及旋转混匀仪</w:t>
      </w:r>
      <w:bookmarkEnd w:id="198"/>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3"/>
        <w:rPr>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3</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44"/>
          <w:szCs w:val="44"/>
        </w:rPr>
        <w:t>目   录</w:t>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_Toc27134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_Toc27134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_Toc18713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_Toc18713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_Toc862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_Toc25727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_Toc3392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_Toc3392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_Toc22136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_Toc22136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- 4 -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_Toc1127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_Toc1127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- 4 -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_Toc28200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_Toc28200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- 5 -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_Toc29036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_Toc29036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- 6 -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_Toc5236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_Toc5236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- 7 -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_Toc6540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_Toc6540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- 7 -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二、评标方法</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_Toc8613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- 8 -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、评审标准</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_Toc23912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- 8 -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_Toc8040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_Toc8040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- 8 -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_Toc25923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_Toc25923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- 9 -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_Toc27922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_Toc27922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- 10 -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_Toc4785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_Toc4785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- 10 -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_Toc20250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_Toc20250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- 10 -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_Toc9410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_Toc9410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- 10 -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_Toc2838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_Toc2838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- 11 -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_Toc19044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_Toc19044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- 11 -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_Toc32010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_Toc32010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- 11 -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_Toc32028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_Toc32028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- 12 -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_Toc14281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_Toc14281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- 13 -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_Toc3654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_Toc3654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- 15 -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_Toc4530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_Toc4530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- 18 -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_Toc25459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_Toc25459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- 20 -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_Toc18456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_Toc18456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- 22 -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_Toc673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五、其他资料</w:t>
      </w:r>
      <w:r>
        <w:rPr>
          <w:rFonts w:hint="eastAsia" w:ascii="微软雅黑" w:hAnsi="微软雅黑" w:eastAsia="微软雅黑" w:cs="微软雅黑"/>
          <w:color w:val="auto"/>
          <w:sz w:val="24"/>
          <w:szCs w:val="24"/>
        </w:rPr>
        <w:tab/>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PAGEREF _Toc673 \h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- 28 -</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0" w:name="_Toc12789052"/>
      <w:bookmarkStart w:id="1" w:name="_Toc76462316"/>
      <w:bookmarkStart w:id="2" w:name="_Toc11641050"/>
      <w:bookmarkStart w:id="3" w:name="_Toc106030870"/>
      <w:bookmarkStart w:id="4" w:name="_Toc27134"/>
      <w:bookmarkStart w:id="5" w:name="_Toc24037"/>
      <w:bookmarkStart w:id="6" w:name="_Toc317775178"/>
      <w:r>
        <w:rPr>
          <w:rFonts w:hint="eastAsia" w:ascii="微软雅黑" w:hAnsi="微软雅黑" w:eastAsia="微软雅黑" w:cs="微软雅黑"/>
          <w:color w:val="auto"/>
          <w:sz w:val="44"/>
        </w:rPr>
        <w:t>第一篇  采购邀请书</w:t>
      </w:r>
      <w:bookmarkEnd w:id="0"/>
      <w:bookmarkEnd w:id="1"/>
      <w:bookmarkEnd w:id="2"/>
      <w:bookmarkEnd w:id="3"/>
      <w:bookmarkEnd w:id="4"/>
      <w:bookmarkEnd w:id="5"/>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恒温混匀仪及旋转混匀仪</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7" w:name="_Toc18713"/>
      <w:bookmarkStart w:id="8" w:name="_Toc317775175"/>
      <w:bookmarkStart w:id="9" w:name="_Toc3856"/>
      <w:bookmarkStart w:id="10" w:name="_Toc76462317"/>
      <w:bookmarkStart w:id="11" w:name="_Toc313893526"/>
      <w:bookmarkStart w:id="12" w:name="_Toc106030871"/>
      <w:r>
        <w:rPr>
          <w:rFonts w:hint="eastAsia" w:ascii="微软雅黑" w:hAnsi="微软雅黑" w:eastAsia="微软雅黑" w:cs="微软雅黑"/>
          <w:color w:val="auto"/>
          <w:sz w:val="24"/>
        </w:rPr>
        <w:t>一、公开比选采购内容</w:t>
      </w:r>
      <w:bookmarkEnd w:id="7"/>
      <w:bookmarkEnd w:id="8"/>
      <w:bookmarkEnd w:id="9"/>
      <w:bookmarkEnd w:id="10"/>
      <w:bookmarkEnd w:id="11"/>
      <w:bookmarkEnd w:id="12"/>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3014"/>
        <w:gridCol w:w="1338"/>
        <w:gridCol w:w="1517"/>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3" w:name="_Toc106030872"/>
            <w:bookmarkStart w:id="14" w:name="_Toc9755"/>
            <w:bookmarkStart w:id="15" w:name="_Toc76462318"/>
            <w:bookmarkStart w:id="16" w:name="_Toc862"/>
            <w:bookmarkStart w:id="17" w:name="_Toc373860293"/>
            <w:r>
              <w:rPr>
                <w:rFonts w:hint="eastAsia" w:ascii="微软雅黑" w:hAnsi="微软雅黑" w:eastAsia="微软雅黑" w:cs="微软雅黑"/>
                <w:b/>
                <w:bCs/>
                <w:color w:val="auto"/>
                <w:kern w:val="0"/>
                <w:sz w:val="21"/>
                <w:szCs w:val="24"/>
              </w:rPr>
              <w:t>项目编号</w:t>
            </w:r>
          </w:p>
        </w:tc>
        <w:tc>
          <w:tcPr>
            <w:tcW w:w="175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780"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tc>
        <w:tc>
          <w:tcPr>
            <w:tcW w:w="88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YSB260049</w:t>
            </w:r>
          </w:p>
        </w:tc>
        <w:tc>
          <w:tcPr>
            <w:tcW w:w="175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恒温混匀仪及旋转混匀仪</w:t>
            </w:r>
          </w:p>
        </w:tc>
        <w:tc>
          <w:tcPr>
            <w:tcW w:w="780"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6.15万元</w:t>
            </w:r>
          </w:p>
        </w:tc>
        <w:tc>
          <w:tcPr>
            <w:tcW w:w="885"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w:t>
      </w:r>
      <w:bookmarkEnd w:id="13"/>
      <w:bookmarkEnd w:id="14"/>
      <w:bookmarkEnd w:id="15"/>
      <w:bookmarkStart w:id="18" w:name="_Toc76462319"/>
      <w:bookmarkStart w:id="19" w:name="_Toc106030873"/>
      <w:bookmarkStart w:id="20" w:name="_Toc4480"/>
      <w:r>
        <w:rPr>
          <w:rFonts w:hint="eastAsia" w:ascii="微软雅黑" w:hAnsi="微软雅黑" w:eastAsia="微软雅黑" w:cs="微软雅黑"/>
          <w:color w:val="auto"/>
          <w:sz w:val="24"/>
        </w:rPr>
        <w:t>投标人资格条件</w:t>
      </w:r>
      <w:bookmarkEnd w:id="16"/>
      <w:bookmarkEnd w:id="18"/>
      <w:bookmarkEnd w:id="19"/>
      <w:bookmarkEnd w:id="2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bookmarkStart w:id="21" w:name="_Toc27954"/>
      <w:bookmarkStart w:id="22" w:name="_Toc106030874"/>
      <w:bookmarkStart w:id="23" w:name="_Toc76462320"/>
      <w:r>
        <w:rPr>
          <w:rFonts w:hint="eastAsia" w:ascii="微软雅黑" w:hAnsi="微软雅黑" w:eastAsia="微软雅黑" w:cs="微软雅黑"/>
          <w:color w:val="auto"/>
          <w:sz w:val="24"/>
          <w:szCs w:val="24"/>
        </w:rPr>
        <w:t>（二）本项目的特定资格要求：</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所投产品属三类医疗器械的，须具备有效期内《医疗器械经营企业许可证》或《医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疗器械经营许可证》及产品注册证;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所提供产品属二类医疗器械的，须具备有效期内《医疗器械经营企业许可证》或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《第二类医疗器械经营备案凭证》及产品注册证;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须具有所提供产品《第一类医疗器械备案凭证》及《第一类医疗器械备案信息表》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及产品备案;</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rPr>
        <w:t>所提供产品不属于医疗器械的</w:t>
      </w:r>
      <w:r>
        <w:rPr>
          <w:rFonts w:hint="eastAsia" w:ascii="微软雅黑" w:hAnsi="微软雅黑" w:eastAsia="微软雅黑" w:cs="微软雅黑"/>
          <w:color w:val="auto"/>
          <w:sz w:val="24"/>
          <w:szCs w:val="24"/>
          <w:lang w:eastAsia="zh-CN"/>
        </w:rPr>
        <w:t>无需提供上述第</w:t>
      </w:r>
      <w:r>
        <w:rPr>
          <w:rFonts w:hint="eastAsia" w:ascii="微软雅黑" w:hAnsi="微软雅黑" w:eastAsia="微软雅黑" w:cs="微软雅黑"/>
          <w:color w:val="auto"/>
          <w:sz w:val="24"/>
          <w:szCs w:val="24"/>
        </w:rPr>
        <w:t>2-6</w:t>
      </w:r>
      <w:r>
        <w:rPr>
          <w:rFonts w:hint="eastAsia" w:ascii="微软雅黑" w:hAnsi="微软雅黑" w:eastAsia="微软雅黑" w:cs="微软雅黑"/>
          <w:color w:val="auto"/>
          <w:sz w:val="24"/>
          <w:szCs w:val="24"/>
          <w:lang w:eastAsia="zh-CN"/>
        </w:rPr>
        <w:t>款</w:t>
      </w:r>
      <w:r>
        <w:rPr>
          <w:rFonts w:hint="eastAsia" w:ascii="微软雅黑" w:hAnsi="微软雅黑" w:eastAsia="微软雅黑" w:cs="微软雅黑"/>
          <w:color w:val="auto"/>
          <w:sz w:val="24"/>
          <w:szCs w:val="24"/>
          <w:lang w:val="en-US" w:eastAsia="zh-CN"/>
        </w:rPr>
        <w:t>材料。</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8.</w:t>
      </w:r>
      <w:r>
        <w:rPr>
          <w:rFonts w:hint="eastAsia" w:ascii="微软雅黑" w:hAnsi="微软雅黑" w:eastAsia="微软雅黑" w:cs="微软雅黑"/>
          <w:color w:val="auto"/>
          <w:sz w:val="24"/>
          <w:szCs w:val="24"/>
        </w:rPr>
        <w:t>投标人所投产品必须为国内生产。</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4" w:name="_Toc25727"/>
      <w:r>
        <w:rPr>
          <w:rFonts w:hint="eastAsia" w:ascii="微软雅黑" w:hAnsi="微软雅黑" w:eastAsia="微软雅黑" w:cs="微软雅黑"/>
          <w:color w:val="auto"/>
          <w:sz w:val="24"/>
        </w:rPr>
        <w:t>三、比选有关说明</w:t>
      </w:r>
      <w:bookmarkEnd w:id="17"/>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521053054"/>
      <w:bookmarkStart w:id="26" w:name="_Toc1546"/>
      <w:bookmarkStart w:id="27" w:name="_Toc65660335"/>
      <w:bookmarkStart w:id="28" w:name="_Toc106034626"/>
      <w:bookmarkStart w:id="29" w:name="_Toc4355"/>
      <w:bookmarkStart w:id="30" w:name="_Toc525047162"/>
      <w:bookmarkStart w:id="31" w:name="_Toc2945"/>
      <w:bookmarkStart w:id="32" w:name="_Toc3392"/>
      <w:bookmarkStart w:id="33"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25"/>
      <w:bookmarkEnd w:id="26"/>
      <w:bookmarkEnd w:id="27"/>
      <w:bookmarkEnd w:id="28"/>
      <w:bookmarkEnd w:id="29"/>
      <w:bookmarkEnd w:id="30"/>
      <w:bookmarkEnd w:id="31"/>
      <w:bookmarkStart w:id="34" w:name="_Toc6178"/>
      <w:bookmarkStart w:id="35" w:name="_Toc11956"/>
      <w:bookmarkStart w:id="36" w:name="_Toc12841"/>
      <w:bookmarkStart w:id="37" w:name="_Toc521053053"/>
      <w:bookmarkStart w:id="38" w:name="_Toc106034625"/>
      <w:bookmarkStart w:id="39" w:name="_Toc16749"/>
      <w:bookmarkStart w:id="40" w:name="_Toc525047161"/>
      <w:bookmarkStart w:id="41" w:name="_Toc65660334"/>
      <w:r>
        <w:rPr>
          <w:rFonts w:hint="eastAsia" w:ascii="微软雅黑" w:hAnsi="微软雅黑" w:eastAsia="微软雅黑" w:cs="微软雅黑"/>
          <w:color w:val="auto"/>
          <w:sz w:val="24"/>
        </w:rPr>
        <w:t>保证金</w:t>
      </w:r>
      <w:bookmarkEnd w:id="32"/>
      <w:bookmarkEnd w:id="33"/>
      <w:bookmarkEnd w:id="34"/>
      <w:bookmarkEnd w:id="35"/>
      <w:bookmarkEnd w:id="36"/>
      <w:bookmarkEnd w:id="37"/>
      <w:bookmarkEnd w:id="38"/>
      <w:bookmarkEnd w:id="39"/>
      <w:bookmarkEnd w:id="40"/>
      <w:bookmarkEnd w:id="4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2" w:name="_Toc31421"/>
      <w:bookmarkStart w:id="43"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2"/>
      <w:bookmarkEnd w:id="43"/>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4" w:name="_Toc22136"/>
      <w:bookmarkStart w:id="45"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4"/>
      <w:bookmarkEnd w:id="4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6" w:name="_Toc106034628"/>
      <w:bookmarkStart w:id="47" w:name="_Toc65660337"/>
      <w:bookmarkStart w:id="48" w:name="_Toc1733"/>
      <w:bookmarkStart w:id="49" w:name="_Toc24901"/>
      <w:bookmarkStart w:id="50" w:name="_Toc1127"/>
      <w:bookmarkStart w:id="51" w:name="_Toc10415"/>
      <w:bookmarkStart w:id="52" w:name="_Toc525047164"/>
      <w:bookmarkStart w:id="53" w:name="_Toc521053056"/>
      <w:bookmarkStart w:id="54" w:name="_Toc30276"/>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6"/>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6"/>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5" w:name="_Toc5461"/>
      <w:bookmarkStart w:id="56" w:name="_Toc2070"/>
      <w:bookmarkStart w:id="57" w:name="_Toc8649"/>
      <w:bookmarkStart w:id="58" w:name="_Toc12959"/>
      <w:bookmarkStart w:id="59" w:name="_Toc11017"/>
      <w:bookmarkStart w:id="60" w:name="_Toc32686"/>
      <w:bookmarkStart w:id="61" w:name="_Toc25639"/>
      <w:bookmarkStart w:id="62" w:name="_Toc1625"/>
      <w:bookmarkStart w:id="63" w:name="_Toc725"/>
      <w:bookmarkStart w:id="64" w:name="_Toc23143"/>
      <w:bookmarkStart w:id="65" w:name="_Toc26176"/>
      <w:bookmarkStart w:id="66" w:name="_Toc1492"/>
      <w:bookmarkStart w:id="67" w:name="_Toc75793504"/>
      <w:bookmarkStart w:id="68" w:name="_Toc19886"/>
      <w:bookmarkStart w:id="69" w:name="_Toc2422"/>
      <w:bookmarkStart w:id="70" w:name="_Toc106030380"/>
      <w:bookmarkStart w:id="71" w:name="_Toc30927"/>
      <w:bookmarkStart w:id="72" w:name="_Toc27431"/>
      <w:bookmarkStart w:id="73" w:name="_Toc28200"/>
      <w:bookmarkStart w:id="74" w:name="_Toc12789058"/>
      <w:r>
        <w:rPr>
          <w:rFonts w:hint="eastAsia" w:ascii="微软雅黑" w:hAnsi="微软雅黑" w:eastAsia="微软雅黑" w:cs="微软雅黑"/>
          <w:b/>
          <w:color w:val="auto"/>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color w:val="auto"/>
          <w:sz w:val="44"/>
        </w:rPr>
        <w:t>项目技术（质量）需求</w:t>
      </w:r>
      <w:bookmarkEnd w:id="70"/>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4531"/>
      <w:bookmarkStart w:id="76" w:name="_Toc29985"/>
      <w:bookmarkStart w:id="77" w:name="_Toc19238"/>
      <w:bookmarkStart w:id="78" w:name="_Toc7027"/>
      <w:bookmarkStart w:id="79" w:name="_Toc75793505"/>
      <w:bookmarkStart w:id="80" w:name="_Toc4913"/>
      <w:bookmarkStart w:id="81" w:name="_Toc20979"/>
      <w:bookmarkStart w:id="82" w:name="_Toc106030381"/>
      <w:bookmarkStart w:id="83" w:name="_Toc9261"/>
      <w:bookmarkStart w:id="84" w:name="_Toc22910"/>
      <w:bookmarkStart w:id="85" w:name="_Toc23656"/>
      <w:bookmarkStart w:id="86" w:name="_Toc8370"/>
      <w:bookmarkStart w:id="87" w:name="_Toc11703"/>
      <w:bookmarkStart w:id="88" w:name="_Toc4519"/>
      <w:bookmarkStart w:id="89" w:name="_Toc23504"/>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恒温混匀仪</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3台</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default" w:ascii="微软雅黑" w:hAnsi="微软雅黑" w:eastAsia="微软雅黑" w:cs="微软雅黑"/>
                <w:color w:val="auto"/>
                <w:sz w:val="24"/>
                <w:szCs w:val="24"/>
                <w:lang w:val="en-US" w:eastAsia="zh-CN"/>
              </w:rPr>
            </w:pPr>
            <w:bookmarkStart w:id="90" w:name="_Toc106030382"/>
            <w:bookmarkStart w:id="91" w:name="_Toc10143"/>
            <w:bookmarkStart w:id="92" w:name="_Toc18903"/>
            <w:bookmarkStart w:id="93" w:name="_Toc15696"/>
            <w:bookmarkStart w:id="94" w:name="_Toc7792"/>
            <w:bookmarkStart w:id="95" w:name="_Toc695"/>
            <w:bookmarkStart w:id="96" w:name="_Toc23975"/>
            <w:bookmarkStart w:id="97" w:name="_Toc27067"/>
            <w:bookmarkStart w:id="98" w:name="_Toc32262"/>
            <w:bookmarkStart w:id="99" w:name="_Toc18800"/>
            <w:bookmarkStart w:id="100" w:name="_Toc28205"/>
            <w:bookmarkStart w:id="101" w:name="_Toc5751"/>
            <w:bookmarkStart w:id="102" w:name="_Toc26453"/>
            <w:bookmarkStart w:id="103" w:name="_Toc75793506"/>
            <w:bookmarkStart w:id="104" w:name="_Toc12568"/>
            <w:bookmarkStart w:id="105" w:name="_Toc21817"/>
            <w:r>
              <w:rPr>
                <w:rFonts w:hint="eastAsia" w:ascii="微软雅黑" w:hAnsi="微软雅黑" w:eastAsia="微软雅黑" w:cs="微软雅黑"/>
                <w:color w:val="auto"/>
                <w:sz w:val="24"/>
                <w:szCs w:val="24"/>
                <w:lang w:val="en-US" w:eastAsia="zh-CN"/>
              </w:rPr>
              <w:t>2</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旋转混匀仪</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1台</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hint="eastAsia" w:ascii="微软雅黑" w:hAnsi="微软雅黑" w:eastAsia="微软雅黑" w:cs="微软雅黑"/>
          <w:color w:val="auto"/>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恒温混匀仪（限价：2万元/台）</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lang w:eastAsia="zh-CN"/>
        </w:rPr>
        <w:t>功能：加热，振荡</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eastAsia="zh-CN"/>
        </w:rPr>
        <w:t>样本容量：加热模块适用于1.5ml离心管，不少于24孔</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lang w:eastAsia="zh-CN"/>
        </w:rPr>
        <w:t>温度控制范围：室温+5~100℃</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eastAsia="zh-CN"/>
        </w:rPr>
        <w:t>温度均匀性：温度波动≤±0.5℃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eastAsia="zh-CN"/>
        </w:rPr>
        <w:t>温度控制精度：≤±0.5℃</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eastAsia="zh-CN"/>
        </w:rPr>
        <w:t>最大加热速率：≥5.5℃/min</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eastAsia="zh-CN"/>
        </w:rPr>
        <w:t>振荡方式：水平回转</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w:t>
      </w:r>
      <w:r>
        <w:rPr>
          <w:rFonts w:hint="eastAsia" w:ascii="微软雅黑" w:hAnsi="微软雅黑" w:eastAsia="微软雅黑" w:cs="微软雅黑"/>
          <w:color w:val="auto"/>
          <w:sz w:val="24"/>
          <w:szCs w:val="24"/>
          <w:lang w:eastAsia="zh-CN"/>
        </w:rPr>
        <w:t>振荡幅度：≤3mm</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9.</w:t>
      </w:r>
      <w:r>
        <w:rPr>
          <w:rFonts w:hint="eastAsia" w:ascii="微软雅黑" w:hAnsi="微软雅黑" w:eastAsia="微软雅黑" w:cs="微软雅黑"/>
          <w:color w:val="auto"/>
          <w:sz w:val="24"/>
          <w:szCs w:val="24"/>
          <w:lang w:eastAsia="zh-CN"/>
        </w:rPr>
        <w:t>振荡速度：200-1500rpm可调节</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10.</w:t>
      </w:r>
      <w:r>
        <w:rPr>
          <w:rFonts w:hint="eastAsia" w:ascii="微软雅黑" w:hAnsi="微软雅黑" w:eastAsia="微软雅黑" w:cs="微软雅黑"/>
          <w:color w:val="auto"/>
          <w:sz w:val="24"/>
          <w:szCs w:val="24"/>
          <w:lang w:eastAsia="zh-CN"/>
        </w:rPr>
        <w:t>最大编程数量：≥5个</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11.</w:t>
      </w:r>
      <w:r>
        <w:rPr>
          <w:rFonts w:hint="eastAsia" w:ascii="微软雅黑" w:hAnsi="微软雅黑" w:eastAsia="微软雅黑" w:cs="微软雅黑"/>
          <w:color w:val="auto"/>
          <w:sz w:val="24"/>
          <w:szCs w:val="24"/>
          <w:lang w:eastAsia="zh-CN"/>
        </w:rPr>
        <w:t>时间设置范围：1min-99h</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lang w:eastAsia="zh-CN"/>
        </w:rPr>
        <w:t>旋转混匀仪（限价：0.15万元）</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lang w:eastAsia="zh-CN"/>
        </w:rPr>
        <w:t>电机类型 直流电机</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eastAsia="zh-CN"/>
        </w:rPr>
        <w:t>主机可调角度 0~90°</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lang w:eastAsia="zh-CN"/>
        </w:rPr>
        <w:t>转速范围 10~70rpm</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eastAsia="zh-CN"/>
        </w:rPr>
        <w:t>转速显示 LCD</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eastAsia="zh-CN"/>
        </w:rPr>
        <w:t>定时器显示 LCD</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eastAsia="zh-CN"/>
        </w:rPr>
        <w:t>时间设置范围 1~1199min</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eastAsia="zh-CN"/>
        </w:rPr>
        <w:t>运行模式 连续/定时</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8.</w:t>
      </w:r>
      <w:r>
        <w:rPr>
          <w:rFonts w:hint="eastAsia" w:ascii="微软雅黑" w:hAnsi="微软雅黑" w:eastAsia="微软雅黑" w:cs="微软雅黑"/>
          <w:color w:val="auto"/>
          <w:sz w:val="24"/>
          <w:szCs w:val="24"/>
          <w:lang w:eastAsia="zh-CN"/>
        </w:rPr>
        <w:t>电压 100~240V, 50/60Hz</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9.</w:t>
      </w:r>
      <w:r>
        <w:rPr>
          <w:rFonts w:hint="eastAsia" w:ascii="微软雅黑" w:hAnsi="微软雅黑" w:eastAsia="微软雅黑" w:cs="微软雅黑"/>
          <w:color w:val="auto"/>
          <w:sz w:val="24"/>
          <w:szCs w:val="24"/>
          <w:lang w:eastAsia="zh-CN"/>
        </w:rPr>
        <w:t>功率 40W</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10.</w:t>
      </w:r>
      <w:r>
        <w:rPr>
          <w:rFonts w:hint="eastAsia" w:ascii="微软雅黑" w:hAnsi="微软雅黑" w:eastAsia="微软雅黑" w:cs="微软雅黑"/>
          <w:color w:val="auto"/>
          <w:sz w:val="24"/>
          <w:szCs w:val="24"/>
          <w:lang w:eastAsia="zh-CN"/>
        </w:rPr>
        <w:t>尺寸（长x宽x高） 长度280~320 mm，宽度200~250 mm，高度280~320 mm</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11.</w:t>
      </w:r>
      <w:r>
        <w:rPr>
          <w:rFonts w:hint="eastAsia" w:ascii="微软雅黑" w:hAnsi="微软雅黑" w:eastAsia="微软雅黑" w:cs="微软雅黑"/>
          <w:color w:val="auto"/>
          <w:sz w:val="24"/>
          <w:szCs w:val="24"/>
          <w:lang w:eastAsia="zh-CN"/>
        </w:rPr>
        <w:t>允许环境温度湿度 5~40℃, 相对湿度 ≤ 80%</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12.</w:t>
      </w:r>
      <w:r>
        <w:rPr>
          <w:rFonts w:hint="eastAsia" w:ascii="微软雅黑" w:hAnsi="微软雅黑" w:eastAsia="微软雅黑" w:cs="微软雅黑"/>
          <w:color w:val="auto"/>
          <w:sz w:val="24"/>
          <w:szCs w:val="24"/>
          <w:lang w:eastAsia="zh-CN"/>
        </w:rPr>
        <w:t>外壳防护等级 IP21</w:t>
      </w:r>
    </w:p>
    <w:p>
      <w:pPr>
        <w:snapToGrid w:val="0"/>
        <w:spacing w:line="400" w:lineRule="exact"/>
        <w:ind w:firstLine="480" w:firstLineChars="200"/>
        <w:rPr>
          <w:rFonts w:hint="eastAsia" w:ascii="微软雅黑" w:hAnsi="微软雅黑" w:eastAsia="微软雅黑" w:cs="微软雅黑"/>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注：</w:t>
      </w:r>
      <w:r>
        <w:rPr>
          <w:rFonts w:hint="eastAsia" w:ascii="微软雅黑" w:hAnsi="微软雅黑" w:eastAsia="微软雅黑" w:cs="微软雅黑"/>
          <w:color w:val="auto"/>
          <w:sz w:val="24"/>
          <w:szCs w:val="24"/>
          <w:lang w:eastAsia="zh-CN"/>
        </w:rPr>
        <w:t>以上参数要求请提供相应官网截图</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产品彩页</w:t>
      </w:r>
      <w:r>
        <w:rPr>
          <w:rFonts w:hint="eastAsia" w:ascii="微软雅黑" w:hAnsi="微软雅黑" w:eastAsia="微软雅黑" w:cs="微软雅黑"/>
          <w:color w:val="auto"/>
          <w:sz w:val="24"/>
          <w:szCs w:val="24"/>
          <w:lang w:val="en-US" w:eastAsia="zh-CN"/>
        </w:rPr>
        <w:t>/产品说明书/检验报告等佐证材料（需生产厂家盖章、投标人盖章）。</w:t>
      </w:r>
    </w:p>
    <w:p>
      <w:pPr>
        <w:snapToGrid w:val="0"/>
        <w:spacing w:line="400" w:lineRule="exact"/>
        <w:ind w:firstLine="480" w:firstLineChars="200"/>
        <w:rPr>
          <w:rFonts w:hint="eastAsia" w:ascii="微软雅黑" w:hAnsi="微软雅黑" w:eastAsia="微软雅黑" w:cs="微软雅黑"/>
          <w:color w:val="auto"/>
          <w:sz w:val="24"/>
          <w:szCs w:val="24"/>
        </w:rPr>
      </w:pPr>
      <w:bookmarkStart w:id="106" w:name="_Toc106030882"/>
      <w:bookmarkStart w:id="107" w:name="_Toc76462327"/>
      <w:bookmarkStart w:id="108" w:name="_Toc7791"/>
      <w:bookmarkStart w:id="109" w:name="_Toc31179"/>
      <w:bookmarkStart w:id="110" w:name="_Toc28649"/>
      <w:r>
        <w:rPr>
          <w:rFonts w:hint="eastAsia" w:ascii="微软雅黑" w:hAnsi="微软雅黑" w:eastAsia="微软雅黑" w:cs="微软雅黑"/>
          <w:color w:val="auto"/>
          <w:sz w:val="24"/>
          <w:szCs w:val="24"/>
        </w:rPr>
        <w:br w:type="page"/>
      </w:r>
    </w:p>
    <w:p>
      <w:pPr>
        <w:pStyle w:val="3"/>
        <w:numPr>
          <w:ilvl w:val="0"/>
          <w:numId w:val="14"/>
        </w:numPr>
        <w:tabs>
          <w:tab w:val="left" w:pos="3360"/>
        </w:tabs>
        <w:spacing w:line="240" w:lineRule="auto"/>
        <w:jc w:val="center"/>
        <w:rPr>
          <w:rFonts w:hint="eastAsia" w:ascii="微软雅黑" w:hAnsi="微软雅黑" w:eastAsia="微软雅黑" w:cs="微软雅黑"/>
          <w:b/>
          <w:color w:val="auto"/>
          <w:sz w:val="44"/>
        </w:rPr>
      </w:pPr>
      <w:bookmarkStart w:id="111" w:name="_Toc29036"/>
      <w:r>
        <w:rPr>
          <w:rFonts w:hint="eastAsia" w:ascii="微软雅黑" w:hAnsi="微软雅黑" w:eastAsia="微软雅黑" w:cs="微软雅黑"/>
          <w:b/>
          <w:color w:val="auto"/>
          <w:sz w:val="44"/>
        </w:rPr>
        <w:t xml:space="preserve"> 项目商务需求</w:t>
      </w:r>
      <w:bookmarkEnd w:id="106"/>
      <w:bookmarkEnd w:id="107"/>
      <w:bookmarkEnd w:id="108"/>
      <w:bookmarkEnd w:id="109"/>
      <w:bookmarkEnd w:id="110"/>
      <w:bookmarkEnd w:id="111"/>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交货时间：中标人应在接到采购人通知后30个日历日内完成送货。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验收方式：</w:t>
            </w:r>
            <w:r>
              <w:rPr>
                <w:rFonts w:hint="default" w:ascii="微软雅黑" w:hAnsi="微软雅黑" w:eastAsia="微软雅黑" w:cs="微软雅黑"/>
                <w:color w:val="auto"/>
                <w:sz w:val="24"/>
                <w:szCs w:val="24"/>
                <w:lang w:val="en-US" w:eastAsia="zh-CN"/>
              </w:rPr>
              <w:t>科室及</w:t>
            </w:r>
            <w:r>
              <w:rPr>
                <w:rFonts w:hint="eastAsia" w:ascii="微软雅黑" w:hAnsi="微软雅黑" w:eastAsia="微软雅黑" w:cs="微软雅黑"/>
                <w:color w:val="auto"/>
                <w:sz w:val="24"/>
                <w:szCs w:val="24"/>
                <w:lang w:val="en-US" w:eastAsia="zh-CN"/>
              </w:rPr>
              <w:t>医学工程</w:t>
            </w:r>
            <w:r>
              <w:rPr>
                <w:rFonts w:hint="default" w:ascii="微软雅黑" w:hAnsi="微软雅黑" w:eastAsia="微软雅黑" w:cs="微软雅黑"/>
                <w:color w:val="auto"/>
                <w:sz w:val="24"/>
                <w:szCs w:val="24"/>
                <w:lang w:val="en-US" w:eastAsia="zh-CN"/>
              </w:rPr>
              <w:t>科现场验收</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1.质保期：不低于3年 。</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lang w:val="de-DE" w:eastAsia="zh-CN"/>
              </w:rPr>
              <w:t>机器故障应2</w:t>
            </w:r>
            <w:r>
              <w:rPr>
                <w:rFonts w:hint="eastAsia" w:ascii="微软雅黑" w:hAnsi="微软雅黑" w:eastAsia="微软雅黑" w:cs="微软雅黑"/>
                <w:color w:val="auto"/>
                <w:sz w:val="24"/>
                <w:szCs w:val="24"/>
                <w:lang w:val="en-US" w:eastAsia="zh-CN"/>
              </w:rPr>
              <w:t>小时</w:t>
            </w:r>
            <w:r>
              <w:rPr>
                <w:rFonts w:hint="eastAsia" w:ascii="微软雅黑" w:hAnsi="微软雅黑" w:eastAsia="微软雅黑" w:cs="微软雅黑"/>
                <w:color w:val="auto"/>
                <w:sz w:val="24"/>
                <w:szCs w:val="24"/>
                <w:lang w:val="de-DE" w:eastAsia="zh-CN"/>
              </w:rPr>
              <w:t>内故障响应，</w:t>
            </w:r>
            <w:r>
              <w:rPr>
                <w:rFonts w:hint="eastAsia" w:ascii="微软雅黑" w:hAnsi="微软雅黑" w:eastAsia="微软雅黑" w:cs="微软雅黑"/>
                <w:color w:val="auto"/>
                <w:sz w:val="24"/>
                <w:szCs w:val="24"/>
                <w:lang w:val="en-US" w:eastAsia="zh-CN"/>
              </w:rPr>
              <w:t>4小时</w:t>
            </w:r>
            <w:r>
              <w:rPr>
                <w:rFonts w:hint="eastAsia" w:ascii="微软雅黑" w:hAnsi="微软雅黑" w:eastAsia="微软雅黑" w:cs="微软雅黑"/>
                <w:color w:val="auto"/>
                <w:sz w:val="24"/>
                <w:szCs w:val="24"/>
                <w:lang w:val="de-DE" w:eastAsia="zh-CN"/>
              </w:rPr>
              <w:t>内到达现场，</w:t>
            </w:r>
            <w:r>
              <w:rPr>
                <w:rFonts w:hint="eastAsia" w:ascii="微软雅黑" w:hAnsi="微软雅黑" w:eastAsia="微软雅黑" w:cs="微软雅黑"/>
                <w:color w:val="auto"/>
                <w:sz w:val="24"/>
                <w:szCs w:val="24"/>
                <w:lang w:val="en-US" w:eastAsia="zh-CN"/>
              </w:rPr>
              <w:t>72小时内</w:t>
            </w:r>
            <w:r>
              <w:rPr>
                <w:rFonts w:hint="eastAsia" w:ascii="微软雅黑" w:hAnsi="微软雅黑" w:eastAsia="微软雅黑" w:cs="微软雅黑"/>
                <w:color w:val="auto"/>
                <w:sz w:val="24"/>
                <w:szCs w:val="24"/>
                <w:lang w:val="de-DE" w:eastAsia="zh-CN"/>
              </w:rPr>
              <w:t>解决故障。</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3.不能解决故障则应48小时内提供备用机或解决方案。</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4.</w:t>
            </w:r>
            <w:r>
              <w:rPr>
                <w:rFonts w:hint="eastAsia" w:ascii="微软雅黑" w:hAnsi="微软雅黑" w:eastAsia="微软雅黑" w:cs="微软雅黑"/>
                <w:color w:val="auto"/>
                <w:sz w:val="24"/>
                <w:szCs w:val="24"/>
                <w:lang w:val="de-DE" w:eastAsia="zh-CN"/>
              </w:rPr>
              <w:t>提供维修技术资料。</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5.</w:t>
            </w:r>
            <w:r>
              <w:rPr>
                <w:rFonts w:hint="eastAsia" w:ascii="微软雅黑" w:hAnsi="微软雅黑" w:eastAsia="微软雅黑" w:cs="微软雅黑"/>
                <w:color w:val="auto"/>
                <w:sz w:val="24"/>
                <w:szCs w:val="24"/>
                <w:lang w:val="de-DE" w:eastAsia="zh-CN"/>
              </w:rPr>
              <w:t>维修工程师免费上门安装、培训。</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6.</w:t>
            </w:r>
            <w:r>
              <w:rPr>
                <w:rFonts w:hint="eastAsia" w:ascii="微软雅黑" w:hAnsi="微软雅黑" w:eastAsia="微软雅黑" w:cs="微软雅黑"/>
                <w:color w:val="auto"/>
                <w:sz w:val="24"/>
                <w:szCs w:val="24"/>
                <w:lang w:val="de-DE" w:eastAsia="zh-CN"/>
              </w:rPr>
              <w:t>一年不低于4次定期维护保养，</w:t>
            </w:r>
            <w:r>
              <w:rPr>
                <w:rFonts w:hint="eastAsia" w:ascii="微软雅黑" w:hAnsi="微软雅黑" w:eastAsia="微软雅黑" w:cs="微软雅黑"/>
                <w:color w:val="auto"/>
                <w:sz w:val="24"/>
                <w:szCs w:val="24"/>
                <w:lang w:val="en-US" w:eastAsia="zh-CN"/>
              </w:rPr>
              <w:t>有故障情况发生，终身免费上门维修</w:t>
            </w:r>
            <w:r>
              <w:rPr>
                <w:rFonts w:hint="eastAsia" w:ascii="微软雅黑" w:hAnsi="微软雅黑" w:eastAsia="微软雅黑" w:cs="微软雅黑"/>
                <w:color w:val="auto"/>
                <w:sz w:val="24"/>
                <w:szCs w:val="24"/>
                <w:lang w:val="de-DE" w:eastAsia="zh-CN"/>
              </w:rPr>
              <w:t>。</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de-DE" w:eastAsia="zh-CN"/>
              </w:rPr>
            </w:pPr>
            <w:r>
              <w:rPr>
                <w:rFonts w:hint="eastAsia" w:ascii="微软雅黑" w:hAnsi="微软雅黑" w:eastAsia="微软雅黑" w:cs="微软雅黑"/>
                <w:color w:val="auto"/>
                <w:sz w:val="24"/>
                <w:szCs w:val="24"/>
                <w:lang w:val="en-US" w:eastAsia="zh-CN"/>
              </w:rPr>
              <w:t>7.</w:t>
            </w:r>
            <w:r>
              <w:rPr>
                <w:rFonts w:hint="eastAsia" w:ascii="微软雅黑" w:hAnsi="微软雅黑" w:eastAsia="微软雅黑" w:cs="微软雅黑"/>
                <w:color w:val="auto"/>
                <w:sz w:val="24"/>
                <w:szCs w:val="24"/>
                <w:lang w:val="de-DE" w:eastAsia="zh-CN"/>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single"/>
                <w:lang w:val="en-US" w:eastAsia="zh-CN"/>
              </w:rPr>
            </w:pPr>
            <w:r>
              <w:rPr>
                <w:rFonts w:hint="eastAsia" w:ascii="微软雅黑" w:hAnsi="微软雅黑" w:eastAsia="微软雅黑" w:cs="微软雅黑"/>
                <w:color w:val="auto"/>
                <w:sz w:val="24"/>
                <w:szCs w:val="24"/>
                <w:u w:val="none"/>
                <w:lang w:val="en-US" w:eastAsia="zh-CN"/>
              </w:rPr>
              <w:t>1.该项目可在开标现场进行二次报价。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w:t>
            </w:r>
            <w:r>
              <w:rPr>
                <w:rFonts w:hint="eastAsia" w:ascii="微软雅黑" w:hAnsi="微软雅黑" w:eastAsia="微软雅黑" w:cs="微软雅黑"/>
                <w:color w:val="auto"/>
                <w:kern w:val="0"/>
                <w:sz w:val="24"/>
                <w:szCs w:val="24"/>
              </w:rPr>
              <w:t>须</w:t>
            </w:r>
            <w:r>
              <w:rPr>
                <w:rFonts w:hint="eastAsia" w:ascii="微软雅黑" w:hAnsi="微软雅黑" w:eastAsia="微软雅黑" w:cs="微软雅黑"/>
                <w:color w:val="auto"/>
                <w:kern w:val="0"/>
                <w:sz w:val="24"/>
                <w:szCs w:val="24"/>
                <w:lang w:val="en-US" w:eastAsia="zh-CN"/>
              </w:rPr>
              <w:t>对项目总价进行报价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1.中标人</w:t>
            </w:r>
            <w:r>
              <w:rPr>
                <w:rFonts w:hint="default" w:ascii="微软雅黑" w:hAnsi="微软雅黑" w:eastAsia="微软雅黑" w:cs="微软雅黑"/>
                <w:color w:val="auto"/>
                <w:sz w:val="24"/>
                <w:szCs w:val="24"/>
                <w:lang w:val="en-US" w:eastAsia="zh-CN"/>
              </w:rPr>
              <w:t>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2.中标人</w:t>
            </w:r>
            <w:r>
              <w:rPr>
                <w:rFonts w:hint="default" w:ascii="微软雅黑" w:hAnsi="微软雅黑" w:eastAsia="微软雅黑" w:cs="微软雅黑"/>
                <w:color w:val="auto"/>
                <w:sz w:val="24"/>
                <w:szCs w:val="24"/>
                <w:lang w:val="en-US" w:eastAsia="zh-CN"/>
              </w:rPr>
              <w:t>向采购人开具发票，采购人于</w:t>
            </w:r>
            <w:r>
              <w:rPr>
                <w:rFonts w:hint="eastAsia" w:ascii="微软雅黑" w:hAnsi="微软雅黑" w:eastAsia="微软雅黑" w:cs="微软雅黑"/>
                <w:color w:val="auto"/>
                <w:sz w:val="24"/>
                <w:szCs w:val="24"/>
                <w:lang w:val="en-US" w:eastAsia="zh-CN"/>
              </w:rPr>
              <w:t>2个月</w:t>
            </w:r>
            <w:r>
              <w:rPr>
                <w:rFonts w:hint="default" w:ascii="微软雅黑" w:hAnsi="微软雅黑" w:eastAsia="微软雅黑" w:cs="微软雅黑"/>
                <w:color w:val="auto"/>
                <w:sz w:val="24"/>
                <w:szCs w:val="24"/>
                <w:lang w:val="en-US" w:eastAsia="zh-CN"/>
              </w:rPr>
              <w:t>内以转账方式向</w:t>
            </w:r>
            <w:r>
              <w:rPr>
                <w:rFonts w:hint="eastAsia" w:ascii="微软雅黑" w:hAnsi="微软雅黑" w:eastAsia="微软雅黑" w:cs="微软雅黑"/>
                <w:color w:val="auto"/>
                <w:sz w:val="24"/>
                <w:szCs w:val="24"/>
                <w:lang w:val="en-US" w:eastAsia="zh-CN"/>
              </w:rPr>
              <w:t>中标人</w:t>
            </w:r>
            <w:r>
              <w:rPr>
                <w:rFonts w:hint="default" w:ascii="微软雅黑" w:hAnsi="微软雅黑" w:eastAsia="微软雅黑" w:cs="微软雅黑"/>
                <w:color w:val="auto"/>
                <w:sz w:val="24"/>
                <w:szCs w:val="24"/>
                <w:lang w:val="en-US" w:eastAsia="zh-CN"/>
              </w:rPr>
              <w:t>支付合同全款</w:t>
            </w:r>
            <w:r>
              <w:rPr>
                <w:rFonts w:hint="eastAsia" w:ascii="微软雅黑" w:hAnsi="微软雅黑" w:eastAsia="微软雅黑" w:cs="微软雅黑"/>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widowControl w:val="0"/>
        <w:numPr>
          <w:ilvl w:val="0"/>
          <w:numId w:val="0"/>
        </w:numPr>
        <w:jc w:val="both"/>
        <w:rPr>
          <w:rFonts w:hint="eastAsia"/>
          <w:color w:val="auto"/>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bookmarkEnd w:id="74"/>
    <w:p>
      <w:pPr>
        <w:pStyle w:val="4"/>
        <w:spacing w:before="200" w:after="200" w:line="240" w:lineRule="auto"/>
        <w:jc w:val="center"/>
        <w:rPr>
          <w:rFonts w:hint="eastAsia" w:ascii="微软雅黑" w:hAnsi="微软雅黑" w:eastAsia="微软雅黑" w:cs="微软雅黑"/>
          <w:color w:val="auto"/>
          <w:sz w:val="44"/>
        </w:rPr>
      </w:pPr>
      <w:bookmarkStart w:id="112" w:name="_Toc11315"/>
      <w:bookmarkStart w:id="113" w:name="_Toc5236"/>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4" w:name="_Toc25412"/>
      <w:bookmarkStart w:id="115" w:name="_Toc6540"/>
      <w:bookmarkStart w:id="116" w:name="_Toc76462333"/>
      <w:bookmarkStart w:id="117" w:name="_Toc26127"/>
      <w:bookmarkStart w:id="118" w:name="_Toc106030888"/>
      <w:bookmarkStart w:id="119" w:name="_Toc14958"/>
      <w:r>
        <w:rPr>
          <w:rFonts w:hint="eastAsia" w:ascii="微软雅黑" w:hAnsi="微软雅黑" w:eastAsia="微软雅黑" w:cs="微软雅黑"/>
          <w:color w:val="auto"/>
          <w:sz w:val="24"/>
        </w:rPr>
        <w:t>一、公开比选采购程序</w:t>
      </w:r>
      <w:bookmarkEnd w:id="114"/>
      <w:bookmarkEnd w:id="115"/>
      <w:bookmarkEnd w:id="116"/>
      <w:bookmarkEnd w:id="117"/>
      <w:bookmarkEnd w:id="118"/>
      <w:bookmarkEnd w:id="11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0" w:name="_Toc14961"/>
      <w:bookmarkStart w:id="121" w:name="_Toc27374"/>
      <w:bookmarkStart w:id="122" w:name="_Toc8613"/>
      <w:r>
        <w:rPr>
          <w:rFonts w:hint="eastAsia" w:ascii="微软雅黑" w:hAnsi="微软雅黑" w:eastAsia="微软雅黑" w:cs="微软雅黑"/>
          <w:color w:val="auto"/>
          <w:sz w:val="24"/>
        </w:rPr>
        <w:t>二、评标方法</w:t>
      </w:r>
      <w:bookmarkEnd w:id="120"/>
      <w:bookmarkEnd w:id="121"/>
      <w:bookmarkEnd w:id="122"/>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color w:val="auto"/>
          <w:sz w:val="24"/>
          <w:szCs w:val="24"/>
        </w:rPr>
      </w:pPr>
      <w:bookmarkStart w:id="123" w:name="_Toc342913394"/>
      <w:bookmarkStart w:id="124" w:name="_Toc106030889"/>
      <w:bookmarkStart w:id="125" w:name="_Toc30944"/>
      <w:bookmarkStart w:id="126" w:name="_Toc76462334"/>
      <w:bookmarkStart w:id="127" w:name="_Toc24315"/>
      <w:bookmarkStart w:id="128" w:name="_Toc102227320"/>
      <w:r>
        <w:rPr>
          <w:rFonts w:hint="eastAsia" w:ascii="微软雅黑" w:hAnsi="微软雅黑" w:eastAsia="微软雅黑" w:cs="微软雅黑"/>
          <w:color w:val="auto"/>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提供相同品牌产品且通过资格审查和符合性审查的不同投标人参加的，按一家投标人计算。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评标结果按投标报价由低到高顺序排列，若投标报价相同的由评标小组推荐中标候选人。</w:t>
      </w:r>
    </w:p>
    <w:bookmarkEnd w:id="123"/>
    <w:bookmarkEnd w:id="124"/>
    <w:bookmarkEnd w:id="125"/>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9" w:name="_Toc23912"/>
      <w:bookmarkStart w:id="130" w:name="_Toc6063"/>
      <w:r>
        <w:rPr>
          <w:rFonts w:hint="eastAsia" w:ascii="微软雅黑" w:hAnsi="微软雅黑" w:eastAsia="微软雅黑" w:cs="微软雅黑"/>
          <w:color w:val="auto"/>
          <w:sz w:val="24"/>
          <w:lang w:val="en-US" w:eastAsia="zh-CN"/>
        </w:rPr>
        <w:t>三</w:t>
      </w:r>
      <w:r>
        <w:rPr>
          <w:rFonts w:hint="eastAsia" w:ascii="微软雅黑" w:hAnsi="微软雅黑" w:eastAsia="微软雅黑" w:cs="微软雅黑"/>
          <w:color w:val="auto"/>
          <w:sz w:val="24"/>
        </w:rPr>
        <w:t>、评审标准</w:t>
      </w:r>
      <w:bookmarkEnd w:id="129"/>
      <w:bookmarkEnd w:id="13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（一）关于技术（质量）、商务偏离</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1.响应文件投标应答有一条及以上不满足</w:t>
      </w:r>
      <w:r>
        <w:rPr>
          <w:rFonts w:hint="eastAsia" w:ascii="微软雅黑" w:hAnsi="微软雅黑" w:eastAsia="微软雅黑" w:cs="微软雅黑"/>
          <w:color w:val="auto"/>
          <w:sz w:val="24"/>
          <w:szCs w:val="24"/>
          <w:lang w:val="en-US" w:eastAsia="zh-CN"/>
        </w:rPr>
        <w:t>本项采购需求文件中项目技术要求</w:t>
      </w:r>
      <w:r>
        <w:rPr>
          <w:rFonts w:hint="eastAsia" w:ascii="微软雅黑" w:hAnsi="微软雅黑" w:eastAsia="微软雅黑" w:cs="微软雅黑"/>
          <w:color w:val="auto"/>
          <w:sz w:val="24"/>
          <w:szCs w:val="24"/>
        </w:rPr>
        <w:t>的，投标人将失去成为中标候选人的资格；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2.响应文件投标应答有一条及以上不满足</w:t>
      </w:r>
      <w:r>
        <w:rPr>
          <w:rFonts w:hint="eastAsia" w:ascii="微软雅黑" w:hAnsi="微软雅黑" w:eastAsia="微软雅黑" w:cs="微软雅黑"/>
          <w:color w:val="auto"/>
          <w:sz w:val="24"/>
          <w:szCs w:val="24"/>
          <w:lang w:val="en-US" w:eastAsia="zh-CN"/>
        </w:rPr>
        <w:t>本项采购需求文件中项目商务要求</w:t>
      </w:r>
      <w:r>
        <w:rPr>
          <w:rFonts w:hint="eastAsia" w:ascii="微软雅黑" w:hAnsi="微软雅黑" w:eastAsia="微软雅黑" w:cs="微软雅黑"/>
          <w:color w:val="auto"/>
          <w:sz w:val="24"/>
          <w:szCs w:val="24"/>
        </w:rPr>
        <w:t>的，投标人将失去成为合格投标人的资格；</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认为投标人的报价明显低于</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通过符合性审查投标人的报价，有可能影响产品质量或者不能诚信履约的，应当要求其在评标现场合理的时间内提供书面说明，必要时提交相关证明材料；投标人不能证明其报价合理性的，</w:t>
      </w:r>
      <w:r>
        <w:rPr>
          <w:rFonts w:hint="eastAsia"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rPr>
        <w:t>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1" w:name="_Toc17606"/>
      <w:bookmarkStart w:id="132" w:name="_Toc8040"/>
      <w:bookmarkStart w:id="133" w:name="_Toc8670"/>
      <w:r>
        <w:rPr>
          <w:rFonts w:hint="eastAsia" w:ascii="微软雅黑" w:hAnsi="微软雅黑" w:eastAsia="微软雅黑" w:cs="微软雅黑"/>
          <w:color w:val="auto"/>
          <w:sz w:val="24"/>
        </w:rPr>
        <w:t>四、无效响应</w:t>
      </w:r>
      <w:bookmarkEnd w:id="131"/>
      <w:bookmarkEnd w:id="132"/>
      <w:bookmarkEnd w:id="133"/>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4" w:name="_Toc106030891"/>
      <w:bookmarkStart w:id="135" w:name="_Toc12222"/>
      <w:bookmarkStart w:id="136" w:name="_Toc76462336"/>
      <w:bookmarkStart w:id="137" w:name="_Toc10687"/>
      <w:bookmarkStart w:id="138" w:name="_Toc25923"/>
      <w:bookmarkStart w:id="139" w:name="_Toc12481"/>
      <w:r>
        <w:rPr>
          <w:rFonts w:hint="eastAsia" w:ascii="微软雅黑" w:hAnsi="微软雅黑" w:eastAsia="微软雅黑" w:cs="微软雅黑"/>
          <w:color w:val="auto"/>
          <w:sz w:val="24"/>
        </w:rPr>
        <w:t>五、</w:t>
      </w:r>
      <w:bookmarkEnd w:id="134"/>
      <w:bookmarkEnd w:id="135"/>
      <w:bookmarkEnd w:id="136"/>
      <w:bookmarkEnd w:id="137"/>
      <w:r>
        <w:rPr>
          <w:rFonts w:hint="eastAsia" w:ascii="微软雅黑" w:hAnsi="微软雅黑" w:eastAsia="微软雅黑" w:cs="微软雅黑"/>
          <w:color w:val="auto"/>
          <w:sz w:val="24"/>
        </w:rPr>
        <w:t>废标条款</w:t>
      </w:r>
      <w:bookmarkEnd w:id="138"/>
      <w:bookmarkEnd w:id="139"/>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0" w:name="_Hlt41879464"/>
      <w:bookmarkEnd w:id="140"/>
      <w:bookmarkStart w:id="141" w:name="_Toc29948"/>
      <w:bookmarkStart w:id="142" w:name="_Toc102227313"/>
      <w:bookmarkStart w:id="143" w:name="_Toc106030892"/>
      <w:bookmarkStart w:id="144" w:name="_Toc27922"/>
      <w:bookmarkStart w:id="145" w:name="_Toc76462337"/>
      <w:bookmarkStart w:id="146" w:name="_Toc4482"/>
      <w:bookmarkStart w:id="147" w:name="_Toc106030905"/>
      <w:bookmarkStart w:id="148" w:name="_Toc27984"/>
      <w:bookmarkStart w:id="149" w:name="_Toc76462349"/>
      <w:bookmarkStart w:id="150" w:name="_Toc2171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76462338"/>
      <w:bookmarkStart w:id="152" w:name="_Toc4785"/>
      <w:bookmarkStart w:id="153" w:name="_Toc106030893"/>
      <w:bookmarkStart w:id="154" w:name="_Toc26717"/>
      <w:bookmarkStart w:id="155" w:name="_Toc342913389"/>
      <w:r>
        <w:rPr>
          <w:rFonts w:hint="eastAsia" w:ascii="微软雅黑" w:hAnsi="微软雅黑" w:eastAsia="微软雅黑" w:cs="微软雅黑"/>
          <w:color w:val="auto"/>
          <w:sz w:val="24"/>
        </w:rPr>
        <w:t>一、公开比选费用</w:t>
      </w:r>
      <w:bookmarkEnd w:id="151"/>
      <w:bookmarkEnd w:id="152"/>
      <w:bookmarkEnd w:id="153"/>
      <w:bookmarkEnd w:id="154"/>
      <w:bookmarkEnd w:id="155"/>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15712"/>
      <w:bookmarkStart w:id="157" w:name="_Toc76462339"/>
      <w:bookmarkStart w:id="158" w:name="_Toc106030894"/>
      <w:bookmarkStart w:id="159" w:name="_Toc342913391"/>
      <w:bookmarkStart w:id="160" w:name="_Toc20250"/>
      <w:r>
        <w:rPr>
          <w:rFonts w:hint="eastAsia" w:ascii="微软雅黑" w:hAnsi="微软雅黑" w:eastAsia="微软雅黑" w:cs="微软雅黑"/>
          <w:color w:val="auto"/>
          <w:sz w:val="24"/>
        </w:rPr>
        <w:t>二、公开比选采购文件</w:t>
      </w:r>
      <w:bookmarkEnd w:id="156"/>
      <w:bookmarkEnd w:id="157"/>
      <w:bookmarkEnd w:id="158"/>
      <w:bookmarkEnd w:id="159"/>
      <w:bookmarkEnd w:id="16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61" w:name="_Toc318166429"/>
      <w:bookmarkStart w:id="162" w:name="_Toc318159160"/>
      <w:bookmarkStart w:id="163" w:name="_Toc318159349"/>
      <w:bookmarkStart w:id="164" w:name="_Toc318159780"/>
    </w:p>
    <w:bookmarkEnd w:id="161"/>
    <w:bookmarkEnd w:id="162"/>
    <w:bookmarkEnd w:id="163"/>
    <w:bookmarkEnd w:id="164"/>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5" w:name="_Toc26007"/>
      <w:bookmarkStart w:id="166" w:name="_Toc76462340"/>
      <w:bookmarkStart w:id="167" w:name="_Toc106030895"/>
      <w:bookmarkStart w:id="168" w:name="_Toc342913392"/>
      <w:bookmarkStart w:id="169" w:name="_Toc179714297"/>
      <w:bookmarkStart w:id="170" w:name="_Toc9410"/>
      <w:bookmarkStart w:id="171" w:name="_Toc102227318"/>
      <w:r>
        <w:rPr>
          <w:rFonts w:hint="eastAsia" w:ascii="微软雅黑" w:hAnsi="微软雅黑" w:eastAsia="微软雅黑" w:cs="微软雅黑"/>
          <w:color w:val="auto"/>
          <w:sz w:val="24"/>
        </w:rPr>
        <w:t>三、比选要求</w:t>
      </w:r>
      <w:bookmarkEnd w:id="165"/>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2" w:name="_Toc106030896"/>
      <w:bookmarkStart w:id="173" w:name="_Toc6435"/>
      <w:bookmarkStart w:id="174" w:name="_Toc2838"/>
      <w:bookmarkStart w:id="175" w:name="_Toc76462341"/>
      <w:r>
        <w:rPr>
          <w:rFonts w:hint="eastAsia" w:ascii="微软雅黑" w:hAnsi="微软雅黑" w:eastAsia="微软雅黑" w:cs="微软雅黑"/>
          <w:color w:val="auto"/>
          <w:sz w:val="24"/>
        </w:rPr>
        <w:t>四、中标人的确认和变更</w:t>
      </w:r>
      <w:bookmarkEnd w:id="172"/>
      <w:bookmarkEnd w:id="173"/>
      <w:bookmarkEnd w:id="174"/>
      <w:bookmarkEnd w:id="17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6" w:name="_Toc21532"/>
      <w:bookmarkStart w:id="177" w:name="_Toc106030897"/>
      <w:bookmarkStart w:id="178" w:name="_Toc342913395"/>
      <w:bookmarkStart w:id="179" w:name="_Toc19044"/>
      <w:bookmarkStart w:id="180" w:name="_Toc102227321"/>
      <w:bookmarkStart w:id="181" w:name="_Toc76462342"/>
      <w:r>
        <w:rPr>
          <w:rFonts w:hint="eastAsia" w:ascii="微软雅黑" w:hAnsi="微软雅黑" w:eastAsia="微软雅黑" w:cs="微软雅黑"/>
          <w:color w:val="auto"/>
          <w:sz w:val="24"/>
        </w:rPr>
        <w:t>五、成交通知</w:t>
      </w:r>
      <w:bookmarkEnd w:id="176"/>
      <w:bookmarkEnd w:id="177"/>
      <w:bookmarkEnd w:id="178"/>
      <w:bookmarkEnd w:id="179"/>
      <w:bookmarkEnd w:id="180"/>
      <w:bookmarkEnd w:id="18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2" w:name="_Toc106030898"/>
      <w:bookmarkStart w:id="183" w:name="_Toc32010"/>
      <w:bookmarkStart w:id="184" w:name="_Toc76462343"/>
      <w:bookmarkStart w:id="185" w:name="_Toc21448"/>
      <w:r>
        <w:rPr>
          <w:rFonts w:hint="eastAsia" w:ascii="微软雅黑" w:hAnsi="微软雅黑" w:eastAsia="微软雅黑" w:cs="微软雅黑"/>
          <w:color w:val="auto"/>
          <w:sz w:val="24"/>
        </w:rPr>
        <w:t>六、质疑处理</w:t>
      </w:r>
      <w:bookmarkEnd w:id="182"/>
      <w:bookmarkEnd w:id="183"/>
      <w:bookmarkEnd w:id="184"/>
      <w:bookmarkEnd w:id="18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w:t>
      </w:r>
      <w:r>
        <w:rPr>
          <w:rFonts w:hint="eastAsia" w:ascii="微软雅黑" w:hAnsi="微软雅黑" w:eastAsia="微软雅黑" w:cs="微软雅黑"/>
          <w:color w:val="auto"/>
          <w:sz w:val="24"/>
          <w:szCs w:val="24"/>
          <w:lang w:val="en-US" w:eastAsia="zh-CN"/>
        </w:rPr>
        <w:t>受到</w:t>
      </w:r>
      <w:r>
        <w:rPr>
          <w:rFonts w:hint="eastAsia" w:ascii="微软雅黑" w:hAnsi="微软雅黑" w:eastAsia="微软雅黑" w:cs="微软雅黑"/>
          <w:color w:val="auto"/>
          <w:sz w:val="24"/>
          <w:szCs w:val="24"/>
        </w:rPr>
        <w:t>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1.2投标人认为采购过程、成交结果使自己的权益受到损害的，可以在知道或者应知其权益受到损害之日起5个工作日内，以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6" w:name="_Toc76462344"/>
      <w:bookmarkStart w:id="187" w:name="_Toc106030899"/>
      <w:bookmarkStart w:id="188"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9" w:name="_Toc32028"/>
      <w:r>
        <w:rPr>
          <w:rFonts w:hint="eastAsia" w:ascii="微软雅黑" w:hAnsi="微软雅黑" w:eastAsia="微软雅黑" w:cs="微软雅黑"/>
          <w:color w:val="auto"/>
          <w:sz w:val="24"/>
        </w:rPr>
        <w:t>七、</w:t>
      </w:r>
      <w:bookmarkEnd w:id="186"/>
      <w:bookmarkEnd w:id="187"/>
      <w:bookmarkEnd w:id="188"/>
      <w:bookmarkStart w:id="190" w:name="_Toc102227322"/>
      <w:bookmarkStart w:id="191" w:name="_Toc76462346"/>
      <w:bookmarkStart w:id="192" w:name="_Toc342913396"/>
      <w:bookmarkStart w:id="193" w:name="_Toc3372"/>
      <w:bookmarkStart w:id="194" w:name="_Toc106030901"/>
      <w:bookmarkStart w:id="195" w:name="_Toc12789059"/>
      <w:bookmarkStart w:id="196" w:name="_Toc11641055"/>
      <w:r>
        <w:rPr>
          <w:rFonts w:hint="eastAsia" w:ascii="微软雅黑" w:hAnsi="微软雅黑" w:eastAsia="微软雅黑" w:cs="微软雅黑"/>
          <w:color w:val="auto"/>
          <w:sz w:val="24"/>
        </w:rPr>
        <w:t>签订</w:t>
      </w:r>
      <w:bookmarkEnd w:id="190"/>
      <w:r>
        <w:rPr>
          <w:rFonts w:hint="eastAsia" w:ascii="微软雅黑" w:hAnsi="微软雅黑" w:eastAsia="微软雅黑" w:cs="微软雅黑"/>
          <w:color w:val="auto"/>
          <w:sz w:val="24"/>
        </w:rPr>
        <w:t>合同</w:t>
      </w:r>
      <w:bookmarkEnd w:id="189"/>
      <w:bookmarkEnd w:id="191"/>
      <w:bookmarkEnd w:id="192"/>
      <w:bookmarkEnd w:id="193"/>
      <w:bookmarkEnd w:id="194"/>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5"/>
      <w:bookmarkEnd w:id="196"/>
    </w:p>
    <w:p>
      <w:pPr>
        <w:pStyle w:val="4"/>
        <w:spacing w:before="200" w:after="200" w:line="240" w:lineRule="auto"/>
        <w:jc w:val="center"/>
        <w:rPr>
          <w:rFonts w:hint="eastAsia" w:ascii="微软雅黑" w:hAnsi="微软雅黑" w:eastAsia="微软雅黑" w:cs="微软雅黑"/>
          <w:color w:val="auto"/>
          <w:sz w:val="44"/>
        </w:rPr>
      </w:pPr>
      <w:bookmarkStart w:id="197" w:name="_Toc14281"/>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46"/>
      <w:bookmarkEnd w:id="147"/>
      <w:bookmarkEnd w:id="148"/>
      <w:bookmarkEnd w:id="149"/>
      <w:bookmarkEnd w:id="150"/>
      <w:bookmarkEnd w:id="197"/>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bdr w:val="single" w:color="auto" w:sz="4" w:space="0"/>
        </w:rPr>
        <w:sectPr>
          <w:footerReference r:id="rId13"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szCs w:val="24"/>
        </w:rPr>
        <w:t>五、其他资料</w:t>
      </w:r>
    </w:p>
    <w:p>
      <w:pPr>
        <w:spacing w:line="360" w:lineRule="auto"/>
        <w:jc w:val="both"/>
        <w:outlineLvl w:val="0"/>
        <w:rPr>
          <w:rFonts w:hint="eastAsia" w:ascii="微软雅黑" w:hAnsi="微软雅黑" w:eastAsia="微软雅黑" w:cs="微软雅黑"/>
          <w:color w:val="auto"/>
        </w:rPr>
      </w:pPr>
    </w:p>
    <w:sectPr>
      <w:headerReference r:id="rId14" w:type="default"/>
      <w:footerReference r:id="rId15"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7A47357E"/>
    <w:multiLevelType w:val="singleLevel"/>
    <w:tmpl w:val="7A47357E"/>
    <w:lvl w:ilvl="0" w:tentative="0">
      <w:start w:val="3"/>
      <w:numFmt w:val="chineseCounting"/>
      <w:suff w:val="space"/>
      <w:lvlText w:val="第%1篇"/>
      <w:lvlJc w:val="left"/>
      <w:rPr>
        <w:rFonts w:hint="eastAsia"/>
      </w:r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1D9A"/>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753FE"/>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2A12"/>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62B88"/>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5B83278"/>
    <w:rsid w:val="07486D0C"/>
    <w:rsid w:val="079B568B"/>
    <w:rsid w:val="07F103E0"/>
    <w:rsid w:val="083E09AF"/>
    <w:rsid w:val="092E6FC0"/>
    <w:rsid w:val="0AED47E3"/>
    <w:rsid w:val="0AFA5B66"/>
    <w:rsid w:val="0BB04180"/>
    <w:rsid w:val="0BB87E47"/>
    <w:rsid w:val="0D1F249B"/>
    <w:rsid w:val="0D26388C"/>
    <w:rsid w:val="0D2D45FA"/>
    <w:rsid w:val="0F4F0F37"/>
    <w:rsid w:val="0FBA6FCD"/>
    <w:rsid w:val="1009316D"/>
    <w:rsid w:val="1317485C"/>
    <w:rsid w:val="147A5E14"/>
    <w:rsid w:val="14D11CFB"/>
    <w:rsid w:val="15935DB5"/>
    <w:rsid w:val="15BB3449"/>
    <w:rsid w:val="17324323"/>
    <w:rsid w:val="17A1211B"/>
    <w:rsid w:val="18ED7A84"/>
    <w:rsid w:val="19255AF5"/>
    <w:rsid w:val="1A7E6296"/>
    <w:rsid w:val="1AEF6A73"/>
    <w:rsid w:val="1BDA5AD7"/>
    <w:rsid w:val="1BDC0EB1"/>
    <w:rsid w:val="1CD001DE"/>
    <w:rsid w:val="1F0D01CA"/>
    <w:rsid w:val="21226BB2"/>
    <w:rsid w:val="21864056"/>
    <w:rsid w:val="222348FC"/>
    <w:rsid w:val="22F860AB"/>
    <w:rsid w:val="23E46D0A"/>
    <w:rsid w:val="2486441F"/>
    <w:rsid w:val="263535D3"/>
    <w:rsid w:val="28426BC2"/>
    <w:rsid w:val="2863744A"/>
    <w:rsid w:val="29601F8B"/>
    <w:rsid w:val="296F02CD"/>
    <w:rsid w:val="29D222A8"/>
    <w:rsid w:val="2AA01F44"/>
    <w:rsid w:val="2C43216E"/>
    <w:rsid w:val="2CD472B8"/>
    <w:rsid w:val="2D4B12DF"/>
    <w:rsid w:val="2DB02B6B"/>
    <w:rsid w:val="300C58E0"/>
    <w:rsid w:val="30607DAE"/>
    <w:rsid w:val="31830D94"/>
    <w:rsid w:val="31DA5A58"/>
    <w:rsid w:val="32F72ADE"/>
    <w:rsid w:val="32FD7152"/>
    <w:rsid w:val="332D1E43"/>
    <w:rsid w:val="33D42561"/>
    <w:rsid w:val="343C2F73"/>
    <w:rsid w:val="361F2D7D"/>
    <w:rsid w:val="37556B60"/>
    <w:rsid w:val="38890F5E"/>
    <w:rsid w:val="38CD7FDC"/>
    <w:rsid w:val="3ACE5D4F"/>
    <w:rsid w:val="3C55524B"/>
    <w:rsid w:val="3CCE1388"/>
    <w:rsid w:val="3DF6488D"/>
    <w:rsid w:val="3F1C71CA"/>
    <w:rsid w:val="406334F2"/>
    <w:rsid w:val="406D5057"/>
    <w:rsid w:val="409F14A1"/>
    <w:rsid w:val="415F6EA3"/>
    <w:rsid w:val="42455184"/>
    <w:rsid w:val="446528DF"/>
    <w:rsid w:val="44F64ED7"/>
    <w:rsid w:val="452C7897"/>
    <w:rsid w:val="46151D23"/>
    <w:rsid w:val="46D026EE"/>
    <w:rsid w:val="475E104C"/>
    <w:rsid w:val="48372B88"/>
    <w:rsid w:val="494C6B8D"/>
    <w:rsid w:val="497B7CB3"/>
    <w:rsid w:val="4A154854"/>
    <w:rsid w:val="4A8845CE"/>
    <w:rsid w:val="4B2D12E0"/>
    <w:rsid w:val="4BEB6B31"/>
    <w:rsid w:val="4CBF6634"/>
    <w:rsid w:val="4DD36371"/>
    <w:rsid w:val="4EEC1F3B"/>
    <w:rsid w:val="4F070047"/>
    <w:rsid w:val="4F3C244F"/>
    <w:rsid w:val="4FCD30B4"/>
    <w:rsid w:val="506A5568"/>
    <w:rsid w:val="5115115D"/>
    <w:rsid w:val="521E4A24"/>
    <w:rsid w:val="52D92ACB"/>
    <w:rsid w:val="53B4776F"/>
    <w:rsid w:val="53DF1E3A"/>
    <w:rsid w:val="540F25CE"/>
    <w:rsid w:val="545B425C"/>
    <w:rsid w:val="54E16692"/>
    <w:rsid w:val="558E730F"/>
    <w:rsid w:val="573C43EC"/>
    <w:rsid w:val="57857077"/>
    <w:rsid w:val="58EA1C45"/>
    <w:rsid w:val="59AE6800"/>
    <w:rsid w:val="59D52FEA"/>
    <w:rsid w:val="59DA2034"/>
    <w:rsid w:val="5A1F6A46"/>
    <w:rsid w:val="5CA67F0E"/>
    <w:rsid w:val="5CE16EEF"/>
    <w:rsid w:val="5DAD4E7C"/>
    <w:rsid w:val="5E16050E"/>
    <w:rsid w:val="5E3D2C1E"/>
    <w:rsid w:val="5ECE200C"/>
    <w:rsid w:val="5EFE2025"/>
    <w:rsid w:val="5F05278C"/>
    <w:rsid w:val="60CB5C8F"/>
    <w:rsid w:val="61743609"/>
    <w:rsid w:val="648E3C9A"/>
    <w:rsid w:val="64DA4767"/>
    <w:rsid w:val="65170F5B"/>
    <w:rsid w:val="65215328"/>
    <w:rsid w:val="657638C5"/>
    <w:rsid w:val="670A099E"/>
    <w:rsid w:val="68BD663A"/>
    <w:rsid w:val="692F74C0"/>
    <w:rsid w:val="696405DD"/>
    <w:rsid w:val="69BE2355"/>
    <w:rsid w:val="6B2D5466"/>
    <w:rsid w:val="6B75107A"/>
    <w:rsid w:val="6D5236ED"/>
    <w:rsid w:val="6E502DD4"/>
    <w:rsid w:val="6FE969BF"/>
    <w:rsid w:val="701245F9"/>
    <w:rsid w:val="71175C34"/>
    <w:rsid w:val="74AA2238"/>
    <w:rsid w:val="74D70DF7"/>
    <w:rsid w:val="74F24C90"/>
    <w:rsid w:val="750950F5"/>
    <w:rsid w:val="750D16CF"/>
    <w:rsid w:val="76E80159"/>
    <w:rsid w:val="773622B4"/>
    <w:rsid w:val="789F3DA6"/>
    <w:rsid w:val="78A52377"/>
    <w:rsid w:val="79082185"/>
    <w:rsid w:val="7A6F77AB"/>
    <w:rsid w:val="7ABA3FBA"/>
    <w:rsid w:val="7B0B6DD3"/>
    <w:rsid w:val="7B4642E6"/>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header" Target="header3.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8486</Words>
  <Characters>3774</Characters>
  <Lines>314</Lines>
  <Paragraphs>510</Paragraphs>
  <TotalTime>5</TotalTime>
  <ScaleCrop>false</ScaleCrop>
  <LinksUpToDate>false</LinksUpToDate>
  <CharactersWithSpaces>11750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Administrator</cp:lastModifiedBy>
  <cp:lastPrinted>2015-03-25T02:14:00Z</cp:lastPrinted>
  <dcterms:modified xsi:type="dcterms:W3CDTF">2026-03-16T03:51:16Z</dcterms:modified>
  <dc:title>竞争性谈判文件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F4A6A86F489B4EF6AA4C5C9B7ABECDA4</vt:lpwstr>
  </property>
</Properties>
</file>