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YSB260073</w:t>
      </w:r>
    </w:p>
    <w:p>
      <w:pPr>
        <w:spacing w:line="360" w:lineRule="auto"/>
        <w:ind w:firstLine="1800" w:firstLineChars="500"/>
        <w:outlineLvl w:val="0"/>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基因扩增仪</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12789052"/>
      <w:bookmarkStart w:id="2" w:name="_Toc76462316"/>
      <w:bookmarkStart w:id="3" w:name="_Toc24037"/>
      <w:bookmarkStart w:id="4" w:name="_Toc106030870"/>
      <w:bookmarkStart w:id="5" w:name="_Toc2711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基因扩增仪</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856"/>
      <w:bookmarkStart w:id="7" w:name="_Toc106030871"/>
      <w:bookmarkStart w:id="8" w:name="_Toc317775175"/>
      <w:bookmarkStart w:id="9" w:name="_Toc76462317"/>
      <w:bookmarkStart w:id="10" w:name="_Toc13094"/>
      <w:bookmarkStart w:id="11" w:name="_Toc31389352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w:t>
            </w:r>
            <w:bookmarkStart w:id="226" w:name="_GoBack"/>
            <w:bookmarkEnd w:id="226"/>
            <w:r>
              <w:rPr>
                <w:rFonts w:hint="eastAsia" w:ascii="微软雅黑" w:hAnsi="微软雅黑" w:eastAsia="微软雅黑" w:cs="微软雅黑"/>
                <w:sz w:val="21"/>
                <w:szCs w:val="21"/>
                <w:lang w:val="en-US" w:eastAsia="zh-CN"/>
              </w:rPr>
              <w:t>0073</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基因扩增仪</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sz w:val="21"/>
                <w:szCs w:val="21"/>
                <w:lang w:val="en-US" w:eastAsia="zh-CN"/>
              </w:rPr>
              <w:t>40</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76462320"/>
      <w:bookmarkStart w:id="23" w:name="_Toc106030874"/>
      <w:bookmarkStart w:id="24" w:name="_Toc918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疗器械经营许可证》及产品注册证;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《第二类医疗器械经营备案凭证》及产品注册证;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须具有所提供产品《第一类医疗器械备案凭证》及《第一类医疗器械备案信息表》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及产品备案;</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所提供产品不属于医疗器械的无需提供上述2-6条材料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26664"/>
      <w:bookmarkStart w:id="27" w:name="_Toc6178"/>
      <w:bookmarkStart w:id="28" w:name="_Toc12841"/>
      <w:bookmarkStart w:id="29" w:name="_Toc106034625"/>
      <w:bookmarkStart w:id="30" w:name="_Toc11956"/>
      <w:bookmarkStart w:id="31" w:name="_Toc525047161"/>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2945"/>
      <w:bookmarkStart w:id="35" w:name="_Toc521053054"/>
      <w:bookmarkStart w:id="36" w:name="_Toc4355"/>
      <w:bookmarkStart w:id="37" w:name="_Toc525047162"/>
      <w:bookmarkStart w:id="38" w:name="_Toc106034626"/>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60336"/>
      <w:bookmarkStart w:id="42" w:name="_Toc521053055"/>
      <w:bookmarkStart w:id="43" w:name="_Toc525047163"/>
      <w:bookmarkStart w:id="44" w:name="_Toc6563"/>
      <w:bookmarkStart w:id="45" w:name="_Toc106034627"/>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1733"/>
      <w:bookmarkStart w:id="49" w:name="_Toc10415"/>
      <w:bookmarkStart w:id="50" w:name="_Toc106034628"/>
      <w:bookmarkStart w:id="51" w:name="_Toc24901"/>
      <w:bookmarkStart w:id="52" w:name="_Toc21079"/>
      <w:bookmarkStart w:id="53" w:name="_Toc65660337"/>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75793504"/>
      <w:bookmarkStart w:id="56" w:name="_Toc25639"/>
      <w:bookmarkStart w:id="57" w:name="_Toc725"/>
      <w:bookmarkStart w:id="58" w:name="_Toc2422"/>
      <w:bookmarkStart w:id="59" w:name="_Toc5461"/>
      <w:bookmarkStart w:id="60" w:name="_Toc1625"/>
      <w:bookmarkStart w:id="61" w:name="_Toc1492"/>
      <w:bookmarkStart w:id="62" w:name="_Toc26176"/>
      <w:bookmarkStart w:id="63" w:name="_Toc12959"/>
      <w:bookmarkStart w:id="64" w:name="_Toc19886"/>
      <w:bookmarkStart w:id="65" w:name="_Toc32686"/>
      <w:bookmarkStart w:id="66" w:name="_Toc23143"/>
      <w:bookmarkStart w:id="67" w:name="_Toc11017"/>
      <w:bookmarkStart w:id="68" w:name="_Toc2070"/>
      <w:bookmarkStart w:id="69" w:name="_Toc8649"/>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75793505"/>
      <w:bookmarkStart w:id="74" w:name="_Toc11703"/>
      <w:bookmarkStart w:id="75" w:name="_Toc106030381"/>
      <w:bookmarkStart w:id="76" w:name="_Toc4913"/>
      <w:bookmarkStart w:id="77" w:name="_Toc22910"/>
      <w:bookmarkStart w:id="78" w:name="_Toc29985"/>
      <w:bookmarkStart w:id="79" w:name="_Toc8370"/>
      <w:bookmarkStart w:id="80" w:name="_Toc19238"/>
      <w:bookmarkStart w:id="81" w:name="_Toc23504"/>
      <w:bookmarkStart w:id="82" w:name="_Toc14433"/>
      <w:bookmarkStart w:id="83" w:name="_Toc7027"/>
      <w:bookmarkStart w:id="84" w:name="_Toc9261"/>
      <w:bookmarkStart w:id="85" w:name="_Toc4531"/>
      <w:bookmarkStart w:id="86" w:name="_Toc4519"/>
      <w:bookmarkStart w:id="87" w:name="_Toc23656"/>
      <w:bookmarkStart w:id="88" w:name="_Toc20979"/>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基因扩增仪</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5台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28205"/>
      <w:bookmarkStart w:id="90" w:name="_Toc23975"/>
      <w:bookmarkStart w:id="91" w:name="_Toc695"/>
      <w:bookmarkStart w:id="92" w:name="_Toc18675"/>
      <w:bookmarkStart w:id="93" w:name="_Toc10143"/>
      <w:bookmarkStart w:id="94" w:name="_Toc27067"/>
      <w:bookmarkStart w:id="95" w:name="_Toc106030382"/>
      <w:bookmarkStart w:id="96" w:name="_Toc5751"/>
      <w:bookmarkStart w:id="97" w:name="_Toc75793506"/>
      <w:bookmarkStart w:id="98" w:name="_Toc18800"/>
      <w:bookmarkStart w:id="99" w:name="_Toc15696"/>
      <w:bookmarkStart w:id="100" w:name="_Toc32262"/>
      <w:bookmarkStart w:id="101" w:name="_Toc12568"/>
      <w:bookmarkStart w:id="102" w:name="_Toc18903"/>
      <w:bookmarkStart w:id="103" w:name="_Toc26453"/>
      <w:bookmarkStart w:id="104" w:name="_Toc7792"/>
      <w:bookmarkStart w:id="105" w:name="_Toc21817"/>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6" w:name="_Toc12473"/>
      <w:bookmarkStart w:id="107" w:name="_Toc7791"/>
      <w:bookmarkStart w:id="108" w:name="_Toc106030882"/>
      <w:bookmarkStart w:id="109" w:name="_Toc76462327"/>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rPr>
        <w:t>样品基座：标准0.2mL×96孔模块</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rPr>
        <w:t>最大模块变温速率：6.0℃/秒，变温速率可调节</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rPr>
        <w:t>最大样本变温速率：</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rPr>
        <w:t>4.4℃/秒</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rPr>
        <w:t>温度范围：0-100.0℃</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rPr>
        <w:t>温度均一性：＜0.5℃（达到95℃后30秒）</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6.</w:t>
      </w:r>
      <w:r>
        <w:rPr>
          <w:rFonts w:hint="default" w:ascii="微软雅黑" w:hAnsi="微软雅黑" w:eastAsia="微软雅黑" w:cs="微软雅黑"/>
          <w:sz w:val="24"/>
          <w:szCs w:val="24"/>
        </w:rPr>
        <w:t>温度准确性：</w:t>
      </w:r>
      <w:r>
        <w:rPr>
          <w:rFonts w:hint="eastAsia" w:ascii="微软雅黑" w:hAnsi="微软雅黑" w:eastAsia="微软雅黑" w:cs="微软雅黑"/>
          <w:sz w:val="24"/>
          <w:szCs w:val="24"/>
          <w:lang w:eastAsia="zh-CN"/>
        </w:rPr>
        <w:t>控温精度</w:t>
      </w:r>
      <w:r>
        <w:rPr>
          <w:rFonts w:hint="default" w:ascii="微软雅黑" w:hAnsi="微软雅黑" w:eastAsia="微软雅黑" w:cs="微软雅黑"/>
          <w:sz w:val="24"/>
          <w:szCs w:val="24"/>
        </w:rPr>
        <w:t>±0.25℃（</w:t>
      </w:r>
      <w:r>
        <w:rPr>
          <w:rFonts w:hint="eastAsia" w:ascii="微软雅黑" w:hAnsi="微软雅黑" w:eastAsia="微软雅黑" w:cs="微软雅黑"/>
          <w:sz w:val="24"/>
          <w:szCs w:val="24"/>
          <w:lang w:val="en-US" w:eastAsia="zh-CN"/>
        </w:rPr>
        <w:t>在</w:t>
      </w:r>
      <w:r>
        <w:rPr>
          <w:rFonts w:hint="default" w:ascii="微软雅黑" w:hAnsi="微软雅黑" w:eastAsia="微软雅黑" w:cs="微软雅黑"/>
          <w:sz w:val="24"/>
          <w:szCs w:val="24"/>
        </w:rPr>
        <w:t>35-99.9℃</w:t>
      </w:r>
      <w:r>
        <w:rPr>
          <w:rFonts w:hint="eastAsia" w:ascii="微软雅黑" w:hAnsi="微软雅黑" w:eastAsia="微软雅黑" w:cs="微软雅黑"/>
          <w:sz w:val="24"/>
          <w:szCs w:val="24"/>
          <w:lang w:val="en-US" w:eastAsia="zh-CN"/>
        </w:rPr>
        <w:t>范围</w:t>
      </w:r>
      <w:r>
        <w:rPr>
          <w:rFonts w:hint="default" w:ascii="微软雅黑" w:hAnsi="微软雅黑" w:eastAsia="微软雅黑" w:cs="微软雅黑"/>
          <w:sz w:val="24"/>
          <w:szCs w:val="24"/>
        </w:rPr>
        <w:t>之间）</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7.</w:t>
      </w:r>
      <w:r>
        <w:rPr>
          <w:rFonts w:hint="default" w:ascii="微软雅黑" w:hAnsi="微软雅黑" w:eastAsia="微软雅黑" w:cs="微软雅黑"/>
          <w:sz w:val="24"/>
          <w:szCs w:val="24"/>
        </w:rPr>
        <w:t>热盖：30-110℃，可设置关闭，自动调节压力</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8.</w:t>
      </w:r>
      <w:r>
        <w:rPr>
          <w:rFonts w:hint="default" w:ascii="微软雅黑" w:hAnsi="微软雅黑" w:eastAsia="微软雅黑" w:cs="微软雅黑"/>
          <w:sz w:val="24"/>
          <w:szCs w:val="24"/>
        </w:rPr>
        <w:t>PCR体积范围：支持10</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rPr>
        <w:t>100 uL</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default"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default" w:ascii="微软雅黑" w:hAnsi="微软雅黑" w:eastAsia="微软雅黑" w:cs="微软雅黑"/>
          <w:sz w:val="24"/>
          <w:szCs w:val="24"/>
        </w:rPr>
        <w:t>6组独立控温区域，可精确设置6个不同温度</w:t>
      </w:r>
      <w:r>
        <w:rPr>
          <w:rFonts w:hint="eastAsia" w:ascii="微软雅黑" w:hAnsi="微软雅黑" w:eastAsia="微软雅黑" w:cs="微软雅黑"/>
          <w:sz w:val="24"/>
          <w:szCs w:val="24"/>
          <w:lang w:eastAsia="zh-CN"/>
        </w:rPr>
        <w:t>，支持区间温差最大5℃，整体25℃；</w:t>
      </w:r>
    </w:p>
    <w:p>
      <w:pPr>
        <w:snapToGrid w:val="0"/>
        <w:spacing w:line="400" w:lineRule="exact"/>
        <w:ind w:firstLine="480" w:firstLineChars="200"/>
        <w:rPr>
          <w:rFonts w:hint="default" w:ascii="微软雅黑" w:hAnsi="微软雅黑" w:eastAsia="微软雅黑" w:cs="微软雅黑"/>
          <w:sz w:val="24"/>
          <w:szCs w:val="24"/>
        </w:rPr>
      </w:pPr>
      <w:r>
        <w:rPr>
          <w:rFonts w:hint="eastAsia" w:ascii="微软雅黑" w:hAnsi="微软雅黑" w:eastAsia="微软雅黑" w:cs="微软雅黑"/>
          <w:sz w:val="24"/>
          <w:szCs w:val="24"/>
          <w:lang w:val="en-US" w:eastAsia="zh-CN"/>
        </w:rPr>
        <w:t>10.</w:t>
      </w:r>
      <w:r>
        <w:rPr>
          <w:rFonts w:hint="default" w:ascii="微软雅黑" w:hAnsi="微软雅黑" w:eastAsia="微软雅黑" w:cs="微软雅黑"/>
          <w:sz w:val="24"/>
          <w:szCs w:val="24"/>
        </w:rPr>
        <w:t>不小于8英寸彩色触摸显示屏</w:t>
      </w:r>
      <w:r>
        <w:rPr>
          <w:rFonts w:hint="eastAsia" w:ascii="微软雅黑" w:hAnsi="微软雅黑" w:eastAsia="微软雅黑" w:cs="微软雅黑"/>
          <w:sz w:val="24"/>
          <w:szCs w:val="24"/>
          <w:lang w:eastAsia="zh-CN"/>
        </w:rPr>
        <w:t>，编辑设置简单方便；</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11.</w:t>
      </w:r>
      <w:r>
        <w:rPr>
          <w:rFonts w:hint="default" w:ascii="微软雅黑" w:hAnsi="微软雅黑" w:eastAsia="微软雅黑" w:cs="微软雅黑"/>
          <w:sz w:val="24"/>
          <w:szCs w:val="24"/>
        </w:rPr>
        <w:t>内置多种PCR程序模板，可直接调用，包括基础PCR、测序PCR、RT-PCR、高保真PCR、高特异PCR和Long PCR等</w:t>
      </w:r>
      <w:r>
        <w:rPr>
          <w:rFonts w:hint="eastAsia" w:ascii="微软雅黑" w:hAnsi="微软雅黑" w:eastAsia="微软雅黑" w:cs="微软雅黑"/>
          <w:sz w:val="24"/>
          <w:szCs w:val="24"/>
          <w:lang w:eastAsia="zh-CN"/>
        </w:rPr>
        <w:t>，内置温度/时间递增选项，变温速率可调节；</w:t>
      </w:r>
    </w:p>
    <w:p>
      <w:pPr>
        <w:snapToGrid w:val="0"/>
        <w:spacing w:line="400" w:lineRule="exact"/>
        <w:ind w:firstLine="480" w:firstLineChars="200"/>
        <w:rPr>
          <w:rFonts w:hint="default" w:ascii="微软雅黑" w:hAnsi="微软雅黑" w:eastAsia="微软雅黑" w:cs="微软雅黑"/>
          <w:sz w:val="24"/>
          <w:szCs w:val="24"/>
        </w:rPr>
      </w:pPr>
      <w:r>
        <w:rPr>
          <w:rFonts w:hint="eastAsia" w:ascii="微软雅黑" w:hAnsi="微软雅黑" w:eastAsia="微软雅黑" w:cs="微软雅黑"/>
          <w:sz w:val="24"/>
          <w:szCs w:val="24"/>
          <w:lang w:val="en-US" w:eastAsia="zh-CN"/>
        </w:rPr>
        <w:t>12.断电保护：自动断电重启；</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13.</w:t>
      </w:r>
      <w:r>
        <w:rPr>
          <w:rFonts w:hint="default" w:ascii="微软雅黑" w:hAnsi="微软雅黑" w:eastAsia="微软雅黑" w:cs="微软雅黑"/>
          <w:sz w:val="24"/>
          <w:szCs w:val="24"/>
        </w:rPr>
        <w:t>程序存储：可存储＞1000个程序文件，具有U盘插槽</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default" w:ascii="微软雅黑" w:hAnsi="微软雅黑" w:eastAsia="微软雅黑" w:cs="微软雅黑"/>
          <w:sz w:val="24"/>
          <w:szCs w:val="24"/>
        </w:rPr>
      </w:pPr>
      <w:r>
        <w:rPr>
          <w:rFonts w:hint="eastAsia" w:ascii="微软雅黑" w:hAnsi="微软雅黑" w:eastAsia="微软雅黑" w:cs="微软雅黑"/>
          <w:sz w:val="24"/>
          <w:szCs w:val="24"/>
          <w:lang w:val="en-US" w:eastAsia="zh-CN"/>
        </w:rPr>
        <w:t>14.配置要求：主机1台，电源线1根，入门耗材套装1盒，COA证书1份。</w:t>
      </w:r>
    </w:p>
    <w:p>
      <w:pPr>
        <w:snapToGrid w:val="0"/>
        <w:spacing w:line="400" w:lineRule="exact"/>
        <w:ind w:firstLine="480" w:firstLineChars="200"/>
        <w:rPr>
          <w:rFonts w:hint="default"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交货时间：</w:t>
            </w:r>
            <w:r>
              <w:rPr>
                <w:rFonts w:hint="eastAsia" w:ascii="微软雅黑" w:hAnsi="微软雅黑" w:eastAsia="微软雅黑" w:cs="微软雅黑"/>
                <w:kern w:val="2"/>
                <w:sz w:val="21"/>
                <w:szCs w:val="21"/>
                <w:lang w:val="de-DE" w:eastAsia="zh-CN" w:bidi="ar-SA"/>
              </w:rPr>
              <w:t>定标后</w:t>
            </w:r>
            <w:r>
              <w:rPr>
                <w:rFonts w:hint="eastAsia" w:ascii="微软雅黑" w:hAnsi="微软雅黑" w:eastAsia="微软雅黑" w:cs="微软雅黑"/>
                <w:kern w:val="2"/>
                <w:sz w:val="21"/>
                <w:szCs w:val="21"/>
                <w:lang w:val="en-US" w:eastAsia="zh-CN" w:bidi="ar-SA"/>
              </w:rPr>
              <w:t>30</w:t>
            </w:r>
            <w:r>
              <w:rPr>
                <w:rFonts w:hint="eastAsia" w:ascii="微软雅黑" w:hAnsi="微软雅黑" w:eastAsia="微软雅黑" w:cs="微软雅黑"/>
                <w:kern w:val="2"/>
                <w:sz w:val="21"/>
                <w:szCs w:val="21"/>
                <w:lang w:val="de-DE" w:eastAsia="zh-CN" w:bidi="ar-SA"/>
              </w:rPr>
              <w:t>个日历日内交货</w:t>
            </w:r>
            <w:r>
              <w:rPr>
                <w:rFonts w:hint="eastAsia" w:ascii="微软雅黑" w:hAnsi="微软雅黑" w:eastAsia="微软雅黑" w:cs="微软雅黑"/>
                <w:kern w:val="2"/>
                <w:sz w:val="21"/>
                <w:szCs w:val="21"/>
                <w:lang w:val="en-US" w:eastAsia="zh-CN" w:bidi="ar-SA"/>
              </w:rPr>
              <w:t>。</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w:t>
            </w:r>
          </w:p>
          <w:p>
            <w:pPr>
              <w:pStyle w:val="2"/>
              <w:numPr>
                <w:ilvl w:val="-1"/>
                <w:numId w:val="0"/>
              </w:numPr>
              <w:ind w:left="0" w:firstLine="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验收方式：科室及医学工程科现场验收。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1.质保期：整机质保5年；</w:t>
            </w:r>
          </w:p>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de-DE" w:eastAsia="zh-CN"/>
              </w:rPr>
            </w:pPr>
            <w:r>
              <w:rPr>
                <w:rFonts w:hint="eastAsia" w:ascii="微软雅黑" w:hAnsi="微软雅黑" w:eastAsia="微软雅黑" w:cs="微软雅黑"/>
                <w:color w:val="auto"/>
                <w:sz w:val="21"/>
                <w:szCs w:val="21"/>
                <w:u w:val="none"/>
                <w:lang w:val="en-US" w:eastAsia="zh-CN"/>
              </w:rPr>
              <w:t>2.</w:t>
            </w:r>
            <w:r>
              <w:rPr>
                <w:rFonts w:hint="eastAsia" w:ascii="微软雅黑" w:hAnsi="微软雅黑" w:eastAsia="微软雅黑" w:cs="微软雅黑"/>
                <w:color w:val="auto"/>
                <w:sz w:val="21"/>
                <w:szCs w:val="21"/>
                <w:u w:val="none"/>
                <w:lang w:val="de-DE" w:eastAsia="zh-CN"/>
              </w:rPr>
              <w:t>机器故障应2</w:t>
            </w:r>
            <w:r>
              <w:rPr>
                <w:rFonts w:hint="eastAsia" w:ascii="微软雅黑" w:hAnsi="微软雅黑" w:eastAsia="微软雅黑" w:cs="微软雅黑"/>
                <w:color w:val="auto"/>
                <w:sz w:val="21"/>
                <w:szCs w:val="21"/>
                <w:u w:val="none"/>
                <w:lang w:val="en-US" w:eastAsia="zh-CN"/>
              </w:rPr>
              <w:t>小时</w:t>
            </w:r>
            <w:r>
              <w:rPr>
                <w:rFonts w:hint="eastAsia" w:ascii="微软雅黑" w:hAnsi="微软雅黑" w:eastAsia="微软雅黑" w:cs="微软雅黑"/>
                <w:color w:val="auto"/>
                <w:sz w:val="21"/>
                <w:szCs w:val="21"/>
                <w:u w:val="none"/>
                <w:lang w:val="de-DE" w:eastAsia="zh-CN"/>
              </w:rPr>
              <w:t>内故障响应，</w:t>
            </w:r>
            <w:r>
              <w:rPr>
                <w:rFonts w:hint="eastAsia" w:ascii="微软雅黑" w:hAnsi="微软雅黑" w:eastAsia="微软雅黑" w:cs="微软雅黑"/>
                <w:color w:val="auto"/>
                <w:sz w:val="21"/>
                <w:szCs w:val="21"/>
                <w:u w:val="none"/>
                <w:lang w:val="en-US" w:eastAsia="zh-CN"/>
              </w:rPr>
              <w:t>4小时</w:t>
            </w:r>
            <w:r>
              <w:rPr>
                <w:rFonts w:hint="eastAsia" w:ascii="微软雅黑" w:hAnsi="微软雅黑" w:eastAsia="微软雅黑" w:cs="微软雅黑"/>
                <w:color w:val="auto"/>
                <w:sz w:val="21"/>
                <w:szCs w:val="21"/>
                <w:u w:val="none"/>
                <w:lang w:val="de-DE" w:eastAsia="zh-CN"/>
              </w:rPr>
              <w:t>内到达现场</w:t>
            </w:r>
            <w:r>
              <w:rPr>
                <w:rFonts w:hint="eastAsia" w:ascii="微软雅黑" w:hAnsi="微软雅黑" w:eastAsia="微软雅黑" w:cs="微软雅黑"/>
                <w:color w:val="auto"/>
                <w:sz w:val="21"/>
                <w:szCs w:val="21"/>
                <w:u w:val="none"/>
                <w:lang w:val="en-US" w:eastAsia="zh-CN"/>
              </w:rPr>
              <w:t>,72小时内</w:t>
            </w:r>
            <w:r>
              <w:rPr>
                <w:rFonts w:hint="eastAsia" w:ascii="微软雅黑" w:hAnsi="微软雅黑" w:eastAsia="微软雅黑" w:cs="微软雅黑"/>
                <w:color w:val="auto"/>
                <w:sz w:val="21"/>
                <w:szCs w:val="21"/>
                <w:u w:val="none"/>
                <w:lang w:val="de-DE" w:eastAsia="zh-CN"/>
              </w:rPr>
              <w:t>解决故障</w:t>
            </w:r>
            <w:r>
              <w:rPr>
                <w:rFonts w:hint="eastAsia" w:ascii="微软雅黑" w:hAnsi="微软雅黑" w:eastAsia="微软雅黑" w:cs="微软雅黑"/>
                <w:color w:val="auto"/>
                <w:sz w:val="21"/>
                <w:szCs w:val="21"/>
                <w:u w:val="none"/>
                <w:lang w:val="en-US"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de-DE" w:eastAsia="zh-CN"/>
              </w:rPr>
            </w:pPr>
            <w:r>
              <w:rPr>
                <w:rFonts w:hint="eastAsia" w:ascii="微软雅黑" w:hAnsi="微软雅黑" w:eastAsia="微软雅黑" w:cs="微软雅黑"/>
                <w:color w:val="auto"/>
                <w:sz w:val="21"/>
                <w:szCs w:val="21"/>
                <w:u w:val="none"/>
                <w:lang w:val="en-US" w:eastAsia="zh-CN"/>
              </w:rPr>
              <w:t>3.不能解决故障48小时内提供备用机或解决方案；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de-DE" w:eastAsia="zh-CN"/>
              </w:rPr>
            </w:pPr>
            <w:r>
              <w:rPr>
                <w:rFonts w:hint="eastAsia" w:ascii="微软雅黑" w:hAnsi="微软雅黑" w:eastAsia="微软雅黑" w:cs="微软雅黑"/>
                <w:color w:val="auto"/>
                <w:sz w:val="21"/>
                <w:szCs w:val="21"/>
                <w:u w:val="none"/>
                <w:lang w:val="en-US" w:eastAsia="zh-CN"/>
              </w:rPr>
              <w:t>4.</w:t>
            </w:r>
            <w:r>
              <w:rPr>
                <w:rFonts w:hint="eastAsia" w:ascii="微软雅黑" w:hAnsi="微软雅黑" w:eastAsia="微软雅黑" w:cs="微软雅黑"/>
                <w:color w:val="auto"/>
                <w:sz w:val="21"/>
                <w:szCs w:val="21"/>
                <w:u w:val="none"/>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de-DE" w:eastAsia="zh-CN"/>
              </w:rPr>
            </w:pPr>
            <w:r>
              <w:rPr>
                <w:rFonts w:hint="eastAsia" w:ascii="微软雅黑" w:hAnsi="微软雅黑" w:eastAsia="微软雅黑" w:cs="微软雅黑"/>
                <w:color w:val="auto"/>
                <w:sz w:val="21"/>
                <w:szCs w:val="21"/>
                <w:u w:val="none"/>
                <w:lang w:val="en-US" w:eastAsia="zh-CN"/>
              </w:rPr>
              <w:t>5.</w:t>
            </w:r>
            <w:r>
              <w:rPr>
                <w:rFonts w:hint="eastAsia" w:ascii="微软雅黑" w:hAnsi="微软雅黑" w:eastAsia="微软雅黑" w:cs="微软雅黑"/>
                <w:color w:val="auto"/>
                <w:sz w:val="21"/>
                <w:szCs w:val="21"/>
                <w:u w:val="none"/>
                <w:lang w:val="de-DE" w:eastAsia="zh-CN"/>
              </w:rPr>
              <w:t>维修工程师免费上门安装、培训；</w:t>
            </w:r>
            <w:r>
              <w:rPr>
                <w:rFonts w:hint="eastAsia" w:ascii="微软雅黑" w:hAnsi="微软雅黑" w:eastAsia="微软雅黑" w:cs="微软雅黑"/>
                <w:color w:val="auto"/>
                <w:sz w:val="21"/>
                <w:szCs w:val="21"/>
                <w:u w:val="none"/>
                <w:lang w:val="en-US" w:eastAsia="zh-CN"/>
              </w:rPr>
              <w:t>供方应对使用及维护人员进行必要的培训，包括异常情况处理及日常的维护操作，现场使用、维护人员能够独立完成各项操作为止；</w:t>
            </w:r>
          </w:p>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de-DE" w:eastAsia="zh-CN"/>
              </w:rPr>
            </w:pPr>
            <w:r>
              <w:rPr>
                <w:rFonts w:hint="eastAsia" w:ascii="微软雅黑" w:hAnsi="微软雅黑" w:eastAsia="微软雅黑" w:cs="微软雅黑"/>
                <w:color w:val="auto"/>
                <w:sz w:val="21"/>
                <w:szCs w:val="21"/>
                <w:u w:val="none"/>
                <w:lang w:val="en-US" w:eastAsia="zh-CN"/>
              </w:rPr>
              <w:t>6.</w:t>
            </w:r>
            <w:r>
              <w:rPr>
                <w:rFonts w:hint="eastAsia" w:ascii="微软雅黑" w:hAnsi="微软雅黑" w:eastAsia="微软雅黑" w:cs="微软雅黑"/>
                <w:color w:val="auto"/>
                <w:sz w:val="21"/>
                <w:szCs w:val="21"/>
                <w:u w:val="none"/>
                <w:lang w:val="de-DE" w:eastAsia="zh-CN"/>
              </w:rPr>
              <w:t>一年不低于4次定期维护保养，</w:t>
            </w:r>
            <w:r>
              <w:rPr>
                <w:rFonts w:hint="eastAsia" w:ascii="微软雅黑" w:hAnsi="微软雅黑" w:eastAsia="微软雅黑" w:cs="微软雅黑"/>
                <w:color w:val="auto"/>
                <w:sz w:val="21"/>
                <w:szCs w:val="21"/>
                <w:u w:val="none"/>
                <w:lang w:val="en-US" w:eastAsia="zh-CN"/>
              </w:rPr>
              <w:t>有故障情况发生，终身免费上门维修</w:t>
            </w:r>
            <w:r>
              <w:rPr>
                <w:rFonts w:hint="eastAsia" w:ascii="微软雅黑" w:hAnsi="微软雅黑" w:eastAsia="微软雅黑" w:cs="微软雅黑"/>
                <w:color w:val="auto"/>
                <w:sz w:val="21"/>
                <w:szCs w:val="21"/>
                <w:u w:val="none"/>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1"/>
                <w:szCs w:val="21"/>
                <w:u w:val="none"/>
                <w:lang w:val="de-DE" w:eastAsia="zh-CN"/>
              </w:rPr>
            </w:pPr>
            <w:r>
              <w:rPr>
                <w:rFonts w:hint="eastAsia" w:ascii="微软雅黑" w:hAnsi="微软雅黑" w:eastAsia="微软雅黑" w:cs="微软雅黑"/>
                <w:color w:val="auto"/>
                <w:sz w:val="21"/>
                <w:szCs w:val="21"/>
                <w:u w:val="none"/>
                <w:lang w:val="en-US" w:eastAsia="zh-CN"/>
              </w:rPr>
              <w:t>7.</w:t>
            </w:r>
            <w:r>
              <w:rPr>
                <w:rFonts w:hint="eastAsia" w:ascii="微软雅黑" w:hAnsi="微软雅黑" w:eastAsia="微软雅黑" w:cs="微软雅黑"/>
                <w:color w:val="auto"/>
                <w:sz w:val="21"/>
                <w:szCs w:val="21"/>
                <w:u w:val="none"/>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u w:val="none"/>
                <w:lang w:val="en-US" w:eastAsia="zh-CN"/>
              </w:rPr>
              <w:t>8.中标商对自己投标产品对应参数需要满足，验收时根据投标响应文件中的技术参数一一验收，如果有一条或者多条不满足，客户有权取消合同，所产生的损失由中标商承担。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1"/>
                <w:szCs w:val="21"/>
                <w:u w:val="single"/>
                <w:lang w:val="en-US" w:eastAsia="zh-CN"/>
              </w:rPr>
            </w:pPr>
            <w:r>
              <w:rPr>
                <w:rFonts w:hint="eastAsia" w:ascii="微软雅黑" w:hAnsi="微软雅黑" w:eastAsia="微软雅黑" w:cs="微软雅黑"/>
                <w:color w:val="auto"/>
                <w:sz w:val="21"/>
                <w:szCs w:val="21"/>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0000FF"/>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该项目报价</w:t>
            </w:r>
            <w:r>
              <w:rPr>
                <w:rFonts w:hint="eastAsia" w:ascii="微软雅黑" w:hAnsi="微软雅黑" w:eastAsia="微软雅黑" w:cs="微软雅黑"/>
                <w:color w:val="auto"/>
                <w:kern w:val="0"/>
                <w:sz w:val="21"/>
                <w:szCs w:val="21"/>
              </w:rPr>
              <w:t>须</w:t>
            </w:r>
            <w:r>
              <w:rPr>
                <w:rFonts w:hint="eastAsia" w:ascii="微软雅黑" w:hAnsi="微软雅黑" w:eastAsia="微软雅黑" w:cs="微软雅黑"/>
                <w:color w:val="auto"/>
                <w:kern w:val="0"/>
                <w:sz w:val="21"/>
                <w:szCs w:val="21"/>
                <w:lang w:val="en-US" w:eastAsia="zh-CN"/>
              </w:rPr>
              <w:t>对设备包干总价和易损易耗件</w:t>
            </w:r>
            <w:r>
              <w:rPr>
                <w:rFonts w:hint="eastAsia" w:ascii="微软雅黑" w:hAnsi="微软雅黑" w:eastAsia="微软雅黑" w:cs="微软雅黑"/>
                <w:color w:val="auto"/>
                <w:kern w:val="0"/>
                <w:sz w:val="21"/>
                <w:szCs w:val="21"/>
              </w:rPr>
              <w:t>单价</w:t>
            </w:r>
            <w:r>
              <w:rPr>
                <w:rFonts w:hint="eastAsia" w:ascii="微软雅黑" w:hAnsi="微软雅黑" w:eastAsia="微软雅黑" w:cs="微软雅黑"/>
                <w:color w:val="auto"/>
                <w:kern w:val="0"/>
                <w:sz w:val="21"/>
                <w:szCs w:val="21"/>
                <w:lang w:val="en-US" w:eastAsia="zh-CN"/>
              </w:rPr>
              <w:t>分别进行报价</w:t>
            </w:r>
            <w:r>
              <w:rPr>
                <w:rFonts w:hint="eastAsia" w:ascii="微软雅黑" w:hAnsi="微软雅黑" w:eastAsia="微软雅黑" w:cs="微软雅黑"/>
                <w:color w:val="auto"/>
                <w:sz w:val="21"/>
                <w:szCs w:val="21"/>
              </w:rPr>
              <w:t>，包括完成货物、运输、验收及其他本项目所需的所有费用及各种应纳的税费。因</w:t>
            </w:r>
            <w:r>
              <w:rPr>
                <w:rFonts w:hint="eastAsia" w:ascii="微软雅黑" w:hAnsi="微软雅黑" w:eastAsia="微软雅黑" w:cs="微软雅黑"/>
                <w:color w:val="auto"/>
                <w:sz w:val="21"/>
                <w:szCs w:val="21"/>
                <w:lang w:eastAsia="zh-CN"/>
              </w:rPr>
              <w:t>中标人</w:t>
            </w:r>
            <w:r>
              <w:rPr>
                <w:rFonts w:hint="eastAsia" w:ascii="微软雅黑" w:hAnsi="微软雅黑" w:eastAsia="微软雅黑" w:cs="微软雅黑"/>
                <w:color w:val="auto"/>
                <w:sz w:val="21"/>
                <w:szCs w:val="21"/>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pStyle w:val="70"/>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结算方式：合同签订后中标供应商按采购合同交货并安装调试完成，经验收合格后采购方出具项目验收报告，中标供应商向采购方开具发票，采购方于2个月内以转账方式向中标供应商支付合同全款。</w:t>
            </w:r>
          </w:p>
          <w:p>
            <w:pPr>
              <w:pStyle w:val="144"/>
              <w:snapToGrid w:val="0"/>
              <w:spacing w:line="400" w:lineRule="exact"/>
              <w:rPr>
                <w:rFonts w:hint="eastAsia" w:ascii="微软雅黑" w:hAnsi="微软雅黑" w:eastAsia="微软雅黑" w:cs="微软雅黑"/>
                <w:color w:val="0000FF"/>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333333"/>
                <w:kern w:val="0"/>
                <w:sz w:val="21"/>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pStyle w:val="144"/>
              <w:snapToGrid w:val="0"/>
              <w:spacing w:line="40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b/>
          <w:sz w:val="44"/>
        </w:rPr>
      </w:pPr>
      <w:bookmarkStart w:id="110" w:name="_Toc76462332"/>
      <w:bookmarkStart w:id="111" w:name="_Toc6692"/>
      <w:bookmarkStart w:id="112"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14958"/>
      <w:bookmarkStart w:id="115" w:name="_Toc26127"/>
      <w:bookmarkStart w:id="116" w:name="_Toc106030888"/>
      <w:bookmarkStart w:id="117" w:name="_Toc76462333"/>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24315"/>
      <w:bookmarkStart w:id="120" w:name="_Toc106030889"/>
      <w:bookmarkStart w:id="121" w:name="_Toc30944"/>
      <w:bookmarkStart w:id="122" w:name="_Toc76462334"/>
      <w:bookmarkStart w:id="123" w:name="_Toc342913394"/>
      <w:bookmarkStart w:id="124" w:name="_Toc102227320"/>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76462335"/>
      <w:bookmarkStart w:id="126" w:name="_Toc106030890"/>
      <w:bookmarkStart w:id="127"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2222"/>
      <w:bookmarkStart w:id="130" w:name="_Toc10687"/>
      <w:bookmarkStart w:id="131" w:name="_Toc76462336"/>
      <w:bookmarkStart w:id="132" w:name="_Toc106030891"/>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76462337"/>
      <w:bookmarkStart w:id="134" w:name="_Toc102227313"/>
      <w:bookmarkStart w:id="135" w:name="_Toc13119"/>
      <w:bookmarkStart w:id="136" w:name="_Toc106030892"/>
      <w:bookmarkStart w:id="137" w:name="_Toc29948"/>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20271"/>
      <w:bookmarkStart w:id="139" w:name="_Toc26717"/>
      <w:bookmarkStart w:id="140" w:name="_Toc106030893"/>
      <w:bookmarkStart w:id="141" w:name="_Toc342913389"/>
      <w:bookmarkStart w:id="142" w:name="_Toc76462338"/>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27891"/>
      <w:bookmarkStart w:id="144" w:name="_Toc15712"/>
      <w:bookmarkStart w:id="145" w:name="_Toc106030894"/>
      <w:bookmarkStart w:id="146" w:name="_Toc76462339"/>
      <w:bookmarkStart w:id="147" w:name="_Toc342913391"/>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59349"/>
      <w:bookmarkStart w:id="149" w:name="_Toc318159780"/>
      <w:bookmarkStart w:id="150" w:name="_Toc318159160"/>
      <w:bookmarkStart w:id="151" w:name="_Toc318166429"/>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26007"/>
      <w:bookmarkStart w:id="153" w:name="_Toc102227318"/>
      <w:bookmarkStart w:id="154" w:name="_Toc76462340"/>
      <w:bookmarkStart w:id="155" w:name="_Toc106030895"/>
      <w:bookmarkStart w:id="156" w:name="_Toc342913392"/>
      <w:bookmarkStart w:id="157" w:name="_Toc20510"/>
      <w:bookmarkStart w:id="158" w:name="_Toc179714297"/>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106030896"/>
      <w:bookmarkStart w:id="160" w:name="_Toc76462341"/>
      <w:bookmarkStart w:id="161" w:name="_Toc32166"/>
      <w:bookmarkStart w:id="162" w:name="_Toc6435"/>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2729"/>
      <w:bookmarkStart w:id="164" w:name="_Toc21532"/>
      <w:bookmarkStart w:id="165" w:name="_Toc342913395"/>
      <w:bookmarkStart w:id="166" w:name="_Toc76462342"/>
      <w:bookmarkStart w:id="167" w:name="_Toc106030897"/>
      <w:bookmarkStart w:id="168" w:name="_Toc102227321"/>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4796"/>
      <w:bookmarkStart w:id="170" w:name="_Toc76462343"/>
      <w:bookmarkStart w:id="171" w:name="_Toc21448"/>
      <w:bookmarkStart w:id="172" w:name="_Toc10603089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28334"/>
      <w:bookmarkStart w:id="174" w:name="_Toc106030899"/>
      <w:bookmarkStart w:id="175"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106030901"/>
      <w:bookmarkStart w:id="179" w:name="_Toc342913396"/>
      <w:bookmarkStart w:id="180" w:name="_Toc76462346"/>
      <w:bookmarkStart w:id="181" w:name="_Toc3372"/>
      <w:bookmarkStart w:id="182" w:name="_Toc12789059"/>
      <w:bookmarkStart w:id="183" w:name="_Toc11641055"/>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21717"/>
      <w:bookmarkStart w:id="186" w:name="_Toc27984"/>
      <w:bookmarkStart w:id="187" w:name="_Toc106030905"/>
      <w:bookmarkStart w:id="188" w:name="_Toc76462349"/>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9" w:name="_Toc313008356"/>
      <w:bookmarkStart w:id="190" w:name="_Toc15994"/>
      <w:bookmarkStart w:id="191" w:name="_Toc106030906"/>
      <w:bookmarkStart w:id="192" w:name="_Toc76462350"/>
      <w:bookmarkStart w:id="193" w:name="_Toc313888360"/>
      <w:bookmarkStart w:id="194" w:name="_Toc342913419"/>
      <w:bookmarkStart w:id="195" w:name="_Toc283382454"/>
      <w:bookmarkStart w:id="196"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7" w:name="_Toc7890"/>
      <w:r>
        <w:rPr>
          <w:rFonts w:hint="eastAsia" w:ascii="微软雅黑" w:hAnsi="微软雅黑" w:eastAsia="微软雅黑" w:cs="微软雅黑"/>
          <w:sz w:val="24"/>
        </w:rPr>
        <w:t>一、经济部分</w:t>
      </w:r>
      <w:bookmarkEnd w:id="189"/>
      <w:bookmarkEnd w:id="190"/>
      <w:bookmarkEnd w:id="191"/>
      <w:bookmarkEnd w:id="192"/>
      <w:bookmarkEnd w:id="193"/>
      <w:bookmarkEnd w:id="194"/>
      <w:bookmarkEnd w:id="197"/>
    </w:p>
    <w:bookmarkEnd w:id="195"/>
    <w:bookmarkEnd w:id="196"/>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bookmarkStart w:id="198" w:name="_Toc342913420"/>
      <w:bookmarkStart w:id="199" w:name="_Toc76462351"/>
      <w:bookmarkStart w:id="200" w:name="_Toc313008357"/>
      <w:bookmarkStart w:id="201" w:name="_Toc18669"/>
      <w:bookmarkStart w:id="202" w:name="_Toc21535"/>
      <w:bookmarkStart w:id="203" w:name="_Toc313888361"/>
      <w:bookmarkStart w:id="204" w:name="_Toc106030907"/>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sz w:val="24"/>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5"/>
        </w:numPr>
        <w:rPr>
          <w:rFonts w:hint="default"/>
          <w:lang w:val="en-US" w:eastAsia="zh-CN"/>
        </w:rPr>
        <w:sectPr>
          <w:pgSz w:w="11907" w:h="16840"/>
          <w:pgMar w:top="1134" w:right="1191" w:bottom="1134" w:left="1304" w:header="851" w:footer="992" w:gutter="0"/>
          <w:pgNumType w:fmt="numberInDash"/>
          <w:cols w:space="720" w:num="1"/>
          <w:docGrid w:linePitch="380" w:charSpace="-5735"/>
        </w:sectPr>
      </w:pPr>
    </w:p>
    <w:bookmarkEnd w:id="198"/>
    <w:bookmarkEnd w:id="199"/>
    <w:bookmarkEnd w:id="200"/>
    <w:bookmarkEnd w:id="201"/>
    <w:bookmarkEnd w:id="202"/>
    <w:bookmarkEnd w:id="203"/>
    <w:bookmarkEnd w:id="20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1257"/>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313888362"/>
      <w:bookmarkStart w:id="207" w:name="_Toc313008358"/>
      <w:bookmarkStart w:id="208" w:name="_Toc76462352"/>
      <w:bookmarkStart w:id="209" w:name="_Toc106030908"/>
      <w:bookmarkStart w:id="210" w:name="_Toc30639"/>
      <w:bookmarkStart w:id="211" w:name="_Toc11635"/>
      <w:bookmarkStart w:id="212" w:name="_Toc342913421"/>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213"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313008359"/>
      <w:bookmarkStart w:id="215" w:name="_Toc76462353"/>
      <w:bookmarkStart w:id="216" w:name="_Toc25318"/>
      <w:bookmarkStart w:id="217" w:name="_Toc26948"/>
      <w:bookmarkStart w:id="218" w:name="_Toc106030909"/>
      <w:bookmarkStart w:id="219" w:name="_Toc342913422"/>
      <w:bookmarkStart w:id="220" w:name="_Toc313888363"/>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76462354"/>
      <w:bookmarkStart w:id="223" w:name="_Toc8805"/>
      <w:bookmarkStart w:id="224" w:name="_Toc106030910"/>
      <w:bookmarkStart w:id="225" w:name="_Toc7308"/>
      <w:r>
        <w:rPr>
          <w:rFonts w:hint="eastAsia" w:ascii="微软雅黑" w:hAnsi="微软雅黑" w:eastAsia="微软雅黑" w:cs="微软雅黑"/>
          <w:sz w:val="24"/>
        </w:rPr>
        <w:t>五、其他资料</w:t>
      </w:r>
      <w:bookmarkEnd w:id="221"/>
      <w:bookmarkEnd w:id="222"/>
      <w:bookmarkEnd w:id="223"/>
      <w:bookmarkEnd w:id="224"/>
      <w:bookmarkEnd w:id="225"/>
    </w:p>
    <w:p>
      <w:pPr>
        <w:spacing w:line="360" w:lineRule="auto"/>
        <w:ind w:firstLine="480" w:firstLineChars="200"/>
        <w:rPr>
          <w:rFonts w:hint="default"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其他与项目相关的材料</w:t>
      </w: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F0D01CA"/>
    <w:rsid w:val="1FB21338"/>
    <w:rsid w:val="21226BB2"/>
    <w:rsid w:val="21864056"/>
    <w:rsid w:val="222348FC"/>
    <w:rsid w:val="22F860AB"/>
    <w:rsid w:val="23DB3147"/>
    <w:rsid w:val="242C5890"/>
    <w:rsid w:val="2486441F"/>
    <w:rsid w:val="25013478"/>
    <w:rsid w:val="263535D3"/>
    <w:rsid w:val="279E0776"/>
    <w:rsid w:val="28426BC2"/>
    <w:rsid w:val="2863744A"/>
    <w:rsid w:val="29601F8B"/>
    <w:rsid w:val="296F02CD"/>
    <w:rsid w:val="2AA01F44"/>
    <w:rsid w:val="2B712B53"/>
    <w:rsid w:val="2B812510"/>
    <w:rsid w:val="2C43216E"/>
    <w:rsid w:val="2CD472B8"/>
    <w:rsid w:val="2DB02B6B"/>
    <w:rsid w:val="2E966F2B"/>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F64ED7"/>
    <w:rsid w:val="452C7897"/>
    <w:rsid w:val="46151D23"/>
    <w:rsid w:val="46D026EE"/>
    <w:rsid w:val="475E104C"/>
    <w:rsid w:val="47AA1B14"/>
    <w:rsid w:val="47DF47C8"/>
    <w:rsid w:val="47E44DA2"/>
    <w:rsid w:val="494C6B8D"/>
    <w:rsid w:val="497B7CB3"/>
    <w:rsid w:val="4A8845CE"/>
    <w:rsid w:val="4B2D12E0"/>
    <w:rsid w:val="4B6A6EB1"/>
    <w:rsid w:val="4BEB6B31"/>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BF6C92"/>
    <w:rsid w:val="60CB5C8F"/>
    <w:rsid w:val="61743609"/>
    <w:rsid w:val="61DB1F11"/>
    <w:rsid w:val="6379050D"/>
    <w:rsid w:val="648E3C9A"/>
    <w:rsid w:val="64DA4767"/>
    <w:rsid w:val="65170F5B"/>
    <w:rsid w:val="65215328"/>
    <w:rsid w:val="670A099E"/>
    <w:rsid w:val="68BD663A"/>
    <w:rsid w:val="692F74C0"/>
    <w:rsid w:val="696405DD"/>
    <w:rsid w:val="69BE2355"/>
    <w:rsid w:val="6B75107A"/>
    <w:rsid w:val="6C252663"/>
    <w:rsid w:val="6D5236ED"/>
    <w:rsid w:val="6F7E3D26"/>
    <w:rsid w:val="6FE969BF"/>
    <w:rsid w:val="701245F9"/>
    <w:rsid w:val="71175C34"/>
    <w:rsid w:val="721C10A9"/>
    <w:rsid w:val="74D70DF7"/>
    <w:rsid w:val="750950F5"/>
    <w:rsid w:val="750D16CF"/>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2</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2026-02-12T00:47:40Z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