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bookmarkStart w:id="0" w:name="_Toc76462332"/>
      <w:bookmarkStart w:id="1" w:name="_Toc106030887"/>
      <w:bookmarkStart w:id="2" w:name="_Toc7651"/>
      <w:bookmarkStart w:id="3" w:name="_Toc6692"/>
      <w:bookmarkStart w:id="4" w:name="OLE_LINK1"/>
    </w:p>
    <w:p>
      <w:pPr>
        <w:spacing w:line="1600" w:lineRule="exact"/>
        <w:jc w:val="center"/>
        <w:outlineLvl w:val="0"/>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公开比选</w:t>
      </w: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采购文件</w:t>
      </w:r>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YSB260145</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生物安全柜</w:t>
      </w:r>
      <w:r>
        <w:rPr>
          <w:rFonts w:hint="eastAsia" w:ascii="微软雅黑" w:hAnsi="微软雅黑" w:eastAsia="微软雅黑" w:cs="微软雅黑"/>
          <w:color w:val="auto"/>
          <w:sz w:val="36"/>
          <w:szCs w:val="36"/>
          <w:u w:val="single"/>
          <w:lang w:eastAsia="zh-CN"/>
        </w:rPr>
        <w:t>（分包一）</w:t>
      </w:r>
    </w:p>
    <w:p>
      <w:pPr>
        <w:spacing w:line="360" w:lineRule="auto"/>
        <w:ind w:firstLine="1800" w:firstLineChars="500"/>
        <w:outlineLvl w:val="0"/>
        <w:rPr>
          <w:rFonts w:hint="eastAsia" w:ascii="微软雅黑" w:hAnsi="微软雅黑" w:eastAsia="微软雅黑" w:cs="微软雅黑"/>
          <w:color w:val="auto"/>
          <w:sz w:val="36"/>
          <w:szCs w:val="36"/>
          <w:u w:val="single"/>
        </w:rPr>
      </w:pPr>
    </w:p>
    <w:p>
      <w:pPr>
        <w:pStyle w:val="23"/>
        <w:rPr>
          <w:rFonts w:hint="eastAsia"/>
          <w:color w:val="auto"/>
        </w:rPr>
      </w:pPr>
    </w:p>
    <w:p>
      <w:pPr>
        <w:pStyle w:val="23"/>
        <w:rPr>
          <w:rFonts w:hint="eastAsia"/>
          <w:color w:val="auto"/>
        </w:rPr>
      </w:pP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重庆医科大学附属儿童医院</w:t>
      </w: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202</w:t>
      </w:r>
      <w:r>
        <w:rPr>
          <w:rFonts w:hint="eastAsia" w:ascii="微软雅黑" w:hAnsi="微软雅黑" w:eastAsia="微软雅黑" w:cs="微软雅黑"/>
          <w:color w:val="auto"/>
          <w:sz w:val="36"/>
          <w:szCs w:val="36"/>
          <w:u w:val="single"/>
          <w:lang w:val="en-US" w:eastAsia="zh-CN"/>
        </w:rPr>
        <w:t>6</w:t>
      </w:r>
      <w:r>
        <w:rPr>
          <w:rFonts w:hint="eastAsia" w:ascii="微软雅黑" w:hAnsi="微软雅黑" w:eastAsia="微软雅黑" w:cs="微软雅黑"/>
          <w:color w:val="auto"/>
          <w:sz w:val="36"/>
          <w:szCs w:val="36"/>
          <w:u w:val="single"/>
        </w:rPr>
        <w:t>年</w:t>
      </w:r>
      <w:r>
        <w:rPr>
          <w:rFonts w:hint="eastAsia" w:ascii="微软雅黑" w:hAnsi="微软雅黑" w:eastAsia="微软雅黑" w:cs="微软雅黑"/>
          <w:color w:val="auto"/>
          <w:sz w:val="36"/>
          <w:szCs w:val="36"/>
          <w:u w:val="single"/>
          <w:lang w:val="en-US" w:eastAsia="zh-CN"/>
        </w:rPr>
        <w:t>4</w:t>
      </w:r>
      <w:r>
        <w:rPr>
          <w:rFonts w:hint="eastAsia" w:ascii="微软雅黑" w:hAnsi="微软雅黑" w:eastAsia="微软雅黑" w:cs="微软雅黑"/>
          <w:color w:val="auto"/>
          <w:sz w:val="36"/>
          <w:szCs w:val="36"/>
          <w:u w:val="single"/>
        </w:rPr>
        <w:t>月</w:t>
      </w:r>
    </w:p>
    <w:p>
      <w:pPr>
        <w:spacing w:line="720" w:lineRule="exact"/>
        <w:jc w:val="center"/>
        <w:outlineLvl w:val="0"/>
        <w:rPr>
          <w:rFonts w:hint="eastAsia" w:ascii="微软雅黑" w:hAnsi="微软雅黑" w:eastAsia="微软雅黑" w:cs="微软雅黑"/>
          <w:color w:val="auto"/>
          <w:sz w:val="24"/>
          <w:szCs w:val="24"/>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24"/>
          <w:szCs w:val="24"/>
        </w:rPr>
      </w:pPr>
      <w:bookmarkStart w:id="5" w:name="_Toc317775178"/>
      <w:r>
        <w:rPr>
          <w:rFonts w:hint="eastAsia" w:ascii="微软雅黑" w:hAnsi="微软雅黑" w:eastAsia="微软雅黑" w:cs="微软雅黑"/>
          <w:color w:val="auto"/>
          <w:sz w:val="44"/>
          <w:szCs w:val="44"/>
        </w:rPr>
        <w:t>目   录</w:t>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_Toc26011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第一篇  采购邀请书</w:t>
      </w:r>
      <w:r>
        <w:rPr>
          <w:color w:val="auto"/>
          <w:sz w:val="24"/>
          <w:szCs w:val="24"/>
        </w:rPr>
        <w:tab/>
      </w:r>
      <w:r>
        <w:rPr>
          <w:color w:val="auto"/>
          <w:sz w:val="24"/>
          <w:szCs w:val="24"/>
        </w:rPr>
        <w:fldChar w:fldCharType="begin"/>
      </w:r>
      <w:r>
        <w:rPr>
          <w:color w:val="auto"/>
          <w:sz w:val="24"/>
          <w:szCs w:val="24"/>
        </w:rPr>
        <w:instrText xml:space="preserve"> PAGEREF _Toc26011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_Toc23226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一、公开比选采购内容</w:t>
      </w:r>
      <w:r>
        <w:rPr>
          <w:color w:val="auto"/>
          <w:sz w:val="24"/>
          <w:szCs w:val="24"/>
        </w:rPr>
        <w:tab/>
      </w:r>
      <w:r>
        <w:rPr>
          <w:color w:val="auto"/>
          <w:sz w:val="24"/>
          <w:szCs w:val="24"/>
        </w:rPr>
        <w:fldChar w:fldCharType="begin"/>
      </w:r>
      <w:r>
        <w:rPr>
          <w:color w:val="auto"/>
          <w:sz w:val="24"/>
          <w:szCs w:val="24"/>
        </w:rPr>
        <w:instrText xml:space="preserve"> PAGEREF _Toc23226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_Toc5097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二、投标人资格条件</w:t>
      </w:r>
      <w:r>
        <w:rPr>
          <w:color w:val="auto"/>
          <w:sz w:val="24"/>
          <w:szCs w:val="24"/>
        </w:rPr>
        <w:tab/>
      </w:r>
      <w:r>
        <w:rPr>
          <w:color w:val="auto"/>
          <w:sz w:val="24"/>
          <w:szCs w:val="24"/>
        </w:rPr>
        <w:fldChar w:fldCharType="begin"/>
      </w:r>
      <w:r>
        <w:rPr>
          <w:color w:val="auto"/>
          <w:sz w:val="24"/>
          <w:szCs w:val="24"/>
        </w:rPr>
        <w:instrText xml:space="preserve"> PAGEREF _Toc5097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_Toc10792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三、比选有关说明</w:t>
      </w:r>
      <w:r>
        <w:rPr>
          <w:color w:val="auto"/>
          <w:sz w:val="24"/>
          <w:szCs w:val="24"/>
        </w:rPr>
        <w:tab/>
      </w:r>
      <w:r>
        <w:rPr>
          <w:color w:val="auto"/>
          <w:sz w:val="24"/>
          <w:szCs w:val="24"/>
        </w:rPr>
        <w:fldChar w:fldCharType="begin"/>
      </w:r>
      <w:r>
        <w:rPr>
          <w:color w:val="auto"/>
          <w:sz w:val="24"/>
          <w:szCs w:val="24"/>
        </w:rPr>
        <w:instrText xml:space="preserve"> PAGEREF _Toc10792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_Toc16311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、保证金</w:t>
      </w:r>
      <w:r>
        <w:rPr>
          <w:color w:val="auto"/>
          <w:sz w:val="24"/>
          <w:szCs w:val="24"/>
        </w:rPr>
        <w:tab/>
      </w:r>
      <w:r>
        <w:rPr>
          <w:color w:val="auto"/>
          <w:sz w:val="24"/>
          <w:szCs w:val="24"/>
        </w:rPr>
        <w:fldChar w:fldCharType="begin"/>
      </w:r>
      <w:r>
        <w:rPr>
          <w:color w:val="auto"/>
          <w:sz w:val="24"/>
          <w:szCs w:val="24"/>
        </w:rPr>
        <w:instrText xml:space="preserve"> PAGEREF _Toc16311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lang w:eastAsia="zh-CN"/>
        </w:rPr>
        <w:t>其他</w:t>
      </w:r>
      <w:r>
        <w:rPr>
          <w:color w:val="auto"/>
          <w:sz w:val="24"/>
          <w:szCs w:val="24"/>
        </w:rPr>
        <w:tab/>
      </w:r>
      <w:r>
        <w:rPr>
          <w:color w:val="auto"/>
          <w:sz w:val="24"/>
          <w:szCs w:val="24"/>
        </w:rPr>
        <w:fldChar w:fldCharType="begin"/>
      </w:r>
      <w:r>
        <w:rPr>
          <w:color w:val="auto"/>
          <w:sz w:val="24"/>
          <w:szCs w:val="24"/>
        </w:rPr>
        <w:instrText xml:space="preserve"> PAGEREF _Toc30228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_Toc30276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、联系方式</w:t>
      </w:r>
      <w:r>
        <w:rPr>
          <w:color w:val="auto"/>
          <w:sz w:val="24"/>
          <w:szCs w:val="24"/>
        </w:rPr>
        <w:tab/>
      </w:r>
      <w:r>
        <w:rPr>
          <w:color w:val="auto"/>
          <w:sz w:val="24"/>
          <w:szCs w:val="24"/>
        </w:rPr>
        <w:fldChar w:fldCharType="begin"/>
      </w:r>
      <w:r>
        <w:rPr>
          <w:color w:val="auto"/>
          <w:sz w:val="24"/>
          <w:szCs w:val="24"/>
        </w:rPr>
        <w:instrText xml:space="preserve"> PAGEREF _Toc30276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2"/>
        <w:tabs>
          <w:tab w:val="right" w:leader="dot" w:pos="9412"/>
        </w:tabs>
        <w:ind w:leftChars="200"/>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_Toc30927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第二篇 项目技术（质量）需求</w:t>
      </w:r>
      <w:r>
        <w:rPr>
          <w:color w:val="auto"/>
          <w:sz w:val="24"/>
          <w:szCs w:val="24"/>
        </w:rPr>
        <w:tab/>
      </w:r>
      <w:r>
        <w:rPr>
          <w:color w:val="auto"/>
          <w:sz w:val="24"/>
          <w:szCs w:val="24"/>
        </w:rPr>
        <w:fldChar w:fldCharType="begin"/>
      </w:r>
      <w:r>
        <w:rPr>
          <w:color w:val="auto"/>
          <w:sz w:val="24"/>
          <w:szCs w:val="24"/>
        </w:rPr>
        <w:instrText xml:space="preserve"> PAGEREF _Toc30927 \h </w:instrText>
      </w:r>
      <w:r>
        <w:rPr>
          <w:color w:val="auto"/>
          <w:sz w:val="24"/>
          <w:szCs w:val="24"/>
        </w:rPr>
        <w:fldChar w:fldCharType="separate"/>
      </w:r>
      <w:r>
        <w:rPr>
          <w:color w:val="auto"/>
          <w:sz w:val="24"/>
          <w:szCs w:val="24"/>
        </w:rPr>
        <w:t>- 5 -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_Toc31179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第三篇  项目商务需求</w:t>
      </w:r>
      <w:r>
        <w:rPr>
          <w:color w:val="auto"/>
          <w:sz w:val="24"/>
          <w:szCs w:val="24"/>
        </w:rPr>
        <w:tab/>
      </w:r>
      <w:r>
        <w:rPr>
          <w:color w:val="auto"/>
          <w:sz w:val="24"/>
          <w:szCs w:val="24"/>
        </w:rPr>
        <w:fldChar w:fldCharType="begin"/>
      </w:r>
      <w:r>
        <w:rPr>
          <w:color w:val="auto"/>
          <w:sz w:val="24"/>
          <w:szCs w:val="24"/>
        </w:rPr>
        <w:instrText xml:space="preserve"> PAGEREF _Toc31179 \h </w:instrText>
      </w:r>
      <w:r>
        <w:rPr>
          <w:color w:val="auto"/>
          <w:sz w:val="24"/>
          <w:szCs w:val="24"/>
        </w:rPr>
        <w:fldChar w:fldCharType="separate"/>
      </w:r>
      <w:r>
        <w:rPr>
          <w:color w:val="auto"/>
          <w:sz w:val="24"/>
          <w:szCs w:val="24"/>
        </w:rPr>
        <w:t>- 6 -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_Toc26417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篇  公开比选采购程序及方法、评审标准、无效响应和采购终止</w:t>
      </w:r>
      <w:r>
        <w:rPr>
          <w:color w:val="auto"/>
          <w:sz w:val="24"/>
          <w:szCs w:val="24"/>
        </w:rPr>
        <w:tab/>
      </w:r>
      <w:r>
        <w:rPr>
          <w:color w:val="auto"/>
          <w:sz w:val="24"/>
          <w:szCs w:val="24"/>
        </w:rPr>
        <w:fldChar w:fldCharType="begin"/>
      </w:r>
      <w:r>
        <w:rPr>
          <w:color w:val="auto"/>
          <w:sz w:val="24"/>
          <w:szCs w:val="24"/>
        </w:rPr>
        <w:instrText xml:space="preserve"> PAGEREF _Toc26417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_Toc28513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一、公开比选采购程序</w:t>
      </w:r>
      <w:r>
        <w:rPr>
          <w:color w:val="auto"/>
          <w:sz w:val="24"/>
          <w:szCs w:val="24"/>
        </w:rPr>
        <w:tab/>
      </w:r>
      <w:r>
        <w:rPr>
          <w:color w:val="auto"/>
          <w:sz w:val="24"/>
          <w:szCs w:val="24"/>
        </w:rPr>
        <w:fldChar w:fldCharType="begin"/>
      </w:r>
      <w:r>
        <w:rPr>
          <w:color w:val="auto"/>
          <w:sz w:val="24"/>
          <w:szCs w:val="24"/>
        </w:rPr>
        <w:instrText xml:space="preserve"> PAGEREF _Toc28513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_Toc16728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二、评标方法</w:t>
      </w:r>
      <w:r>
        <w:rPr>
          <w:color w:val="auto"/>
          <w:sz w:val="24"/>
          <w:szCs w:val="24"/>
        </w:rPr>
        <w:tab/>
      </w:r>
      <w:r>
        <w:rPr>
          <w:color w:val="auto"/>
          <w:sz w:val="24"/>
          <w:szCs w:val="24"/>
        </w:rPr>
        <w:fldChar w:fldCharType="begin"/>
      </w:r>
      <w:r>
        <w:rPr>
          <w:color w:val="auto"/>
          <w:sz w:val="24"/>
          <w:szCs w:val="24"/>
        </w:rPr>
        <w:instrText xml:space="preserve"> PAGEREF _Toc16728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_Toc14542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三、评审标准</w:t>
      </w:r>
      <w:r>
        <w:rPr>
          <w:color w:val="auto"/>
          <w:sz w:val="24"/>
          <w:szCs w:val="24"/>
        </w:rPr>
        <w:tab/>
      </w:r>
      <w:r>
        <w:rPr>
          <w:color w:val="auto"/>
          <w:sz w:val="24"/>
          <w:szCs w:val="24"/>
        </w:rPr>
        <w:fldChar w:fldCharType="begin"/>
      </w:r>
      <w:r>
        <w:rPr>
          <w:color w:val="auto"/>
          <w:sz w:val="24"/>
          <w:szCs w:val="24"/>
        </w:rPr>
        <w:instrText xml:space="preserve"> PAGEREF _Toc14542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_Toc17288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四、无效响应</w:t>
      </w:r>
      <w:r>
        <w:rPr>
          <w:color w:val="auto"/>
          <w:sz w:val="24"/>
          <w:szCs w:val="24"/>
        </w:rPr>
        <w:tab/>
      </w:r>
      <w:r>
        <w:rPr>
          <w:color w:val="auto"/>
          <w:sz w:val="24"/>
          <w:szCs w:val="24"/>
        </w:rPr>
        <w:fldChar w:fldCharType="begin"/>
      </w:r>
      <w:r>
        <w:rPr>
          <w:color w:val="auto"/>
          <w:sz w:val="24"/>
          <w:szCs w:val="24"/>
        </w:rPr>
        <w:instrText xml:space="preserve"> PAGEREF _Toc17288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_Toc25723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五、废标条款</w:t>
      </w:r>
      <w:r>
        <w:rPr>
          <w:color w:val="auto"/>
          <w:sz w:val="24"/>
          <w:szCs w:val="24"/>
        </w:rPr>
        <w:tab/>
      </w:r>
      <w:r>
        <w:rPr>
          <w:color w:val="auto"/>
          <w:sz w:val="24"/>
          <w:szCs w:val="24"/>
        </w:rPr>
        <w:fldChar w:fldCharType="begin"/>
      </w:r>
      <w:r>
        <w:rPr>
          <w:color w:val="auto"/>
          <w:sz w:val="24"/>
          <w:szCs w:val="24"/>
        </w:rPr>
        <w:instrText xml:space="preserve"> PAGEREF _Toc25723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篇  投标人须知</w:t>
      </w:r>
      <w:r>
        <w:rPr>
          <w:color w:val="auto"/>
          <w:sz w:val="24"/>
          <w:szCs w:val="24"/>
        </w:rPr>
        <w:tab/>
      </w:r>
      <w:r>
        <w:rPr>
          <w:color w:val="auto"/>
          <w:sz w:val="24"/>
          <w:szCs w:val="24"/>
        </w:rPr>
        <w:fldChar w:fldCharType="begin"/>
      </w:r>
      <w:r>
        <w:rPr>
          <w:color w:val="auto"/>
          <w:sz w:val="24"/>
          <w:szCs w:val="24"/>
        </w:rPr>
        <w:instrText xml:space="preserve"> PAGEREF _Toc16624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一、公开比选费用</w:t>
      </w:r>
      <w:r>
        <w:rPr>
          <w:color w:val="auto"/>
          <w:sz w:val="24"/>
          <w:szCs w:val="24"/>
        </w:rPr>
        <w:tab/>
      </w:r>
      <w:r>
        <w:rPr>
          <w:color w:val="auto"/>
          <w:sz w:val="24"/>
          <w:szCs w:val="24"/>
        </w:rPr>
        <w:fldChar w:fldCharType="begin"/>
      </w:r>
      <w:r>
        <w:rPr>
          <w:color w:val="auto"/>
          <w:sz w:val="24"/>
          <w:szCs w:val="24"/>
        </w:rPr>
        <w:instrText xml:space="preserve"> PAGEREF _Toc9624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_Toc8631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二、公开比选采购文件</w:t>
      </w:r>
      <w:r>
        <w:rPr>
          <w:color w:val="auto"/>
          <w:sz w:val="24"/>
          <w:szCs w:val="24"/>
        </w:rPr>
        <w:tab/>
      </w:r>
      <w:r>
        <w:rPr>
          <w:color w:val="auto"/>
          <w:sz w:val="24"/>
          <w:szCs w:val="24"/>
        </w:rPr>
        <w:fldChar w:fldCharType="begin"/>
      </w:r>
      <w:r>
        <w:rPr>
          <w:color w:val="auto"/>
          <w:sz w:val="24"/>
          <w:szCs w:val="24"/>
        </w:rPr>
        <w:instrText xml:space="preserve"> PAGEREF _Toc8631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_Toc9861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三、比选要求</w:t>
      </w:r>
      <w:r>
        <w:rPr>
          <w:color w:val="auto"/>
          <w:sz w:val="24"/>
          <w:szCs w:val="24"/>
        </w:rPr>
        <w:tab/>
      </w:r>
      <w:r>
        <w:rPr>
          <w:color w:val="auto"/>
          <w:sz w:val="24"/>
          <w:szCs w:val="24"/>
        </w:rPr>
        <w:fldChar w:fldCharType="begin"/>
      </w:r>
      <w:r>
        <w:rPr>
          <w:color w:val="auto"/>
          <w:sz w:val="24"/>
          <w:szCs w:val="24"/>
        </w:rPr>
        <w:instrText xml:space="preserve"> PAGEREF _Toc9861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_Toc1612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四、中标人的确认和变更</w:t>
      </w:r>
      <w:r>
        <w:rPr>
          <w:color w:val="auto"/>
          <w:sz w:val="24"/>
          <w:szCs w:val="24"/>
        </w:rPr>
        <w:tab/>
      </w:r>
      <w:r>
        <w:rPr>
          <w:color w:val="auto"/>
          <w:sz w:val="24"/>
          <w:szCs w:val="24"/>
        </w:rPr>
        <w:fldChar w:fldCharType="begin"/>
      </w:r>
      <w:r>
        <w:rPr>
          <w:color w:val="auto"/>
          <w:sz w:val="24"/>
          <w:szCs w:val="24"/>
        </w:rPr>
        <w:instrText xml:space="preserve"> PAGEREF _Toc1612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_Toc20309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五、成交通知</w:t>
      </w:r>
      <w:r>
        <w:rPr>
          <w:color w:val="auto"/>
          <w:sz w:val="24"/>
          <w:szCs w:val="24"/>
        </w:rPr>
        <w:tab/>
      </w:r>
      <w:r>
        <w:rPr>
          <w:color w:val="auto"/>
          <w:sz w:val="24"/>
          <w:szCs w:val="24"/>
        </w:rPr>
        <w:fldChar w:fldCharType="begin"/>
      </w:r>
      <w:r>
        <w:rPr>
          <w:color w:val="auto"/>
          <w:sz w:val="24"/>
          <w:szCs w:val="24"/>
        </w:rPr>
        <w:instrText xml:space="preserve"> PAGEREF _Toc20309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_Toc25162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六、质疑处理</w:t>
      </w:r>
      <w:r>
        <w:rPr>
          <w:color w:val="auto"/>
          <w:sz w:val="24"/>
          <w:szCs w:val="24"/>
        </w:rPr>
        <w:tab/>
      </w:r>
      <w:r>
        <w:rPr>
          <w:color w:val="auto"/>
          <w:sz w:val="24"/>
          <w:szCs w:val="24"/>
        </w:rPr>
        <w:fldChar w:fldCharType="begin"/>
      </w:r>
      <w:r>
        <w:rPr>
          <w:color w:val="auto"/>
          <w:sz w:val="24"/>
          <w:szCs w:val="24"/>
        </w:rPr>
        <w:instrText xml:space="preserve"> PAGEREF _Toc25162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_Toc10669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七、签订合同</w:t>
      </w:r>
      <w:r>
        <w:rPr>
          <w:color w:val="auto"/>
          <w:sz w:val="24"/>
          <w:szCs w:val="24"/>
        </w:rPr>
        <w:tab/>
      </w:r>
      <w:r>
        <w:rPr>
          <w:color w:val="auto"/>
          <w:sz w:val="24"/>
          <w:szCs w:val="24"/>
        </w:rPr>
        <w:fldChar w:fldCharType="begin"/>
      </w:r>
      <w:r>
        <w:rPr>
          <w:color w:val="auto"/>
          <w:sz w:val="24"/>
          <w:szCs w:val="24"/>
        </w:rPr>
        <w:instrText xml:space="preserve"> PAGEREF _Toc10669 \h </w:instrText>
      </w:r>
      <w:r>
        <w:rPr>
          <w:color w:val="auto"/>
          <w:sz w:val="24"/>
          <w:szCs w:val="24"/>
        </w:rPr>
        <w:fldChar w:fldCharType="separate"/>
      </w:r>
      <w:r>
        <w:rPr>
          <w:color w:val="auto"/>
          <w:sz w:val="24"/>
          <w:szCs w:val="24"/>
        </w:rPr>
        <w:t>- 12 -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_Toc13170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篇  响应文件编制要求</w:t>
      </w:r>
      <w:r>
        <w:rPr>
          <w:color w:val="auto"/>
          <w:sz w:val="24"/>
          <w:szCs w:val="24"/>
        </w:rPr>
        <w:tab/>
      </w:r>
      <w:r>
        <w:rPr>
          <w:color w:val="auto"/>
          <w:sz w:val="24"/>
          <w:szCs w:val="24"/>
        </w:rPr>
        <w:fldChar w:fldCharType="begin"/>
      </w:r>
      <w:r>
        <w:rPr>
          <w:color w:val="auto"/>
          <w:sz w:val="24"/>
          <w:szCs w:val="24"/>
        </w:rPr>
        <w:instrText xml:space="preserve"> PAGEREF _Toc13170 \h </w:instrText>
      </w:r>
      <w:r>
        <w:rPr>
          <w:color w:val="auto"/>
          <w:sz w:val="24"/>
          <w:szCs w:val="24"/>
        </w:rPr>
        <w:fldChar w:fldCharType="separate"/>
      </w:r>
      <w:r>
        <w:rPr>
          <w:color w:val="auto"/>
          <w:sz w:val="24"/>
          <w:szCs w:val="24"/>
        </w:rPr>
        <w:t>- 13 -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_Toc5191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一、经济部分</w:t>
      </w:r>
      <w:r>
        <w:rPr>
          <w:color w:val="auto"/>
          <w:sz w:val="24"/>
          <w:szCs w:val="24"/>
        </w:rPr>
        <w:tab/>
      </w:r>
      <w:r>
        <w:rPr>
          <w:color w:val="auto"/>
          <w:sz w:val="24"/>
          <w:szCs w:val="24"/>
        </w:rPr>
        <w:fldChar w:fldCharType="begin"/>
      </w:r>
      <w:r>
        <w:rPr>
          <w:color w:val="auto"/>
          <w:sz w:val="24"/>
          <w:szCs w:val="24"/>
        </w:rPr>
        <w:instrText xml:space="preserve"> PAGEREF _Toc5191 \h </w:instrText>
      </w:r>
      <w:r>
        <w:rPr>
          <w:color w:val="auto"/>
          <w:sz w:val="24"/>
          <w:szCs w:val="24"/>
        </w:rPr>
        <w:fldChar w:fldCharType="separate"/>
      </w:r>
      <w:r>
        <w:rPr>
          <w:color w:val="auto"/>
          <w:sz w:val="24"/>
          <w:szCs w:val="24"/>
        </w:rPr>
        <w:t>- 15 -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_Toc23947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二、技术部分</w:t>
      </w:r>
      <w:r>
        <w:rPr>
          <w:color w:val="auto"/>
          <w:sz w:val="24"/>
          <w:szCs w:val="24"/>
        </w:rPr>
        <w:tab/>
      </w:r>
      <w:r>
        <w:rPr>
          <w:color w:val="auto"/>
          <w:sz w:val="24"/>
          <w:szCs w:val="24"/>
        </w:rPr>
        <w:fldChar w:fldCharType="begin"/>
      </w:r>
      <w:r>
        <w:rPr>
          <w:color w:val="auto"/>
          <w:sz w:val="24"/>
          <w:szCs w:val="24"/>
        </w:rPr>
        <w:instrText xml:space="preserve"> PAGEREF _Toc23947 \h </w:instrText>
      </w:r>
      <w:r>
        <w:rPr>
          <w:color w:val="auto"/>
          <w:sz w:val="24"/>
          <w:szCs w:val="24"/>
        </w:rPr>
        <w:fldChar w:fldCharType="separate"/>
      </w:r>
      <w:r>
        <w:rPr>
          <w:color w:val="auto"/>
          <w:sz w:val="24"/>
          <w:szCs w:val="24"/>
        </w:rPr>
        <w:t>- 18 -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_Toc19426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三、商务部分</w:t>
      </w:r>
      <w:r>
        <w:rPr>
          <w:color w:val="auto"/>
          <w:sz w:val="24"/>
          <w:szCs w:val="24"/>
        </w:rPr>
        <w:tab/>
      </w:r>
      <w:r>
        <w:rPr>
          <w:color w:val="auto"/>
          <w:sz w:val="24"/>
          <w:szCs w:val="24"/>
        </w:rPr>
        <w:fldChar w:fldCharType="begin"/>
      </w:r>
      <w:r>
        <w:rPr>
          <w:color w:val="auto"/>
          <w:sz w:val="24"/>
          <w:szCs w:val="24"/>
        </w:rPr>
        <w:instrText xml:space="preserve"> PAGEREF _Toc19426 \h </w:instrText>
      </w:r>
      <w:r>
        <w:rPr>
          <w:color w:val="auto"/>
          <w:sz w:val="24"/>
          <w:szCs w:val="24"/>
        </w:rPr>
        <w:fldChar w:fldCharType="separate"/>
      </w:r>
      <w:r>
        <w:rPr>
          <w:color w:val="auto"/>
          <w:sz w:val="24"/>
          <w:szCs w:val="24"/>
        </w:rPr>
        <w:t>- 20 -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_Toc14888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四、资格条件</w:t>
      </w:r>
      <w:r>
        <w:rPr>
          <w:color w:val="auto"/>
          <w:sz w:val="24"/>
          <w:szCs w:val="24"/>
        </w:rPr>
        <w:tab/>
      </w:r>
      <w:r>
        <w:rPr>
          <w:color w:val="auto"/>
          <w:sz w:val="24"/>
          <w:szCs w:val="24"/>
        </w:rPr>
        <w:fldChar w:fldCharType="begin"/>
      </w:r>
      <w:r>
        <w:rPr>
          <w:color w:val="auto"/>
          <w:sz w:val="24"/>
          <w:szCs w:val="24"/>
        </w:rPr>
        <w:instrText xml:space="preserve"> PAGEREF _Toc14888 \h </w:instrText>
      </w:r>
      <w:r>
        <w:rPr>
          <w:color w:val="auto"/>
          <w:sz w:val="24"/>
          <w:szCs w:val="24"/>
        </w:rPr>
        <w:fldChar w:fldCharType="separate"/>
      </w:r>
      <w:r>
        <w:rPr>
          <w:color w:val="auto"/>
          <w:sz w:val="24"/>
          <w:szCs w:val="24"/>
        </w:rPr>
        <w:t>- 22 -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_Toc15465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4"/>
          <w:lang w:val="en-US" w:eastAsia="zh-CN"/>
        </w:rPr>
        <w:t>综合评标</w:t>
      </w:r>
      <w:r>
        <w:rPr>
          <w:rFonts w:hint="eastAsia" w:ascii="微软雅黑" w:hAnsi="微软雅黑" w:eastAsia="微软雅黑" w:cs="微软雅黑"/>
          <w:color w:val="auto"/>
          <w:sz w:val="24"/>
          <w:szCs w:val="24"/>
        </w:rPr>
        <w:t>资料</w:t>
      </w:r>
      <w:r>
        <w:rPr>
          <w:color w:val="auto"/>
          <w:sz w:val="24"/>
          <w:szCs w:val="24"/>
        </w:rPr>
        <w:tab/>
      </w:r>
      <w:r>
        <w:rPr>
          <w:color w:val="auto"/>
          <w:sz w:val="24"/>
          <w:szCs w:val="24"/>
        </w:rPr>
        <w:fldChar w:fldCharType="begin"/>
      </w:r>
      <w:r>
        <w:rPr>
          <w:color w:val="auto"/>
          <w:sz w:val="24"/>
          <w:szCs w:val="24"/>
        </w:rPr>
        <w:instrText xml:space="preserve"> PAGEREF _Toc15465 \h </w:instrText>
      </w:r>
      <w:r>
        <w:rPr>
          <w:color w:val="auto"/>
          <w:sz w:val="24"/>
          <w:szCs w:val="24"/>
        </w:rPr>
        <w:fldChar w:fldCharType="separate"/>
      </w:r>
      <w:r>
        <w:rPr>
          <w:color w:val="auto"/>
          <w:sz w:val="24"/>
          <w:szCs w:val="24"/>
        </w:rPr>
        <w:t>- 28 -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6" w:name="_Toc106030870"/>
      <w:bookmarkStart w:id="7" w:name="_Toc26011"/>
      <w:bookmarkStart w:id="8" w:name="_Toc11641050"/>
      <w:bookmarkStart w:id="9" w:name="_Toc12789052"/>
      <w:bookmarkStart w:id="10" w:name="_Toc24037"/>
      <w:bookmarkStart w:id="11" w:name="_Toc76462316"/>
      <w:r>
        <w:rPr>
          <w:rFonts w:hint="eastAsia" w:ascii="微软雅黑" w:hAnsi="微软雅黑" w:eastAsia="微软雅黑" w:cs="微软雅黑"/>
          <w:color w:val="auto"/>
          <w:sz w:val="44"/>
        </w:rPr>
        <w:t>第一篇  采购邀请书</w:t>
      </w:r>
      <w:bookmarkEnd w:id="6"/>
      <w:bookmarkEnd w:id="7"/>
      <w:bookmarkEnd w:id="8"/>
      <w:bookmarkEnd w:id="9"/>
      <w:bookmarkEnd w:id="10"/>
      <w:bookmarkEnd w:id="11"/>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生物安全柜</w:t>
      </w:r>
      <w:r>
        <w:rPr>
          <w:rFonts w:hint="eastAsia" w:ascii="微软雅黑" w:hAnsi="微软雅黑" w:eastAsia="微软雅黑" w:cs="微软雅黑"/>
          <w:color w:val="auto"/>
          <w:sz w:val="24"/>
          <w:szCs w:val="24"/>
          <w:u w:val="single"/>
          <w:lang w:eastAsia="zh-CN"/>
        </w:rPr>
        <w:t>（分包一）</w:t>
      </w:r>
      <w:r>
        <w:rPr>
          <w:rFonts w:hint="eastAsia" w:ascii="微软雅黑" w:hAnsi="微软雅黑" w:eastAsia="微软雅黑" w:cs="微软雅黑"/>
          <w:color w:val="auto"/>
          <w:sz w:val="24"/>
          <w:szCs w:val="24"/>
          <w:u w:val="single"/>
        </w:rPr>
        <w:t>项</w:t>
      </w:r>
      <w:r>
        <w:rPr>
          <w:rFonts w:hint="eastAsia" w:ascii="微软雅黑" w:hAnsi="微软雅黑" w:eastAsia="微软雅黑" w:cs="微软雅黑"/>
          <w:color w:val="auto"/>
          <w:sz w:val="24"/>
          <w:szCs w:val="24"/>
        </w:rPr>
        <w:t>目进行公开比选采购。欢迎有资格的投标人前来参与。</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 w:name="_Toc76462317"/>
      <w:bookmarkStart w:id="13" w:name="_Toc317775175"/>
      <w:bookmarkStart w:id="14" w:name="_Toc23226"/>
      <w:bookmarkStart w:id="15" w:name="_Toc106030871"/>
      <w:bookmarkStart w:id="16" w:name="_Toc3856"/>
      <w:bookmarkStart w:id="17" w:name="_Toc313893526"/>
      <w:r>
        <w:rPr>
          <w:rFonts w:hint="eastAsia" w:ascii="微软雅黑" w:hAnsi="微软雅黑" w:eastAsia="微软雅黑" w:cs="微软雅黑"/>
          <w:color w:val="auto"/>
          <w:sz w:val="24"/>
        </w:rPr>
        <w:t>一、公开比选采购内容</w:t>
      </w:r>
      <w:bookmarkEnd w:id="12"/>
      <w:bookmarkEnd w:id="13"/>
      <w:bookmarkEnd w:id="14"/>
      <w:bookmarkEnd w:id="15"/>
      <w:bookmarkEnd w:id="16"/>
      <w:bookmarkEnd w:id="17"/>
    </w:p>
    <w:tbl>
      <w:tblPr>
        <w:tblStyle w:val="58"/>
        <w:tblW w:w="45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8"/>
        <w:gridCol w:w="2786"/>
        <w:gridCol w:w="1611"/>
        <w:gridCol w:w="1472"/>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33"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18" w:name="_Toc106030872"/>
            <w:bookmarkStart w:id="19" w:name="_Toc76462318"/>
            <w:bookmarkStart w:id="20" w:name="_Toc373860293"/>
            <w:r>
              <w:rPr>
                <w:rFonts w:hint="eastAsia" w:ascii="微软雅黑" w:hAnsi="微软雅黑" w:eastAsia="微软雅黑" w:cs="微软雅黑"/>
                <w:b/>
                <w:bCs/>
                <w:color w:val="auto"/>
                <w:kern w:val="0"/>
                <w:sz w:val="21"/>
                <w:szCs w:val="24"/>
              </w:rPr>
              <w:t>项目编号</w:t>
            </w:r>
          </w:p>
        </w:tc>
        <w:tc>
          <w:tcPr>
            <w:tcW w:w="1625"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939"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最高</w:t>
            </w:r>
            <w:bookmarkStart w:id="194" w:name="_GoBack"/>
            <w:bookmarkEnd w:id="194"/>
            <w:r>
              <w:rPr>
                <w:rFonts w:hint="eastAsia" w:ascii="微软雅黑" w:hAnsi="微软雅黑" w:eastAsia="微软雅黑" w:cs="微软雅黑"/>
                <w:b/>
                <w:bCs/>
                <w:color w:val="auto"/>
                <w:kern w:val="0"/>
                <w:sz w:val="21"/>
                <w:szCs w:val="24"/>
              </w:rPr>
              <w:t>限价</w:t>
            </w:r>
          </w:p>
          <w:p>
            <w:pPr>
              <w:widowControl/>
              <w:jc w:val="center"/>
              <w:rPr>
                <w:rFonts w:hint="eastAsia" w:ascii="微软雅黑" w:hAnsi="微软雅黑" w:eastAsia="微软雅黑" w:cs="微软雅黑"/>
                <w:b/>
                <w:bCs/>
                <w:color w:val="auto"/>
                <w:kern w:val="0"/>
                <w:sz w:val="21"/>
                <w:szCs w:val="24"/>
                <w:lang w:eastAsia="zh-CN"/>
              </w:rPr>
            </w:pPr>
            <w:r>
              <w:rPr>
                <w:rFonts w:hint="eastAsia" w:ascii="微软雅黑" w:hAnsi="微软雅黑" w:eastAsia="微软雅黑" w:cs="微软雅黑"/>
                <w:b/>
                <w:bCs/>
                <w:color w:val="auto"/>
                <w:kern w:val="0"/>
                <w:sz w:val="21"/>
                <w:szCs w:val="24"/>
                <w:lang w:eastAsia="zh-CN"/>
              </w:rPr>
              <w:t>（万元）</w:t>
            </w:r>
          </w:p>
        </w:tc>
        <w:tc>
          <w:tcPr>
            <w:tcW w:w="85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投标保证金</w:t>
            </w:r>
          </w:p>
        </w:tc>
        <w:tc>
          <w:tcPr>
            <w:tcW w:w="742"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3"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auto"/>
                <w:kern w:val="0"/>
                <w:sz w:val="21"/>
                <w:szCs w:val="24"/>
                <w:lang w:val="en-US" w:eastAsia="zh-CN"/>
              </w:rPr>
              <w:t>YSB260145</w:t>
            </w:r>
          </w:p>
        </w:tc>
        <w:tc>
          <w:tcPr>
            <w:tcW w:w="16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生物安全柜（分包一）</w:t>
            </w:r>
          </w:p>
        </w:tc>
        <w:tc>
          <w:tcPr>
            <w:tcW w:w="93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12</w:t>
            </w:r>
          </w:p>
        </w:tc>
        <w:tc>
          <w:tcPr>
            <w:tcW w:w="85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2000元</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 w:name="_Toc9755"/>
      <w:bookmarkStart w:id="22" w:name="_Toc5097"/>
      <w:r>
        <w:rPr>
          <w:rFonts w:hint="eastAsia" w:ascii="微软雅黑" w:hAnsi="微软雅黑" w:eastAsia="微软雅黑" w:cs="微软雅黑"/>
          <w:color w:val="auto"/>
          <w:sz w:val="24"/>
        </w:rPr>
        <w:t>二、</w:t>
      </w:r>
      <w:bookmarkEnd w:id="18"/>
      <w:bookmarkEnd w:id="19"/>
      <w:bookmarkEnd w:id="21"/>
      <w:bookmarkStart w:id="23" w:name="_Toc106030873"/>
      <w:bookmarkStart w:id="24" w:name="_Toc4480"/>
      <w:bookmarkStart w:id="25" w:name="_Toc76462319"/>
      <w:r>
        <w:rPr>
          <w:rFonts w:hint="eastAsia" w:ascii="微软雅黑" w:hAnsi="微软雅黑" w:eastAsia="微软雅黑" w:cs="微软雅黑"/>
          <w:color w:val="auto"/>
          <w:sz w:val="24"/>
        </w:rPr>
        <w:t>投标人资格条件</w:t>
      </w:r>
      <w:bookmarkEnd w:id="22"/>
      <w:bookmarkEnd w:id="23"/>
      <w:bookmarkEnd w:id="24"/>
      <w:bookmarkEnd w:id="2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26" w:name="_Toc106030874"/>
      <w:bookmarkStart w:id="27" w:name="_Toc76462320"/>
      <w:bookmarkStart w:id="28" w:name="_Toc27954"/>
    </w:p>
    <w:p>
      <w:pPr>
        <w:snapToGrid w:val="0"/>
        <w:spacing w:line="400" w:lineRule="exact"/>
        <w:ind w:firstLine="480" w:firstLineChars="200"/>
        <w:rPr>
          <w:rFonts w:hint="eastAsia" w:ascii="微软雅黑" w:hAnsi="微软雅黑" w:eastAsia="微软雅黑" w:cs="微软雅黑"/>
          <w:color w:val="auto"/>
          <w:sz w:val="24"/>
          <w:szCs w:val="24"/>
        </w:rPr>
      </w:pPr>
      <w:bookmarkStart w:id="29" w:name="_Toc10792"/>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投标人医疗器械经营许可证；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所投产品</w:t>
      </w:r>
      <w:r>
        <w:rPr>
          <w:rFonts w:hint="eastAsia" w:ascii="微软雅黑" w:hAnsi="微软雅黑" w:eastAsia="微软雅黑" w:cs="微软雅黑"/>
          <w:color w:val="auto"/>
          <w:sz w:val="24"/>
          <w:szCs w:val="24"/>
          <w:lang w:eastAsia="zh-CN"/>
        </w:rPr>
        <w:t>若</w:t>
      </w:r>
      <w:r>
        <w:rPr>
          <w:rFonts w:hint="eastAsia" w:ascii="微软雅黑" w:hAnsi="微软雅黑" w:eastAsia="微软雅黑" w:cs="微软雅黑"/>
          <w:color w:val="auto"/>
          <w:sz w:val="24"/>
          <w:szCs w:val="24"/>
        </w:rPr>
        <w:t>属三类医疗器械的，须具备有效期内《医疗器械经营企业许可证》或《医疗器械经营许可证》</w:t>
      </w:r>
      <w:r>
        <w:rPr>
          <w:rFonts w:hint="eastAsia" w:ascii="微软雅黑" w:hAnsi="微软雅黑" w:eastAsia="微软雅黑" w:cs="微软雅黑"/>
          <w:color w:val="auto"/>
          <w:sz w:val="24"/>
          <w:szCs w:val="24"/>
          <w:lang w:val="en-US" w:eastAsia="zh-CN"/>
        </w:rPr>
        <w:t>及产品注册证</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w:t>
      </w:r>
      <w:r>
        <w:rPr>
          <w:rFonts w:hint="eastAsia" w:ascii="微软雅黑" w:hAnsi="微软雅黑" w:eastAsia="微软雅黑" w:cs="微软雅黑"/>
          <w:color w:val="auto"/>
          <w:sz w:val="24"/>
          <w:szCs w:val="24"/>
          <w:lang w:eastAsia="zh-CN"/>
        </w:rPr>
        <w:t>若</w:t>
      </w:r>
      <w:r>
        <w:rPr>
          <w:rFonts w:hint="eastAsia" w:ascii="微软雅黑" w:hAnsi="微软雅黑" w:eastAsia="微软雅黑" w:cs="微软雅黑"/>
          <w:color w:val="auto"/>
          <w:sz w:val="24"/>
          <w:szCs w:val="24"/>
        </w:rPr>
        <w:t>属二类医疗器械的，须具备有效期内《医疗器械经营企业许可证》或《第二类医疗器械经营备案凭证》</w:t>
      </w:r>
      <w:r>
        <w:rPr>
          <w:rFonts w:hint="eastAsia" w:ascii="微软雅黑" w:hAnsi="微软雅黑" w:eastAsia="微软雅黑" w:cs="微软雅黑"/>
          <w:color w:val="auto"/>
          <w:sz w:val="24"/>
          <w:szCs w:val="24"/>
          <w:lang w:val="en-US" w:eastAsia="zh-CN"/>
        </w:rPr>
        <w:t>及产品注册证</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w:t>
      </w:r>
      <w:r>
        <w:rPr>
          <w:rFonts w:hint="eastAsia" w:ascii="微软雅黑" w:hAnsi="微软雅黑" w:eastAsia="微软雅黑" w:cs="微软雅黑"/>
          <w:color w:val="auto"/>
          <w:sz w:val="24"/>
          <w:szCs w:val="24"/>
          <w:lang w:eastAsia="zh-CN"/>
        </w:rPr>
        <w:t>若</w:t>
      </w:r>
      <w:r>
        <w:rPr>
          <w:rFonts w:hint="eastAsia" w:ascii="微软雅黑" w:hAnsi="微软雅黑" w:eastAsia="微软雅黑" w:cs="微软雅黑"/>
          <w:color w:val="auto"/>
          <w:sz w:val="24"/>
          <w:szCs w:val="24"/>
        </w:rPr>
        <w:t>属一类医疗器械的，须具有所提供产品《第一类医疗器械备案凭证》及《第一类医疗器械备案信息表》</w:t>
      </w:r>
      <w:r>
        <w:rPr>
          <w:rFonts w:hint="eastAsia" w:ascii="微软雅黑" w:hAnsi="微软雅黑" w:eastAsia="微软雅黑" w:cs="微软雅黑"/>
          <w:color w:val="auto"/>
          <w:sz w:val="24"/>
          <w:szCs w:val="24"/>
          <w:lang w:val="en-US" w:eastAsia="zh-CN"/>
        </w:rPr>
        <w:t>及产品备案证明</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三、比选有关说明</w:t>
      </w:r>
      <w:bookmarkEnd w:id="20"/>
      <w:bookmarkEnd w:id="26"/>
      <w:bookmarkEnd w:id="27"/>
      <w:bookmarkEnd w:id="28"/>
      <w:bookmarkEnd w:id="29"/>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（二）凡有意参加公开比选采购的投标人，请在重庆医科大学附属儿童医院电子招投标平台下载本项目公开比选采购文件以及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0" w:name="_Toc4355"/>
      <w:bookmarkStart w:id="31" w:name="_Toc2945"/>
      <w:bookmarkStart w:id="32" w:name="_Toc525047162"/>
      <w:bookmarkStart w:id="33" w:name="_Toc1546"/>
      <w:bookmarkStart w:id="34" w:name="_Toc521053054"/>
      <w:bookmarkStart w:id="35" w:name="_Toc106034626"/>
      <w:bookmarkStart w:id="36" w:name="_Toc65660335"/>
      <w:bookmarkStart w:id="37" w:name="_Toc16311"/>
      <w:r>
        <w:rPr>
          <w:rFonts w:hint="eastAsia" w:ascii="微软雅黑" w:hAnsi="微软雅黑" w:eastAsia="微软雅黑" w:cs="微软雅黑"/>
          <w:color w:val="auto"/>
          <w:sz w:val="24"/>
          <w:lang w:val="en-US" w:eastAsia="zh-CN"/>
        </w:rPr>
        <w:t>四</w:t>
      </w:r>
      <w:r>
        <w:rPr>
          <w:rFonts w:hint="eastAsia" w:ascii="微软雅黑" w:hAnsi="微软雅黑" w:eastAsia="微软雅黑" w:cs="微软雅黑"/>
          <w:color w:val="auto"/>
          <w:sz w:val="24"/>
        </w:rPr>
        <w:t>、</w:t>
      </w:r>
      <w:bookmarkEnd w:id="30"/>
      <w:bookmarkEnd w:id="31"/>
      <w:bookmarkEnd w:id="32"/>
      <w:bookmarkEnd w:id="33"/>
      <w:bookmarkEnd w:id="34"/>
      <w:bookmarkEnd w:id="35"/>
      <w:bookmarkEnd w:id="36"/>
      <w:bookmarkStart w:id="38" w:name="_Toc16749"/>
      <w:bookmarkStart w:id="39" w:name="_Toc12841"/>
      <w:bookmarkStart w:id="40" w:name="_Toc521053053"/>
      <w:bookmarkStart w:id="41" w:name="_Toc106034625"/>
      <w:bookmarkStart w:id="42" w:name="_Toc65660334"/>
      <w:bookmarkStart w:id="43" w:name="_Toc525047161"/>
      <w:bookmarkStart w:id="44" w:name="_Toc6178"/>
      <w:bookmarkStart w:id="45" w:name="_Toc11956"/>
      <w:r>
        <w:rPr>
          <w:rFonts w:hint="eastAsia" w:ascii="微软雅黑" w:hAnsi="微软雅黑" w:eastAsia="微软雅黑" w:cs="微软雅黑"/>
          <w:color w:val="auto"/>
          <w:sz w:val="24"/>
        </w:rPr>
        <w:t>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5"/>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5"/>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1.未</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的保证金，在中标通知书发放后</w:t>
      </w:r>
      <w:r>
        <w:rPr>
          <w:rFonts w:hint="eastAsia" w:ascii="微软雅黑" w:hAnsi="微软雅黑" w:eastAsia="微软雅黑" w:cs="微软雅黑"/>
          <w:color w:val="auto"/>
          <w:sz w:val="24"/>
          <w:szCs w:val="24"/>
          <w:lang w:val="en-US" w:eastAsia="zh-CN"/>
        </w:rPr>
        <w:t>60</w:t>
      </w:r>
      <w:r>
        <w:rPr>
          <w:rFonts w:hint="eastAsia" w:ascii="微软雅黑" w:hAnsi="微软雅黑" w:eastAsia="微软雅黑" w:cs="微软雅黑"/>
          <w:color w:val="auto"/>
          <w:sz w:val="24"/>
          <w:szCs w:val="24"/>
        </w:rPr>
        <w:t>个</w:t>
      </w:r>
      <w:r>
        <w:rPr>
          <w:rFonts w:hint="eastAsia" w:ascii="微软雅黑" w:hAnsi="微软雅黑" w:eastAsia="微软雅黑" w:cs="微软雅黑"/>
          <w:color w:val="auto"/>
          <w:sz w:val="24"/>
          <w:szCs w:val="24"/>
          <w:lang w:val="en-US" w:eastAsia="zh-CN"/>
        </w:rPr>
        <w:t>工作</w:t>
      </w:r>
      <w:r>
        <w:rPr>
          <w:rFonts w:hint="eastAsia" w:ascii="微软雅黑" w:hAnsi="微软雅黑" w:eastAsia="微软雅黑" w:cs="微软雅黑"/>
          <w:color w:val="auto"/>
          <w:sz w:val="24"/>
          <w:szCs w:val="24"/>
        </w:rPr>
        <w:t>日内退还至项目报名时所填写指定的投标单位对公账户。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b w:val="0"/>
          <w:bCs/>
          <w:color w:val="auto"/>
          <w:sz w:val="24"/>
        </w:rPr>
      </w:pPr>
      <w:bookmarkStart w:id="46" w:name="_Toc23827"/>
      <w:r>
        <w:rPr>
          <w:rFonts w:hint="eastAsia" w:ascii="微软雅黑" w:hAnsi="微软雅黑" w:eastAsia="微软雅黑" w:cs="微软雅黑"/>
          <w:b w:val="0"/>
          <w:bCs/>
          <w:color w:val="auto"/>
          <w:sz w:val="24"/>
          <w:szCs w:val="24"/>
        </w:rPr>
        <w:t>2.</w:t>
      </w:r>
      <w:r>
        <w:rPr>
          <w:rFonts w:hint="eastAsia" w:ascii="微软雅黑" w:hAnsi="微软雅黑" w:eastAsia="微软雅黑" w:cs="微软雅黑"/>
          <w:b w:val="0"/>
          <w:bCs/>
          <w:color w:val="auto"/>
          <w:sz w:val="24"/>
          <w:szCs w:val="24"/>
          <w:lang w:eastAsia="zh-CN"/>
        </w:rPr>
        <w:t>中标人</w:t>
      </w:r>
      <w:r>
        <w:rPr>
          <w:rFonts w:hint="eastAsia" w:ascii="微软雅黑" w:hAnsi="微软雅黑" w:eastAsia="微软雅黑" w:cs="微软雅黑"/>
          <w:b w:val="0"/>
          <w:bCs/>
          <w:color w:val="auto"/>
          <w:sz w:val="24"/>
          <w:szCs w:val="24"/>
        </w:rPr>
        <w:t>的保证金，将在与我院完成签订本项目合同并提交</w:t>
      </w:r>
      <w:r>
        <w:rPr>
          <w:rFonts w:hint="eastAsia" w:ascii="微软雅黑" w:hAnsi="微软雅黑" w:eastAsia="微软雅黑" w:cs="微软雅黑"/>
          <w:b w:val="0"/>
          <w:bCs/>
          <w:color w:val="auto"/>
          <w:sz w:val="24"/>
          <w:szCs w:val="24"/>
          <w:lang w:eastAsia="zh-CN"/>
        </w:rPr>
        <w:t>采购管理处</w:t>
      </w:r>
      <w:r>
        <w:rPr>
          <w:rFonts w:hint="eastAsia" w:ascii="微软雅黑" w:hAnsi="微软雅黑" w:eastAsia="微软雅黑" w:cs="微软雅黑"/>
          <w:b w:val="0"/>
          <w:bCs/>
          <w:color w:val="auto"/>
          <w:sz w:val="24"/>
          <w:szCs w:val="24"/>
        </w:rPr>
        <w:t>公室（将合同扫描文件发送至zbb63632469@qq.com）之后</w:t>
      </w:r>
      <w:r>
        <w:rPr>
          <w:rFonts w:hint="eastAsia" w:ascii="微软雅黑" w:hAnsi="微软雅黑" w:eastAsia="微软雅黑" w:cs="微软雅黑"/>
          <w:b w:val="0"/>
          <w:bCs/>
          <w:color w:val="auto"/>
          <w:sz w:val="24"/>
          <w:szCs w:val="24"/>
          <w:lang w:val="en-US" w:eastAsia="zh-CN"/>
        </w:rPr>
        <w:t>60</w:t>
      </w:r>
      <w:r>
        <w:rPr>
          <w:rFonts w:hint="eastAsia" w:ascii="微软雅黑" w:hAnsi="微软雅黑" w:eastAsia="微软雅黑" w:cs="微软雅黑"/>
          <w:b w:val="0"/>
          <w:bCs/>
          <w:color w:val="auto"/>
          <w:sz w:val="24"/>
          <w:szCs w:val="24"/>
        </w:rPr>
        <w:t>个</w:t>
      </w:r>
      <w:r>
        <w:rPr>
          <w:rFonts w:hint="eastAsia" w:ascii="微软雅黑" w:hAnsi="微软雅黑" w:eastAsia="微软雅黑" w:cs="微软雅黑"/>
          <w:b w:val="0"/>
          <w:bCs/>
          <w:color w:val="auto"/>
          <w:sz w:val="24"/>
          <w:szCs w:val="24"/>
          <w:lang w:val="en-US" w:eastAsia="zh-CN"/>
        </w:rPr>
        <w:t>工作</w:t>
      </w:r>
      <w:r>
        <w:rPr>
          <w:rFonts w:hint="eastAsia" w:ascii="微软雅黑" w:hAnsi="微软雅黑" w:eastAsia="微软雅黑" w:cs="微软雅黑"/>
          <w:b w:val="0"/>
          <w:bCs/>
          <w:color w:val="auto"/>
          <w:sz w:val="24"/>
          <w:szCs w:val="24"/>
        </w:rPr>
        <w:t>日内，无息退还至项目报名时所填写的投标单位对公账户。</w:t>
      </w:r>
      <w:bookmarkEnd w:id="46"/>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7" w:name="_Toc30228"/>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lang w:eastAsia="zh-CN"/>
        </w:rPr>
        <w:t>其他</w:t>
      </w:r>
      <w:bookmarkEnd w:id="47"/>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采购管理处，否则即视为完全放弃对本公开比选采购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公开比选采购文件的全部内容。如发现缺页或附件不全，应及时提出，以便补齐。如有疑问，请在投标截止日前向招标单位提出，超过此时限规定，招标单位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48" w:name="_Toc1733"/>
      <w:bookmarkStart w:id="49" w:name="_Toc65660337"/>
      <w:bookmarkStart w:id="50" w:name="_Toc525047164"/>
      <w:bookmarkStart w:id="51" w:name="_Toc30276"/>
      <w:bookmarkStart w:id="52" w:name="_Toc106034628"/>
      <w:bookmarkStart w:id="53" w:name="_Toc24901"/>
      <w:bookmarkStart w:id="54" w:name="_Toc521053056"/>
      <w:bookmarkStart w:id="55" w:name="_Toc10415"/>
      <w:r>
        <w:rPr>
          <w:rFonts w:hint="eastAsia" w:ascii="微软雅黑" w:hAnsi="微软雅黑" w:eastAsia="微软雅黑" w:cs="微软雅黑"/>
          <w:color w:val="auto"/>
          <w:sz w:val="24"/>
          <w:lang w:val="en-US" w:eastAsia="zh-CN"/>
        </w:rPr>
        <w:t>六</w:t>
      </w:r>
      <w:r>
        <w:rPr>
          <w:rFonts w:hint="eastAsia" w:ascii="微软雅黑" w:hAnsi="微软雅黑" w:eastAsia="微软雅黑" w:cs="微软雅黑"/>
          <w:color w:val="auto"/>
          <w:sz w:val="24"/>
        </w:rPr>
        <w:t>、联系方式</w:t>
      </w:r>
      <w:bookmarkEnd w:id="48"/>
      <w:bookmarkEnd w:id="49"/>
      <w:bookmarkEnd w:id="50"/>
      <w:bookmarkEnd w:id="51"/>
      <w:bookmarkEnd w:id="52"/>
      <w:bookmarkEnd w:id="53"/>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5"/>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color w:val="auto"/>
          <w:sz w:val="44"/>
        </w:rPr>
      </w:pPr>
      <w:bookmarkStart w:id="56" w:name="_Toc32686"/>
      <w:bookmarkStart w:id="57" w:name="_Toc2070"/>
      <w:bookmarkStart w:id="58" w:name="_Toc5461"/>
      <w:bookmarkStart w:id="59" w:name="_Toc25639"/>
      <w:bookmarkStart w:id="60" w:name="_Toc8649"/>
      <w:bookmarkStart w:id="61" w:name="_Toc23143"/>
      <w:bookmarkStart w:id="62" w:name="_Toc19886"/>
      <w:bookmarkStart w:id="63" w:name="_Toc26176"/>
      <w:bookmarkStart w:id="64" w:name="_Toc12959"/>
      <w:bookmarkStart w:id="65" w:name="_Toc725"/>
      <w:bookmarkStart w:id="66" w:name="_Toc1625"/>
      <w:bookmarkStart w:id="67" w:name="_Toc1492"/>
      <w:bookmarkStart w:id="68" w:name="_Toc75793504"/>
      <w:bookmarkStart w:id="69" w:name="_Toc11017"/>
      <w:bookmarkStart w:id="70" w:name="_Toc2422"/>
      <w:bookmarkStart w:id="71" w:name="_Toc27431"/>
      <w:bookmarkStart w:id="72" w:name="_Toc106030380"/>
      <w:bookmarkStart w:id="73" w:name="_Toc30927"/>
      <w:bookmarkStart w:id="74" w:name="_Toc12789058"/>
      <w:r>
        <w:rPr>
          <w:rFonts w:hint="eastAsia" w:ascii="微软雅黑" w:hAnsi="微软雅黑" w:eastAsia="微软雅黑" w:cs="微软雅黑"/>
          <w:b/>
          <w:color w:val="auto"/>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color w:val="auto"/>
          <w:sz w:val="44"/>
        </w:rPr>
        <w:t>项目技术（质量）需求</w:t>
      </w:r>
      <w:bookmarkEnd w:id="71"/>
      <w:bookmarkEnd w:id="72"/>
      <w:bookmarkEnd w:id="73"/>
    </w:p>
    <w:p>
      <w:pPr>
        <w:ind w:firstLine="480" w:firstLineChars="200"/>
        <w:rPr>
          <w:rFonts w:hint="eastAsia" w:ascii="微软雅黑" w:hAnsi="微软雅黑" w:eastAsia="微软雅黑" w:cs="微软雅黑"/>
          <w:b/>
          <w:bCs/>
          <w:color w:val="auto"/>
          <w:sz w:val="24"/>
          <w:szCs w:val="24"/>
        </w:rPr>
      </w:pPr>
      <w:bookmarkStart w:id="75" w:name="_Toc19238"/>
      <w:bookmarkStart w:id="76" w:name="_Toc23504"/>
      <w:bookmarkStart w:id="77" w:name="_Toc4913"/>
      <w:bookmarkStart w:id="78" w:name="_Toc9261"/>
      <w:bookmarkStart w:id="79" w:name="_Toc22910"/>
      <w:bookmarkStart w:id="80" w:name="_Toc29985"/>
      <w:bookmarkStart w:id="81" w:name="_Toc7027"/>
      <w:bookmarkStart w:id="82" w:name="_Toc8370"/>
      <w:bookmarkStart w:id="83" w:name="_Toc23656"/>
      <w:bookmarkStart w:id="84" w:name="_Toc11703"/>
      <w:bookmarkStart w:id="85" w:name="_Toc4519"/>
      <w:bookmarkStart w:id="86" w:name="_Toc20979"/>
      <w:bookmarkStart w:id="87" w:name="_Toc106030381"/>
      <w:bookmarkStart w:id="88" w:name="_Toc4531"/>
      <w:bookmarkStart w:id="89" w:name="_Toc75793505"/>
      <w:r>
        <w:rPr>
          <w:rFonts w:hint="eastAsia" w:ascii="微软雅黑" w:hAnsi="微软雅黑" w:eastAsia="微软雅黑" w:cs="微软雅黑"/>
          <w:b/>
          <w:bCs/>
          <w:color w:val="auto"/>
          <w:sz w:val="24"/>
          <w:szCs w:val="24"/>
        </w:rPr>
        <w:t>一、项目一览表</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361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62"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462" w:type="dxa"/>
            <w:vAlign w:val="center"/>
          </w:tcPr>
          <w:p>
            <w:pPr>
              <w:jc w:val="center"/>
              <w:rPr>
                <w:rFonts w:hint="eastAsia" w:ascii="微软雅黑" w:hAnsi="微软雅黑" w:eastAsia="微软雅黑" w:cs="微软雅黑"/>
                <w:b/>
                <w:color w:val="auto"/>
                <w:sz w:val="24"/>
                <w:szCs w:val="24"/>
                <w:lang w:val="en-US"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w:t>
            </w:r>
          </w:p>
        </w:tc>
        <w:tc>
          <w:tcPr>
            <w:tcW w:w="3614"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u w:val="none"/>
              </w:rPr>
              <w:t>生物安全柜</w:t>
            </w:r>
            <w:r>
              <w:rPr>
                <w:rFonts w:hint="eastAsia" w:ascii="微软雅黑" w:hAnsi="微软雅黑" w:eastAsia="微软雅黑" w:cs="微软雅黑"/>
                <w:color w:val="auto"/>
                <w:sz w:val="24"/>
                <w:szCs w:val="24"/>
                <w:u w:val="none"/>
                <w:lang w:eastAsia="zh-CN"/>
              </w:rPr>
              <w:t>（分包一）</w:t>
            </w:r>
          </w:p>
        </w:tc>
        <w:tc>
          <w:tcPr>
            <w:tcW w:w="1462"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3台</w:t>
            </w:r>
          </w:p>
        </w:tc>
        <w:tc>
          <w:tcPr>
            <w:tcW w:w="1462" w:type="dxa"/>
            <w:vAlign w:val="center"/>
          </w:tcPr>
          <w:p>
            <w:pPr>
              <w:jc w:val="center"/>
              <w:rPr>
                <w:rFonts w:hint="eastAsia" w:ascii="微软雅黑" w:hAnsi="微软雅黑" w:eastAsia="微软雅黑" w:cs="微软雅黑"/>
                <w:color w:val="auto"/>
                <w:sz w:val="24"/>
                <w:szCs w:val="24"/>
                <w:lang w:val="en-US" w:eastAsia="zh-CN"/>
              </w:rPr>
            </w:pPr>
          </w:p>
        </w:tc>
      </w:tr>
    </w:tbl>
    <w:p>
      <w:pPr>
        <w:ind w:firstLine="480" w:firstLineChars="200"/>
        <w:rPr>
          <w:rFonts w:hint="eastAsia" w:ascii="微软雅黑" w:hAnsi="微软雅黑" w:eastAsia="微软雅黑" w:cs="微软雅黑"/>
          <w:color w:val="auto"/>
          <w:sz w:val="24"/>
          <w:szCs w:val="24"/>
        </w:rPr>
      </w:pPr>
      <w:bookmarkStart w:id="90" w:name="_Toc26453"/>
      <w:bookmarkStart w:id="91" w:name="_Toc23975"/>
      <w:bookmarkStart w:id="92" w:name="_Toc7792"/>
      <w:bookmarkStart w:id="93" w:name="_Toc32262"/>
      <w:bookmarkStart w:id="94" w:name="_Toc18800"/>
      <w:bookmarkStart w:id="95" w:name="_Toc5751"/>
      <w:bookmarkStart w:id="96" w:name="_Toc75793506"/>
      <w:bookmarkStart w:id="97" w:name="_Toc15696"/>
      <w:bookmarkStart w:id="98" w:name="_Toc10143"/>
      <w:bookmarkStart w:id="99" w:name="_Toc106030382"/>
      <w:bookmarkStart w:id="100" w:name="_Toc21817"/>
      <w:bookmarkStart w:id="101" w:name="_Toc27067"/>
      <w:bookmarkStart w:id="102" w:name="_Toc695"/>
      <w:bookmarkStart w:id="103" w:name="_Toc12568"/>
      <w:bookmarkStart w:id="104" w:name="_Toc18903"/>
      <w:bookmarkStart w:id="105" w:name="_Toc28205"/>
      <w:r>
        <w:rPr>
          <w:rFonts w:hint="eastAsia" w:ascii="微软雅黑" w:hAnsi="微软雅黑" w:eastAsia="微软雅黑" w:cs="微软雅黑"/>
          <w:b/>
          <w:bCs/>
          <w:color w:val="auto"/>
          <w:sz w:val="24"/>
          <w:szCs w:val="24"/>
        </w:rPr>
        <w:t>二、项目技术需求</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○1.气流模式：30%外排，70%循环；</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▲2.控制器：微电脑控制，位于柜体中部倾斜面，易于操作，管理员密码保护参数设定；</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○3.平均气流风速：沉降气流0.30 m/s、进气气流0. 50 m/s；</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▲4.过滤系统：两块原装进口ULPA级超高效微皱褶无间隔过滤器，针对&gt;0.12μm颗粒系过滤效率&gt;99.999%，针对&gt;0.3um颗粒系过滤效率&gt;99.9995%；</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○5.风机系统：DC ECM离心式外转子直流风机系统，功率&lt;310W；</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▲6.操作室洁净等级：1级洁净度，美联邦209 E标准1级洁净度或ISO 14644.1标准Class 3；</w:t>
      </w:r>
    </w:p>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8" w:type="default"/>
          <w:footerReference r:id="rId9" w:type="even"/>
          <w:pgSz w:w="11907" w:h="16840"/>
          <w:pgMar w:top="907" w:right="907" w:bottom="907" w:left="850" w:header="964" w:footer="992" w:gutter="0"/>
          <w:pgNumType w:fmt="numberInDash"/>
          <w:cols w:space="720" w:num="1"/>
          <w:docGrid w:linePitch="381" w:charSpace="0"/>
        </w:sectPr>
      </w:pPr>
      <w:r>
        <w:rPr>
          <w:rFonts w:hint="eastAsia" w:ascii="微软雅黑" w:hAnsi="微软雅黑" w:eastAsia="微软雅黑" w:cs="微软雅黑"/>
          <w:color w:val="auto"/>
          <w:sz w:val="24"/>
          <w:szCs w:val="24"/>
          <w:lang w:val="en-US" w:eastAsia="zh-CN"/>
        </w:rPr>
        <w:t>○7.噪音：噪音≤59 dBA。</w:t>
      </w:r>
    </w:p>
    <w:p>
      <w:pPr>
        <w:pStyle w:val="4"/>
        <w:spacing w:before="200" w:after="200" w:line="240" w:lineRule="auto"/>
        <w:jc w:val="center"/>
        <w:rPr>
          <w:rFonts w:hint="eastAsia" w:ascii="微软雅黑" w:hAnsi="微软雅黑" w:eastAsia="微软雅黑" w:cs="微软雅黑"/>
          <w:color w:val="auto"/>
          <w:sz w:val="44"/>
        </w:rPr>
      </w:pPr>
      <w:bookmarkStart w:id="106" w:name="_Toc7791"/>
      <w:bookmarkStart w:id="107" w:name="_Toc106030882"/>
      <w:bookmarkStart w:id="108" w:name="_Toc28649"/>
      <w:bookmarkStart w:id="109" w:name="_Toc31179"/>
      <w:bookmarkStart w:id="110" w:name="_Toc76462327"/>
      <w:r>
        <w:rPr>
          <w:rFonts w:hint="eastAsia" w:ascii="微软雅黑" w:hAnsi="微软雅黑" w:eastAsia="微软雅黑" w:cs="微软雅黑"/>
          <w:color w:val="auto"/>
          <w:sz w:val="44"/>
        </w:rPr>
        <w:t>第三篇  项目商务需求</w:t>
      </w:r>
      <w:bookmarkEnd w:id="106"/>
      <w:bookmarkEnd w:id="107"/>
      <w:bookmarkEnd w:id="108"/>
      <w:bookmarkEnd w:id="109"/>
      <w:bookmarkEnd w:id="110"/>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1"/>
        <w:gridCol w:w="9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交货期：中标人在收到采购人通知后在15个日历日内（或者在采购人临时具体书面指定天数内）将设备运到采购人指定交货地点。</w:t>
            </w:r>
          </w:p>
          <w:p>
            <w:pPr>
              <w:pStyle w:val="23"/>
              <w:keepNext w:val="0"/>
              <w:keepLines w:val="0"/>
              <w:pageBreakBefore w:val="0"/>
              <w:widowControl/>
              <w:kinsoku/>
              <w:wordWrap/>
              <w:overflowPunct/>
              <w:topLinePunct w:val="0"/>
              <w:autoSpaceDE/>
              <w:autoSpaceDN/>
              <w:bidi w:val="0"/>
              <w:spacing w:after="0" w:afterLines="0" w:line="360" w:lineRule="auto"/>
              <w:jc w:val="left"/>
              <w:textAlignment w:val="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交货地点：重庆医科大学附属儿童医院</w:t>
            </w:r>
          </w:p>
          <w:p>
            <w:pPr>
              <w:pStyle w:val="144"/>
              <w:widowControl/>
              <w:adjustRightInd w:val="0"/>
              <w:snapToGrid w:val="0"/>
              <w:spacing w:line="400" w:lineRule="exact"/>
              <w:jc w:val="left"/>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1.质保期：不低于5年；质保期内免费维修维保，免费更换所有需要的配件，质保期外免费维修，采购人只支付维修设备配件等费用，不得支付维修产生的差旅费等费用。</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2.</w:t>
            </w:r>
            <w:r>
              <w:rPr>
                <w:rFonts w:hint="eastAsia" w:ascii="微软雅黑" w:hAnsi="微软雅黑" w:eastAsia="微软雅黑" w:cs="微软雅黑"/>
                <w:color w:val="auto"/>
                <w:kern w:val="2"/>
                <w:sz w:val="24"/>
                <w:szCs w:val="24"/>
                <w:lang w:val="de-DE" w:eastAsia="zh-CN" w:bidi="ar-SA"/>
              </w:rPr>
              <w:t>机器故障应2</w:t>
            </w:r>
            <w:r>
              <w:rPr>
                <w:rFonts w:hint="eastAsia" w:ascii="微软雅黑" w:hAnsi="微软雅黑" w:eastAsia="微软雅黑" w:cs="微软雅黑"/>
                <w:color w:val="auto"/>
                <w:kern w:val="2"/>
                <w:sz w:val="24"/>
                <w:szCs w:val="24"/>
                <w:lang w:val="en-US" w:eastAsia="zh-CN" w:bidi="ar-SA"/>
              </w:rPr>
              <w:t>小时</w:t>
            </w:r>
            <w:r>
              <w:rPr>
                <w:rFonts w:hint="eastAsia" w:ascii="微软雅黑" w:hAnsi="微软雅黑" w:eastAsia="微软雅黑" w:cs="微软雅黑"/>
                <w:color w:val="auto"/>
                <w:kern w:val="2"/>
                <w:sz w:val="24"/>
                <w:szCs w:val="24"/>
                <w:lang w:val="de-DE" w:eastAsia="zh-CN" w:bidi="ar-SA"/>
              </w:rPr>
              <w:t>内故障响应，</w:t>
            </w:r>
            <w:r>
              <w:rPr>
                <w:rFonts w:hint="eastAsia" w:ascii="微软雅黑" w:hAnsi="微软雅黑" w:eastAsia="微软雅黑" w:cs="微软雅黑"/>
                <w:color w:val="auto"/>
                <w:kern w:val="2"/>
                <w:sz w:val="24"/>
                <w:szCs w:val="24"/>
                <w:lang w:val="en-US" w:eastAsia="zh-CN" w:bidi="ar-SA"/>
              </w:rPr>
              <w:t>4小时</w:t>
            </w:r>
            <w:r>
              <w:rPr>
                <w:rFonts w:hint="eastAsia" w:ascii="微软雅黑" w:hAnsi="微软雅黑" w:eastAsia="微软雅黑" w:cs="微软雅黑"/>
                <w:color w:val="auto"/>
                <w:kern w:val="2"/>
                <w:sz w:val="24"/>
                <w:szCs w:val="24"/>
                <w:lang w:val="de-DE" w:eastAsia="zh-CN" w:bidi="ar-SA"/>
              </w:rPr>
              <w:t>内到达现场解决故障。</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3.不能解决故障则应48小时内提供备用机或解决方案。</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4.</w:t>
            </w:r>
            <w:r>
              <w:rPr>
                <w:rFonts w:hint="eastAsia" w:ascii="微软雅黑" w:hAnsi="微软雅黑" w:eastAsia="微软雅黑" w:cs="微软雅黑"/>
                <w:color w:val="auto"/>
                <w:kern w:val="2"/>
                <w:sz w:val="24"/>
                <w:szCs w:val="24"/>
                <w:lang w:val="de-DE" w:eastAsia="zh-CN" w:bidi="ar-SA"/>
              </w:rPr>
              <w:t>提供维修技术资料。</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5.</w:t>
            </w:r>
            <w:r>
              <w:rPr>
                <w:rFonts w:hint="eastAsia" w:ascii="微软雅黑" w:hAnsi="微软雅黑" w:eastAsia="微软雅黑" w:cs="微软雅黑"/>
                <w:color w:val="auto"/>
                <w:kern w:val="2"/>
                <w:sz w:val="24"/>
                <w:szCs w:val="24"/>
                <w:lang w:val="de-DE" w:eastAsia="zh-CN" w:bidi="ar-SA"/>
              </w:rPr>
              <w:t>维修工程师免费上门安装、培训。</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6.</w:t>
            </w:r>
            <w:r>
              <w:rPr>
                <w:rFonts w:hint="eastAsia" w:ascii="微软雅黑" w:hAnsi="微软雅黑" w:eastAsia="微软雅黑" w:cs="微软雅黑"/>
                <w:color w:val="auto"/>
                <w:kern w:val="2"/>
                <w:sz w:val="24"/>
                <w:szCs w:val="24"/>
                <w:lang w:val="de-DE" w:eastAsia="zh-CN" w:bidi="ar-SA"/>
              </w:rPr>
              <w:t>一年不低于4次定期维护保养，</w:t>
            </w:r>
            <w:r>
              <w:rPr>
                <w:rFonts w:hint="eastAsia" w:ascii="微软雅黑" w:hAnsi="微软雅黑" w:eastAsia="微软雅黑" w:cs="微软雅黑"/>
                <w:color w:val="auto"/>
                <w:kern w:val="2"/>
                <w:sz w:val="24"/>
                <w:szCs w:val="24"/>
                <w:lang w:val="en-US" w:eastAsia="zh-CN" w:bidi="ar-SA"/>
              </w:rPr>
              <w:t>有故障情况发生，终身免费上门维修</w:t>
            </w:r>
            <w:r>
              <w:rPr>
                <w:rFonts w:hint="eastAsia" w:ascii="微软雅黑" w:hAnsi="微软雅黑" w:eastAsia="微软雅黑" w:cs="微软雅黑"/>
                <w:color w:val="auto"/>
                <w:kern w:val="2"/>
                <w:sz w:val="24"/>
                <w:szCs w:val="24"/>
                <w:lang w:val="de-DE" w:eastAsia="zh-CN" w:bidi="ar-SA"/>
              </w:rPr>
              <w:t>。</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7.</w:t>
            </w:r>
            <w:r>
              <w:rPr>
                <w:rFonts w:hint="eastAsia" w:ascii="微软雅黑" w:hAnsi="微软雅黑" w:eastAsia="微软雅黑" w:cs="微软雅黑"/>
                <w:color w:val="auto"/>
                <w:kern w:val="2"/>
                <w:sz w:val="24"/>
                <w:szCs w:val="24"/>
                <w:lang w:val="de-DE" w:eastAsia="zh-CN" w:bidi="ar-SA"/>
              </w:rPr>
              <w:t>有西南地区本地化服务机构和服务人员证明并且能够提供证明材料（公司的营业证等复印件加盖公章）。</w:t>
            </w:r>
          </w:p>
          <w:p>
            <w:pPr>
              <w:pStyle w:val="144"/>
              <w:widowControl/>
              <w:adjustRightInd w:val="0"/>
              <w:snapToGrid w:val="0"/>
              <w:spacing w:line="400" w:lineRule="exact"/>
              <w:jc w:val="left"/>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1.中标人按采购合同交货并安装调试完成，经验收合格后采购人出具项目验收报告；</w:t>
            </w:r>
          </w:p>
          <w:p>
            <w:pPr>
              <w:pStyle w:val="144"/>
              <w:snapToGrid w:val="0"/>
              <w:spacing w:line="400" w:lineRule="exact"/>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2.中标人向采购人开具发票，采购人于2个月内以转账方式向中标人支付合同全款。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lang w:eastAsia="zh-CN"/>
              </w:rPr>
            </w:pPr>
            <w:r>
              <w:rPr>
                <w:rFonts w:hint="eastAsia" w:ascii="微软雅黑" w:hAnsi="微软雅黑" w:eastAsia="微软雅黑" w:cs="微软雅黑"/>
                <w:b/>
                <w:bCs/>
                <w:color w:val="auto"/>
                <w:sz w:val="24"/>
                <w:szCs w:val="24"/>
                <w:lang w:val="en-US" w:eastAsia="zh-CN"/>
              </w:rPr>
              <w:t>知识产权</w:t>
            </w:r>
          </w:p>
        </w:tc>
        <w:tc>
          <w:tcPr>
            <w:tcW w:w="4277" w:type="pct"/>
            <w:vAlign w:val="center"/>
          </w:tcPr>
          <w:p>
            <w:pPr>
              <w:pStyle w:val="144"/>
              <w:snapToGrid w:val="0"/>
              <w:spacing w:line="400" w:lineRule="exac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采购人在中国境内使用中标人提供的货物及服务时免受第三方提出的侵犯其专利权或其他知识产权的起诉。如有第三方提出侵权指控，中标人应承担由此引起的一切法律责任和费用。</w:t>
            </w:r>
          </w:p>
        </w:tc>
      </w:tr>
    </w:tbl>
    <w:p>
      <w:pPr>
        <w:ind w:firstLine="480" w:firstLineChars="200"/>
        <w:rPr>
          <w:rFonts w:hint="eastAsia" w:ascii="微软雅黑" w:hAnsi="微软雅黑" w:eastAsia="微软雅黑" w:cs="微软雅黑"/>
          <w:b/>
          <w:bCs/>
          <w:color w:val="auto"/>
          <w:sz w:val="24"/>
          <w:szCs w:val="24"/>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10" w:type="default"/>
          <w:footerReference r:id="rId11" w:type="even"/>
          <w:pgSz w:w="11907" w:h="16840"/>
          <w:pgMar w:top="907" w:right="907" w:bottom="907" w:left="850" w:header="964" w:footer="992" w:gutter="0"/>
          <w:pgNumType w:fmt="numberInDash"/>
          <w:cols w:space="720" w:num="1"/>
          <w:docGrid w:linePitch="381" w:charSpace="0"/>
        </w:sectPr>
      </w:pPr>
    </w:p>
    <w:bookmarkEnd w:id="0"/>
    <w:bookmarkEnd w:id="1"/>
    <w:bookmarkEnd w:id="2"/>
    <w:bookmarkEnd w:id="3"/>
    <w:bookmarkEnd w:id="74"/>
    <w:p>
      <w:pPr>
        <w:pStyle w:val="4"/>
        <w:spacing w:before="200" w:after="200" w:line="240" w:lineRule="auto"/>
        <w:jc w:val="center"/>
        <w:rPr>
          <w:rFonts w:hint="eastAsia" w:ascii="微软雅黑" w:hAnsi="微软雅黑" w:eastAsia="微软雅黑" w:cs="微软雅黑"/>
          <w:color w:val="auto"/>
          <w:sz w:val="44"/>
        </w:rPr>
      </w:pPr>
      <w:bookmarkStart w:id="111" w:name="_Toc11315"/>
      <w:bookmarkStart w:id="112" w:name="_Toc26417"/>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四</w:t>
      </w:r>
      <w:r>
        <w:rPr>
          <w:rFonts w:hint="eastAsia" w:ascii="微软雅黑" w:hAnsi="微软雅黑" w:eastAsia="微软雅黑" w:cs="微软雅黑"/>
          <w:color w:val="auto"/>
          <w:sz w:val="44"/>
        </w:rPr>
        <w:t>篇  公开比选采购程序及方法、评审标准、无效响应和采购终止</w:t>
      </w:r>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3" w:name="_Toc25412"/>
      <w:bookmarkStart w:id="114" w:name="_Toc14958"/>
      <w:bookmarkStart w:id="115" w:name="_Toc106030888"/>
      <w:bookmarkStart w:id="116" w:name="_Toc26127"/>
      <w:bookmarkStart w:id="117" w:name="_Toc28513"/>
      <w:bookmarkStart w:id="118" w:name="_Toc76462333"/>
      <w:r>
        <w:rPr>
          <w:rFonts w:hint="eastAsia" w:ascii="微软雅黑" w:hAnsi="微软雅黑" w:eastAsia="微软雅黑" w:cs="微软雅黑"/>
          <w:color w:val="auto"/>
          <w:sz w:val="24"/>
        </w:rPr>
        <w:t>一、公开比选采购程序</w:t>
      </w:r>
      <w:bookmarkEnd w:id="113"/>
      <w:bookmarkEnd w:id="114"/>
      <w:bookmarkEnd w:id="115"/>
      <w:bookmarkEnd w:id="116"/>
      <w:bookmarkEnd w:id="117"/>
      <w:bookmarkEnd w:id="118"/>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投标人提供“基本资格条件承诺函”（格式详见</w:t>
            </w:r>
            <w:r>
              <w:rPr>
                <w:rFonts w:hint="eastAsia" w:ascii="微软雅黑" w:hAnsi="微软雅黑" w:eastAsia="微软雅黑" w:cs="微软雅黑"/>
                <w:color w:val="auto"/>
                <w:szCs w:val="21"/>
                <w:lang w:eastAsia="zh-CN"/>
              </w:rPr>
              <w:t>第六篇</w:t>
            </w:r>
            <w:r>
              <w:rPr>
                <w:rFonts w:hint="eastAsia" w:ascii="微软雅黑" w:hAnsi="微软雅黑" w:eastAsia="微软雅黑" w:cs="微软雅黑"/>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9" w:name="_Toc32269"/>
      <w:bookmarkStart w:id="120" w:name="_Toc32521"/>
      <w:bookmarkStart w:id="121" w:name="_Toc16728"/>
      <w:bookmarkStart w:id="122" w:name="_Toc25824"/>
      <w:r>
        <w:rPr>
          <w:rFonts w:hint="eastAsia" w:ascii="微软雅黑" w:hAnsi="微软雅黑" w:eastAsia="微软雅黑" w:cs="微软雅黑"/>
          <w:color w:val="auto"/>
          <w:sz w:val="24"/>
          <w:lang w:val="en-US" w:eastAsia="zh-CN"/>
        </w:rPr>
        <w:t>二、</w:t>
      </w:r>
      <w:bookmarkEnd w:id="119"/>
      <w:bookmarkEnd w:id="120"/>
      <w:bookmarkStart w:id="123" w:name="_Toc28874"/>
      <w:bookmarkStart w:id="124" w:name="_Toc23550"/>
      <w:r>
        <w:rPr>
          <w:rFonts w:hint="eastAsia" w:ascii="微软雅黑" w:hAnsi="微软雅黑" w:eastAsia="微软雅黑" w:cs="微软雅黑"/>
          <w:color w:val="auto"/>
          <w:sz w:val="24"/>
          <w:lang w:val="en-US" w:eastAsia="zh-CN"/>
        </w:rPr>
        <w:t>评标方法</w:t>
      </w:r>
      <w:bookmarkEnd w:id="121"/>
      <w:bookmarkEnd w:id="122"/>
      <w:bookmarkEnd w:id="123"/>
      <w:bookmarkEnd w:id="124"/>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按评审后得分由高到低的排列顺序推荐综合得分排名前三的投标人为本项目中标候选人，排名第一的为第一中标候选人。综合评分总分相同的，</w:t>
      </w:r>
      <w:r>
        <w:rPr>
          <w:rFonts w:hint="eastAsia" w:ascii="微软雅黑" w:hAnsi="微软雅黑" w:eastAsia="微软雅黑" w:cs="微软雅黑"/>
          <w:color w:val="auto"/>
          <w:sz w:val="24"/>
          <w:szCs w:val="24"/>
          <w:highlight w:val="none"/>
        </w:rPr>
        <w:t>按价格得分高低</w:t>
      </w:r>
      <w:r>
        <w:rPr>
          <w:rFonts w:hint="eastAsia" w:ascii="微软雅黑" w:hAnsi="微软雅黑" w:eastAsia="微软雅黑" w:cs="微软雅黑"/>
          <w:color w:val="auto"/>
          <w:sz w:val="24"/>
          <w:szCs w:val="24"/>
        </w:rPr>
        <w:t>顺序排列（投标报价相同的并列）。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25" w:name="_Toc18577"/>
      <w:bookmarkStart w:id="126" w:name="_Toc14542"/>
      <w:bookmarkStart w:id="127" w:name="_Toc76462334"/>
      <w:bookmarkStart w:id="128" w:name="_Toc29611"/>
      <w:bookmarkStart w:id="129" w:name="_Toc106030889"/>
      <w:bookmarkStart w:id="130" w:name="_Toc30944"/>
      <w:bookmarkStart w:id="131" w:name="_Toc2549"/>
      <w:r>
        <w:rPr>
          <w:rFonts w:hint="eastAsia" w:ascii="微软雅黑" w:hAnsi="微软雅黑" w:eastAsia="微软雅黑" w:cs="微软雅黑"/>
          <w:color w:val="auto"/>
          <w:sz w:val="24"/>
          <w:lang w:val="en-US" w:eastAsia="zh-CN"/>
        </w:rPr>
        <w:t>三、评审标准</w:t>
      </w:r>
      <w:bookmarkEnd w:id="125"/>
      <w:bookmarkEnd w:id="126"/>
      <w:bookmarkEnd w:id="127"/>
      <w:bookmarkEnd w:id="128"/>
      <w:bookmarkEnd w:id="129"/>
      <w:bookmarkEnd w:id="130"/>
      <w:bookmarkEnd w:id="131"/>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78"/>
        <w:gridCol w:w="2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bookmarkStart w:id="132" w:name="_Toc17288"/>
            <w:bookmarkStart w:id="133" w:name="_Toc8670"/>
            <w:bookmarkStart w:id="134" w:name="_Toc17606"/>
            <w:r>
              <w:rPr>
                <w:rFonts w:hint="default" w:ascii="微软雅黑" w:hAnsi="微软雅黑" w:eastAsia="微软雅黑" w:cs="微软雅黑"/>
                <w:color w:val="auto"/>
                <w:kern w:val="2"/>
                <w:sz w:val="21"/>
                <w:szCs w:val="21"/>
                <w:lang w:val="en-US" w:eastAsia="zh-CN" w:bidi="ar-SA"/>
              </w:rPr>
              <w:t>序号</w:t>
            </w:r>
          </w:p>
        </w:tc>
        <w:tc>
          <w:tcPr>
            <w:tcW w:w="1462"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评分因素</w:t>
            </w:r>
          </w:p>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及权重</w:t>
            </w:r>
          </w:p>
        </w:tc>
        <w:tc>
          <w:tcPr>
            <w:tcW w:w="913"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分值</w:t>
            </w:r>
          </w:p>
        </w:tc>
        <w:tc>
          <w:tcPr>
            <w:tcW w:w="3978"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评分标准</w:t>
            </w:r>
          </w:p>
        </w:tc>
        <w:tc>
          <w:tcPr>
            <w:tcW w:w="2440" w:type="dxa"/>
            <w:noWrap w:val="0"/>
            <w:vAlign w:val="center"/>
          </w:tcPr>
          <w:p>
            <w:pPr>
              <w:pStyle w:val="238"/>
              <w:spacing w:before="0" w:after="0" w:line="240" w:lineRule="auto"/>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1</w:t>
            </w:r>
          </w:p>
        </w:tc>
        <w:tc>
          <w:tcPr>
            <w:tcW w:w="1462"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投标报价</w:t>
            </w:r>
          </w:p>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（30%）</w:t>
            </w:r>
          </w:p>
        </w:tc>
        <w:tc>
          <w:tcPr>
            <w:tcW w:w="913"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30</w:t>
            </w: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有效的投标报价中的最低价为评标基准价，其价格分为满分。其他投标人的价格分统一按照下列公式计算：</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投标报价得分＝（评标基准价/投标报价）×价格权重×100。</w:t>
            </w:r>
          </w:p>
        </w:tc>
        <w:tc>
          <w:tcPr>
            <w:tcW w:w="2440" w:type="dxa"/>
            <w:noWrap w:val="0"/>
            <w:vAlign w:val="center"/>
          </w:tcPr>
          <w:p>
            <w:pPr>
              <w:ind w:left="-38"/>
              <w:rPr>
                <w:rFonts w:hint="default" w:ascii="微软雅黑" w:hAnsi="微软雅黑" w:eastAsia="微软雅黑" w:cs="微软雅黑"/>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28" w:type="dxa"/>
            <w:gridSpan w:val="5"/>
            <w:noWrap w:val="0"/>
            <w:vAlign w:val="center"/>
          </w:tcPr>
          <w:p>
            <w:pPr>
              <w:ind w:left="-38"/>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采购文件“技术（质量）需求”中“※”标注的技术需求为符合性审查中的实质性要求，若不满足按无效投标处理。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2</w:t>
            </w:r>
          </w:p>
        </w:tc>
        <w:tc>
          <w:tcPr>
            <w:tcW w:w="1462"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技术（质量）部分</w:t>
            </w:r>
          </w:p>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w:t>
            </w:r>
            <w:r>
              <w:rPr>
                <w:rFonts w:hint="eastAsia" w:ascii="微软雅黑" w:hAnsi="微软雅黑" w:eastAsia="微软雅黑" w:cs="微软雅黑"/>
                <w:color w:val="auto"/>
                <w:kern w:val="2"/>
                <w:sz w:val="21"/>
                <w:szCs w:val="21"/>
                <w:lang w:val="en-US" w:eastAsia="zh-CN" w:bidi="ar-SA"/>
              </w:rPr>
              <w:t>5</w:t>
            </w:r>
            <w:r>
              <w:rPr>
                <w:rFonts w:hint="default" w:ascii="微软雅黑" w:hAnsi="微软雅黑" w:eastAsia="微软雅黑" w:cs="微软雅黑"/>
                <w:color w:val="auto"/>
                <w:kern w:val="2"/>
                <w:sz w:val="21"/>
                <w:szCs w:val="21"/>
                <w:lang w:val="en-US" w:eastAsia="zh-CN" w:bidi="ar-SA"/>
              </w:rPr>
              <w:t>0%）</w:t>
            </w:r>
          </w:p>
        </w:tc>
        <w:tc>
          <w:tcPr>
            <w:tcW w:w="913"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5</w:t>
            </w:r>
            <w:r>
              <w:rPr>
                <w:rFonts w:hint="default" w:ascii="微软雅黑" w:hAnsi="微软雅黑" w:eastAsia="微软雅黑" w:cs="微软雅黑"/>
                <w:color w:val="auto"/>
                <w:kern w:val="2"/>
                <w:sz w:val="21"/>
                <w:szCs w:val="21"/>
                <w:lang w:val="en-US" w:eastAsia="zh-CN" w:bidi="ar-SA"/>
              </w:rPr>
              <w:t>0</w:t>
            </w: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1.起评分：</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有效投标人的起评分为</w:t>
            </w:r>
            <w:r>
              <w:rPr>
                <w:rFonts w:hint="eastAsia" w:ascii="微软雅黑" w:hAnsi="微软雅黑" w:eastAsia="微软雅黑" w:cs="微软雅黑"/>
                <w:color w:val="auto"/>
                <w:kern w:val="2"/>
                <w:sz w:val="21"/>
                <w:szCs w:val="21"/>
                <w:lang w:val="en-US" w:eastAsia="zh-CN" w:bidi="ar-SA"/>
              </w:rPr>
              <w:t>5</w:t>
            </w:r>
            <w:r>
              <w:rPr>
                <w:rFonts w:hint="default" w:ascii="微软雅黑" w:hAnsi="微软雅黑" w:eastAsia="微软雅黑" w:cs="微软雅黑"/>
                <w:color w:val="auto"/>
                <w:kern w:val="2"/>
                <w:sz w:val="21"/>
                <w:szCs w:val="21"/>
                <w:lang w:val="en-US" w:eastAsia="zh-CN" w:bidi="ar-SA"/>
              </w:rPr>
              <w:t>0分。</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2.扣分条款：</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2.1投标文件投标应答有一条不满足招标文件重要技术需求的（本招标文件第二篇中带“▲”号标注的部分，共计</w:t>
            </w:r>
            <w:r>
              <w:rPr>
                <w:rFonts w:hint="eastAsia" w:ascii="微软雅黑" w:hAnsi="微软雅黑" w:eastAsia="微软雅黑" w:cs="微软雅黑"/>
                <w:color w:val="auto"/>
                <w:kern w:val="2"/>
                <w:sz w:val="21"/>
                <w:szCs w:val="21"/>
                <w:lang w:val="en-US" w:eastAsia="zh-CN" w:bidi="ar-SA"/>
              </w:rPr>
              <w:t>3</w:t>
            </w:r>
            <w:r>
              <w:rPr>
                <w:rFonts w:hint="default" w:ascii="微软雅黑" w:hAnsi="微软雅黑" w:eastAsia="微软雅黑" w:cs="微软雅黑"/>
                <w:color w:val="auto"/>
                <w:kern w:val="2"/>
                <w:sz w:val="21"/>
                <w:szCs w:val="21"/>
                <w:lang w:val="en-US" w:eastAsia="zh-CN" w:bidi="ar-SA"/>
              </w:rPr>
              <w:t>条），从起评分中扣除</w:t>
            </w:r>
            <w:r>
              <w:rPr>
                <w:rFonts w:hint="eastAsia" w:ascii="微软雅黑" w:hAnsi="微软雅黑" w:eastAsia="微软雅黑" w:cs="微软雅黑"/>
                <w:color w:val="auto"/>
                <w:kern w:val="2"/>
                <w:sz w:val="21"/>
                <w:szCs w:val="21"/>
                <w:lang w:val="en-US" w:eastAsia="zh-CN" w:bidi="ar-SA"/>
              </w:rPr>
              <w:t>10</w:t>
            </w:r>
            <w:r>
              <w:rPr>
                <w:rFonts w:hint="default" w:ascii="微软雅黑" w:hAnsi="微软雅黑" w:eastAsia="微软雅黑" w:cs="微软雅黑"/>
                <w:color w:val="auto"/>
                <w:kern w:val="2"/>
                <w:sz w:val="21"/>
                <w:szCs w:val="21"/>
                <w:lang w:val="en-US" w:eastAsia="zh-CN" w:bidi="ar-SA"/>
              </w:rPr>
              <w:t>分，扣完为止。</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2.2投标文件投标应答有一条不满足招标文件一般性技术需求的（本招标文件第二篇中“○”号标注的部分，共计</w:t>
            </w:r>
            <w:r>
              <w:rPr>
                <w:rFonts w:hint="eastAsia" w:ascii="微软雅黑" w:hAnsi="微软雅黑" w:eastAsia="微软雅黑" w:cs="微软雅黑"/>
                <w:color w:val="auto"/>
                <w:kern w:val="2"/>
                <w:sz w:val="21"/>
                <w:szCs w:val="21"/>
                <w:lang w:val="en-US" w:eastAsia="zh-CN" w:bidi="ar-SA"/>
              </w:rPr>
              <w:t>4</w:t>
            </w:r>
            <w:r>
              <w:rPr>
                <w:rFonts w:hint="default" w:ascii="微软雅黑" w:hAnsi="微软雅黑" w:eastAsia="微软雅黑" w:cs="微软雅黑"/>
                <w:color w:val="auto"/>
                <w:kern w:val="2"/>
                <w:sz w:val="21"/>
                <w:szCs w:val="21"/>
                <w:lang w:val="en-US" w:eastAsia="zh-CN" w:bidi="ar-SA"/>
              </w:rPr>
              <w:t>条），从起评分中扣除</w:t>
            </w:r>
            <w:r>
              <w:rPr>
                <w:rFonts w:hint="eastAsia" w:ascii="微软雅黑" w:hAnsi="微软雅黑" w:eastAsia="微软雅黑" w:cs="微软雅黑"/>
                <w:color w:val="auto"/>
                <w:kern w:val="2"/>
                <w:sz w:val="21"/>
                <w:szCs w:val="21"/>
                <w:lang w:val="en-US" w:eastAsia="zh-CN" w:bidi="ar-SA"/>
              </w:rPr>
              <w:t>5</w:t>
            </w:r>
            <w:r>
              <w:rPr>
                <w:rFonts w:hint="default" w:ascii="微软雅黑" w:hAnsi="微软雅黑" w:eastAsia="微软雅黑" w:cs="微软雅黑"/>
                <w:color w:val="auto"/>
                <w:kern w:val="2"/>
                <w:sz w:val="21"/>
                <w:szCs w:val="21"/>
                <w:lang w:val="en-US" w:eastAsia="zh-CN" w:bidi="ar-SA"/>
              </w:rPr>
              <w:t>分，扣完为止。</w:t>
            </w:r>
          </w:p>
        </w:tc>
        <w:tc>
          <w:tcPr>
            <w:tcW w:w="2440" w:type="dxa"/>
            <w:noWrap w:val="0"/>
            <w:vAlign w:val="center"/>
          </w:tcPr>
          <w:p>
            <w:pPr>
              <w:rPr>
                <w:rFonts w:hint="default" w:ascii="微软雅黑" w:hAnsi="微软雅黑" w:eastAsia="微软雅黑" w:cs="微软雅黑"/>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28" w:type="dxa"/>
            <w:gridSpan w:val="5"/>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投标人的应答应满足招标文件“商务需求”，有一条不满足的（“※”号标注的部分除外），商务部分得分为0分，不再进入商务部分的评审。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1" w:hRule="atLeast"/>
          <w:jc w:val="center"/>
        </w:trPr>
        <w:tc>
          <w:tcPr>
            <w:tcW w:w="835" w:type="dxa"/>
            <w:vMerge w:val="restart"/>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3</w:t>
            </w:r>
          </w:p>
        </w:tc>
        <w:tc>
          <w:tcPr>
            <w:tcW w:w="1462" w:type="dxa"/>
            <w:vMerge w:val="restart"/>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商务部分</w:t>
            </w:r>
          </w:p>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w:t>
            </w:r>
            <w:r>
              <w:rPr>
                <w:rFonts w:hint="eastAsia" w:ascii="微软雅黑" w:hAnsi="微软雅黑" w:eastAsia="微软雅黑" w:cs="微软雅黑"/>
                <w:color w:val="auto"/>
                <w:kern w:val="2"/>
                <w:sz w:val="21"/>
                <w:szCs w:val="21"/>
                <w:lang w:val="en-US" w:eastAsia="zh-CN" w:bidi="ar-SA"/>
              </w:rPr>
              <w:t>2</w:t>
            </w:r>
            <w:r>
              <w:rPr>
                <w:rFonts w:hint="default" w:ascii="微软雅黑" w:hAnsi="微软雅黑" w:eastAsia="微软雅黑" w:cs="微软雅黑"/>
                <w:color w:val="auto"/>
                <w:kern w:val="2"/>
                <w:sz w:val="21"/>
                <w:szCs w:val="21"/>
                <w:lang w:val="en-US" w:eastAsia="zh-CN" w:bidi="ar-SA"/>
              </w:rPr>
              <w:t>0%）</w:t>
            </w:r>
          </w:p>
        </w:tc>
        <w:tc>
          <w:tcPr>
            <w:tcW w:w="913" w:type="dxa"/>
            <w:vMerge w:val="restart"/>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售后服务</w:t>
            </w:r>
            <w:r>
              <w:rPr>
                <w:rFonts w:hint="eastAsia" w:ascii="微软雅黑" w:hAnsi="微软雅黑" w:eastAsia="微软雅黑" w:cs="微软雅黑"/>
                <w:color w:val="auto"/>
                <w:kern w:val="2"/>
                <w:sz w:val="21"/>
                <w:szCs w:val="21"/>
                <w:lang w:val="en-US" w:eastAsia="zh-CN" w:bidi="ar-SA"/>
              </w:rPr>
              <w:t>15</w:t>
            </w: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1.维保服务方案</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投标人提供维保服务方案，方案内容包括日常维修保养、巡查、年度大保养计划。方案内容不存在瑕疵，得</w:t>
            </w:r>
            <w:r>
              <w:rPr>
                <w:rFonts w:hint="eastAsia" w:ascii="微软雅黑" w:hAnsi="微软雅黑" w:eastAsia="微软雅黑" w:cs="微软雅黑"/>
                <w:color w:val="auto"/>
                <w:kern w:val="2"/>
                <w:sz w:val="21"/>
                <w:szCs w:val="21"/>
                <w:lang w:val="en-US" w:eastAsia="zh-CN" w:bidi="ar-SA"/>
              </w:rPr>
              <w:t>2</w:t>
            </w:r>
            <w:r>
              <w:rPr>
                <w:rFonts w:hint="default" w:ascii="微软雅黑" w:hAnsi="微软雅黑" w:eastAsia="微软雅黑" w:cs="微软雅黑"/>
                <w:color w:val="auto"/>
                <w:kern w:val="2"/>
                <w:sz w:val="21"/>
                <w:szCs w:val="21"/>
                <w:lang w:val="en-US" w:eastAsia="zh-CN" w:bidi="ar-SA"/>
              </w:rPr>
              <w:t>分；</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方案内容存在1处瑕疵，得</w:t>
            </w:r>
            <w:r>
              <w:rPr>
                <w:rFonts w:hint="eastAsia" w:ascii="微软雅黑" w:hAnsi="微软雅黑" w:eastAsia="微软雅黑" w:cs="微软雅黑"/>
                <w:color w:val="auto"/>
                <w:kern w:val="2"/>
                <w:sz w:val="21"/>
                <w:szCs w:val="21"/>
                <w:lang w:val="en-US" w:eastAsia="zh-CN" w:bidi="ar-SA"/>
              </w:rPr>
              <w:t>1</w:t>
            </w:r>
            <w:r>
              <w:rPr>
                <w:rFonts w:hint="default" w:ascii="微软雅黑" w:hAnsi="微软雅黑" w:eastAsia="微软雅黑" w:cs="微软雅黑"/>
                <w:color w:val="auto"/>
                <w:kern w:val="2"/>
                <w:sz w:val="21"/>
                <w:szCs w:val="21"/>
                <w:lang w:val="en-US" w:eastAsia="zh-CN" w:bidi="ar-SA"/>
              </w:rPr>
              <w:t>分；</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方案内容存在</w:t>
            </w:r>
            <w:r>
              <w:rPr>
                <w:rFonts w:hint="eastAsia" w:ascii="微软雅黑" w:hAnsi="微软雅黑" w:eastAsia="微软雅黑" w:cs="微软雅黑"/>
                <w:color w:val="auto"/>
                <w:kern w:val="2"/>
                <w:sz w:val="21"/>
                <w:szCs w:val="21"/>
                <w:lang w:val="en-US" w:eastAsia="zh-CN" w:bidi="ar-SA"/>
              </w:rPr>
              <w:t>2</w:t>
            </w:r>
            <w:r>
              <w:rPr>
                <w:rFonts w:hint="default" w:ascii="微软雅黑" w:hAnsi="微软雅黑" w:eastAsia="微软雅黑" w:cs="微软雅黑"/>
                <w:color w:val="auto"/>
                <w:kern w:val="2"/>
                <w:sz w:val="21"/>
                <w:szCs w:val="21"/>
                <w:lang w:val="en-US" w:eastAsia="zh-CN" w:bidi="ar-SA"/>
              </w:rPr>
              <w:t>处及以上瑕疵或未提供方案得0分。</w:t>
            </w:r>
          </w:p>
        </w:tc>
        <w:tc>
          <w:tcPr>
            <w:tcW w:w="2440" w:type="dxa"/>
            <w:vMerge w:val="restart"/>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提供方案，格式自拟。</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注：本项内容中所称的“瑕疵”指以下内容：</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①方案内容缺项、内容表述不完整或缺少维保服务内容或售后服务内容中任意一项内容的针对性分析或介绍</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②方案内容表述前后矛盾、无连贯性</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③维保服务范围或售后服务范围覆盖不全、服务流程低效</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④方案内容存在逻辑漏洞、常识错误、维保服务或售后服务流程并不适用本项目特性和或非专门针对本项目特征制定</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⑤方案内容并无体现时效性的售后处理计划或保养巡查计划安排</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⑥方案中提出的措施不利于本项目目标的实现</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⑦现有科学技术条件下不可能实现的情形；</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上述任意一种情形为1处瑕疵。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835"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1462"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913"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2.售后服务方案</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根据投标人提供的售后服务方案进行评审，方案内容包括售后服务流程、售后服务范围、维修时间等。</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方案内容不存在瑕疵，得</w:t>
            </w:r>
            <w:r>
              <w:rPr>
                <w:rFonts w:hint="eastAsia" w:ascii="微软雅黑" w:hAnsi="微软雅黑" w:eastAsia="微软雅黑" w:cs="微软雅黑"/>
                <w:color w:val="auto"/>
                <w:kern w:val="2"/>
                <w:sz w:val="21"/>
                <w:szCs w:val="21"/>
                <w:lang w:val="en-US" w:eastAsia="zh-CN" w:bidi="ar-SA"/>
              </w:rPr>
              <w:t>2</w:t>
            </w:r>
            <w:r>
              <w:rPr>
                <w:rFonts w:hint="default" w:ascii="微软雅黑" w:hAnsi="微软雅黑" w:eastAsia="微软雅黑" w:cs="微软雅黑"/>
                <w:color w:val="auto"/>
                <w:kern w:val="2"/>
                <w:sz w:val="21"/>
                <w:szCs w:val="21"/>
                <w:lang w:val="en-US" w:eastAsia="zh-CN" w:bidi="ar-SA"/>
              </w:rPr>
              <w:t>分；</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方案内容存在1处瑕疵，得</w:t>
            </w:r>
            <w:r>
              <w:rPr>
                <w:rFonts w:hint="eastAsia" w:ascii="微软雅黑" w:hAnsi="微软雅黑" w:eastAsia="微软雅黑" w:cs="微软雅黑"/>
                <w:color w:val="auto"/>
                <w:kern w:val="2"/>
                <w:sz w:val="21"/>
                <w:szCs w:val="21"/>
                <w:lang w:val="en-US" w:eastAsia="zh-CN" w:bidi="ar-SA"/>
              </w:rPr>
              <w:t>1</w:t>
            </w:r>
            <w:r>
              <w:rPr>
                <w:rFonts w:hint="default" w:ascii="微软雅黑" w:hAnsi="微软雅黑" w:eastAsia="微软雅黑" w:cs="微软雅黑"/>
                <w:color w:val="auto"/>
                <w:kern w:val="2"/>
                <w:sz w:val="21"/>
                <w:szCs w:val="21"/>
                <w:lang w:val="en-US" w:eastAsia="zh-CN" w:bidi="ar-SA"/>
              </w:rPr>
              <w:t>分；</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方案内容存在</w:t>
            </w:r>
            <w:r>
              <w:rPr>
                <w:rFonts w:hint="eastAsia" w:ascii="微软雅黑" w:hAnsi="微软雅黑" w:eastAsia="微软雅黑" w:cs="微软雅黑"/>
                <w:color w:val="auto"/>
                <w:kern w:val="2"/>
                <w:sz w:val="21"/>
                <w:szCs w:val="21"/>
                <w:lang w:val="en-US" w:eastAsia="zh-CN" w:bidi="ar-SA"/>
              </w:rPr>
              <w:t>2</w:t>
            </w:r>
            <w:r>
              <w:rPr>
                <w:rFonts w:hint="default" w:ascii="微软雅黑" w:hAnsi="微软雅黑" w:eastAsia="微软雅黑" w:cs="微软雅黑"/>
                <w:color w:val="auto"/>
                <w:kern w:val="2"/>
                <w:sz w:val="21"/>
                <w:szCs w:val="21"/>
                <w:lang w:val="en-US" w:eastAsia="zh-CN" w:bidi="ar-SA"/>
              </w:rPr>
              <w:t>处及以上瑕疵或未提供方案得0分。</w:t>
            </w:r>
          </w:p>
        </w:tc>
        <w:tc>
          <w:tcPr>
            <w:tcW w:w="2440" w:type="dxa"/>
            <w:vMerge w:val="continue"/>
            <w:noWrap w:val="0"/>
            <w:vAlign w:val="center"/>
          </w:tcPr>
          <w:p>
            <w:pPr>
              <w:rPr>
                <w:rFonts w:hint="default" w:ascii="微软雅黑" w:hAnsi="微软雅黑" w:eastAsia="微软雅黑" w:cs="微软雅黑"/>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835"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1462"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913"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3.质量保证期</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所投产品质量保证期在满足招标文件质保期要求的前提下，每增加1年加</w:t>
            </w:r>
            <w:r>
              <w:rPr>
                <w:rFonts w:hint="eastAsia" w:ascii="微软雅黑" w:hAnsi="微软雅黑" w:eastAsia="微软雅黑" w:cs="微软雅黑"/>
                <w:color w:val="auto"/>
                <w:kern w:val="2"/>
                <w:sz w:val="21"/>
                <w:szCs w:val="21"/>
                <w:lang w:val="en-US" w:eastAsia="zh-CN" w:bidi="ar-SA"/>
              </w:rPr>
              <w:t>1</w:t>
            </w:r>
            <w:r>
              <w:rPr>
                <w:rFonts w:hint="default" w:ascii="微软雅黑" w:hAnsi="微软雅黑" w:eastAsia="微软雅黑" w:cs="微软雅黑"/>
                <w:color w:val="auto"/>
                <w:kern w:val="2"/>
                <w:sz w:val="21"/>
                <w:szCs w:val="21"/>
                <w:lang w:val="en-US" w:eastAsia="zh-CN" w:bidi="ar-SA"/>
              </w:rPr>
              <w:t>分，本项最多加</w:t>
            </w:r>
            <w:r>
              <w:rPr>
                <w:rFonts w:hint="eastAsia" w:ascii="微软雅黑" w:hAnsi="微软雅黑" w:eastAsia="微软雅黑" w:cs="微软雅黑"/>
                <w:color w:val="auto"/>
                <w:kern w:val="2"/>
                <w:sz w:val="21"/>
                <w:szCs w:val="21"/>
                <w:lang w:val="en-US" w:eastAsia="zh-CN" w:bidi="ar-SA"/>
              </w:rPr>
              <w:t>5</w:t>
            </w:r>
            <w:r>
              <w:rPr>
                <w:rFonts w:hint="default" w:ascii="微软雅黑" w:hAnsi="微软雅黑" w:eastAsia="微软雅黑" w:cs="微软雅黑"/>
                <w:color w:val="auto"/>
                <w:kern w:val="2"/>
                <w:sz w:val="21"/>
                <w:szCs w:val="21"/>
                <w:lang w:val="en-US" w:eastAsia="zh-CN" w:bidi="ar-SA"/>
              </w:rPr>
              <w:t>分。</w:t>
            </w:r>
          </w:p>
        </w:tc>
        <w:tc>
          <w:tcPr>
            <w:tcW w:w="2440"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以投标人响应情况或提供承诺函为准（两者二选一提供）。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835"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1462"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913"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p>
        </w:tc>
        <w:tc>
          <w:tcPr>
            <w:tcW w:w="2440" w:type="dxa"/>
            <w:noWrap w:val="0"/>
            <w:vAlign w:val="center"/>
          </w:tcPr>
          <w:p>
            <w:pPr>
              <w:rPr>
                <w:rFonts w:hint="default" w:ascii="微软雅黑" w:hAnsi="微软雅黑" w:eastAsia="微软雅黑" w:cs="微软雅黑"/>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835"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1462"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913"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4.质保期后要求</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投标人承诺，质保期到期后，每年所投产品维保费≤中标单价金额的5%得</w:t>
            </w:r>
            <w:r>
              <w:rPr>
                <w:rFonts w:hint="eastAsia" w:ascii="微软雅黑" w:hAnsi="微软雅黑" w:eastAsia="微软雅黑" w:cs="微软雅黑"/>
                <w:color w:val="auto"/>
                <w:kern w:val="2"/>
                <w:sz w:val="21"/>
                <w:szCs w:val="21"/>
                <w:lang w:val="en-US" w:eastAsia="zh-CN" w:bidi="ar-SA"/>
              </w:rPr>
              <w:t>3</w:t>
            </w:r>
            <w:r>
              <w:rPr>
                <w:rFonts w:hint="default" w:ascii="微软雅黑" w:hAnsi="微软雅黑" w:eastAsia="微软雅黑" w:cs="微软雅黑"/>
                <w:color w:val="auto"/>
                <w:kern w:val="2"/>
                <w:sz w:val="21"/>
                <w:szCs w:val="21"/>
                <w:lang w:val="en-US" w:eastAsia="zh-CN" w:bidi="ar-SA"/>
              </w:rPr>
              <w:t>分，维保费为中标单价金额的5%（不含）-6%得</w:t>
            </w:r>
            <w:r>
              <w:rPr>
                <w:rFonts w:hint="eastAsia" w:ascii="微软雅黑" w:hAnsi="微软雅黑" w:eastAsia="微软雅黑" w:cs="微软雅黑"/>
                <w:color w:val="auto"/>
                <w:kern w:val="2"/>
                <w:sz w:val="21"/>
                <w:szCs w:val="21"/>
                <w:lang w:val="en-US" w:eastAsia="zh-CN" w:bidi="ar-SA"/>
              </w:rPr>
              <w:t>1.5</w:t>
            </w:r>
            <w:r>
              <w:rPr>
                <w:rFonts w:hint="default" w:ascii="微软雅黑" w:hAnsi="微软雅黑" w:eastAsia="微软雅黑" w:cs="微软雅黑"/>
                <w:color w:val="auto"/>
                <w:kern w:val="2"/>
                <w:sz w:val="21"/>
                <w:szCs w:val="21"/>
                <w:lang w:val="en-US" w:eastAsia="zh-CN" w:bidi="ar-SA"/>
              </w:rPr>
              <w:t>分，维保费为中标单价金额的6%（不含）-7%得1分，维保费为中标单价金额的7%（不含）-8%得0.5分，超出中标单价金额/中标金额的8%或未提供承诺函得0分。</w:t>
            </w:r>
          </w:p>
        </w:tc>
        <w:tc>
          <w:tcPr>
            <w:tcW w:w="2440"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提供生产厂家承诺函，格式自拟。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835"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1462"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913"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5.质保增值服务</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质量保证期内，除采购人所需零配件均由中标人免费提供之外，中标人承诺免费提供设备所需易损件及耗材的，得</w:t>
            </w:r>
            <w:r>
              <w:rPr>
                <w:rFonts w:hint="eastAsia" w:ascii="微软雅黑" w:hAnsi="微软雅黑" w:eastAsia="微软雅黑" w:cs="微软雅黑"/>
                <w:color w:val="auto"/>
                <w:kern w:val="2"/>
                <w:sz w:val="21"/>
                <w:szCs w:val="21"/>
                <w:lang w:val="en-US" w:eastAsia="zh-CN" w:bidi="ar-SA"/>
              </w:rPr>
              <w:t>3</w:t>
            </w:r>
            <w:r>
              <w:rPr>
                <w:rFonts w:hint="default" w:ascii="微软雅黑" w:hAnsi="微软雅黑" w:eastAsia="微软雅黑" w:cs="微软雅黑"/>
                <w:color w:val="auto"/>
                <w:kern w:val="2"/>
                <w:sz w:val="21"/>
                <w:szCs w:val="21"/>
                <w:lang w:val="en-US" w:eastAsia="zh-CN" w:bidi="ar-SA"/>
              </w:rPr>
              <w:t>分，其余情况得0分。</w:t>
            </w:r>
          </w:p>
        </w:tc>
        <w:tc>
          <w:tcPr>
            <w:tcW w:w="2440"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提供承诺函，格式自拟，并加盖投标人公章；该部分内容将作为项目合同附件。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1462"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913" w:type="dxa"/>
            <w:noWrap w:val="0"/>
            <w:vAlign w:val="center"/>
          </w:tcPr>
          <w:p>
            <w:pPr>
              <w:jc w:val="center"/>
              <w:rPr>
                <w:rFonts w:hint="eastAsia"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履约能力</w:t>
            </w:r>
            <w:r>
              <w:rPr>
                <w:rFonts w:hint="eastAsia" w:ascii="微软雅黑" w:hAnsi="微软雅黑" w:eastAsia="微软雅黑" w:cs="微软雅黑"/>
                <w:color w:val="auto"/>
                <w:kern w:val="2"/>
                <w:sz w:val="21"/>
                <w:szCs w:val="21"/>
                <w:lang w:val="en-US" w:eastAsia="zh-CN" w:bidi="ar-SA"/>
              </w:rPr>
              <w:t>5</w:t>
            </w: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2022年1月1日至投标截止时间止（以合同签订时间为准)，投标人或所投产品制造商有所投同品牌同型号产品的销售业绩（买方非经销商或代理商），提供一个业绩得</w:t>
            </w:r>
            <w:r>
              <w:rPr>
                <w:rFonts w:hint="eastAsia" w:ascii="微软雅黑" w:hAnsi="微软雅黑" w:eastAsia="微软雅黑" w:cs="微软雅黑"/>
                <w:color w:val="auto"/>
                <w:kern w:val="2"/>
                <w:sz w:val="21"/>
                <w:szCs w:val="21"/>
                <w:lang w:val="en-US" w:eastAsia="zh-CN" w:bidi="ar-SA"/>
              </w:rPr>
              <w:t>1</w:t>
            </w:r>
            <w:r>
              <w:rPr>
                <w:rFonts w:hint="default" w:ascii="微软雅黑" w:hAnsi="微软雅黑" w:eastAsia="微软雅黑" w:cs="微软雅黑"/>
                <w:color w:val="auto"/>
                <w:kern w:val="2"/>
                <w:sz w:val="21"/>
                <w:szCs w:val="21"/>
                <w:lang w:val="en-US" w:eastAsia="zh-CN" w:bidi="ar-SA"/>
              </w:rPr>
              <w:t>分，本项最多得</w:t>
            </w:r>
            <w:r>
              <w:rPr>
                <w:rFonts w:hint="eastAsia" w:ascii="微软雅黑" w:hAnsi="微软雅黑" w:eastAsia="微软雅黑" w:cs="微软雅黑"/>
                <w:color w:val="auto"/>
                <w:kern w:val="2"/>
                <w:sz w:val="21"/>
                <w:szCs w:val="21"/>
                <w:lang w:val="en-US" w:eastAsia="zh-CN" w:bidi="ar-SA"/>
              </w:rPr>
              <w:t>5</w:t>
            </w:r>
            <w:r>
              <w:rPr>
                <w:rFonts w:hint="default" w:ascii="微软雅黑" w:hAnsi="微软雅黑" w:eastAsia="微软雅黑" w:cs="微软雅黑"/>
                <w:color w:val="auto"/>
                <w:kern w:val="2"/>
                <w:sz w:val="21"/>
                <w:szCs w:val="21"/>
                <w:lang w:val="en-US" w:eastAsia="zh-CN" w:bidi="ar-SA"/>
              </w:rPr>
              <w:t>分，不满足或未提供对应佐证材料的得0分。</w:t>
            </w:r>
          </w:p>
        </w:tc>
        <w:tc>
          <w:tcPr>
            <w:tcW w:w="2440"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1.提供业绩合同复印件（合同内容至少包含合同首页，产品信息页（内容包含产品型号规格和数量）、签字盖章页）。</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2.业绩合同对应佐证材料：验收合格报告复印件或中标/成交结果公示（公告）复印件或对应业绩合同的付款凭证（转账凭证）复印件，以上三选一提供；</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3.同一业绩合同只计分一次。</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四、无效响应</w:t>
      </w:r>
      <w:bookmarkEnd w:id="132"/>
      <w:bookmarkEnd w:id="133"/>
      <w:bookmarkEnd w:id="134"/>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（一）投标人不符合规定的资格条件的；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（二）投标人的法定代表人（或其授权代表）或自然人未在采购人限定时间内到达开标现场进行签到的；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（三）投标人所提交的响应文件不按“</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响应文件编制要求”要求签署或盖章；</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color w:val="auto"/>
          <w:sz w:val="24"/>
          <w:szCs w:val="24"/>
          <w:lang w:val="en-US" w:eastAsia="zh-CN"/>
        </w:rPr>
        <w:t>投标</w:t>
      </w:r>
      <w:r>
        <w:rPr>
          <w:rFonts w:hint="eastAsia" w:ascii="微软雅黑" w:hAnsi="微软雅黑" w:eastAsia="微软雅黑" w:cs="微软雅黑"/>
          <w:color w:val="auto"/>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（七）为采购项目提供整体设计、规范编制或者项目管理、监理、检测等服务的投标人，再参加该采购项目的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采购活动；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（八）投标人授权有效期不满足公开比选采购文件要求的；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（十）法律、法规和采购文件规定的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无效情形。</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5" w:name="_Toc76462336"/>
      <w:bookmarkStart w:id="136" w:name="_Toc10687"/>
      <w:bookmarkStart w:id="137" w:name="_Toc12222"/>
      <w:bookmarkStart w:id="138" w:name="_Toc106030891"/>
      <w:bookmarkStart w:id="139" w:name="_Toc12481"/>
      <w:bookmarkStart w:id="140" w:name="_Toc25723"/>
      <w:r>
        <w:rPr>
          <w:rFonts w:hint="eastAsia" w:ascii="微软雅黑" w:hAnsi="微软雅黑" w:eastAsia="微软雅黑" w:cs="微软雅黑"/>
          <w:color w:val="auto"/>
          <w:sz w:val="24"/>
        </w:rPr>
        <w:t>五、</w:t>
      </w:r>
      <w:bookmarkEnd w:id="135"/>
      <w:bookmarkEnd w:id="136"/>
      <w:bookmarkEnd w:id="137"/>
      <w:bookmarkEnd w:id="138"/>
      <w:r>
        <w:rPr>
          <w:rFonts w:hint="eastAsia" w:ascii="微软雅黑" w:hAnsi="微软雅黑" w:eastAsia="微软雅黑" w:cs="微软雅黑"/>
          <w:color w:val="auto"/>
          <w:sz w:val="24"/>
        </w:rPr>
        <w:t>废标条款</w:t>
      </w:r>
      <w:bookmarkEnd w:id="139"/>
      <w:bookmarkEnd w:id="140"/>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headerReference r:id="rId12" w:type="default"/>
          <w:footerReference r:id="rId13"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41" w:name="_Toc106030892"/>
      <w:bookmarkStart w:id="142" w:name="_Toc102227313"/>
      <w:bookmarkStart w:id="143" w:name="_Toc16624"/>
      <w:bookmarkStart w:id="144" w:name="_Toc76462337"/>
      <w:bookmarkStart w:id="145" w:name="_Toc29948"/>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五</w:t>
      </w:r>
      <w:r>
        <w:rPr>
          <w:rFonts w:hint="eastAsia" w:ascii="微软雅黑" w:hAnsi="微软雅黑" w:eastAsia="微软雅黑" w:cs="微软雅黑"/>
          <w:color w:val="auto"/>
          <w:sz w:val="44"/>
        </w:rPr>
        <w:t>篇  投标人须知</w:t>
      </w:r>
      <w:bookmarkEnd w:id="141"/>
      <w:bookmarkEnd w:id="142"/>
      <w:bookmarkEnd w:id="143"/>
      <w:bookmarkEnd w:id="144"/>
      <w:bookmarkEnd w:id="145"/>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46" w:name="_Toc76462338"/>
      <w:bookmarkStart w:id="147" w:name="_Toc9624"/>
      <w:bookmarkStart w:id="148" w:name="_Toc26717"/>
      <w:bookmarkStart w:id="149" w:name="_Toc106030893"/>
      <w:bookmarkStart w:id="150" w:name="_Toc342913389"/>
      <w:r>
        <w:rPr>
          <w:rFonts w:hint="eastAsia" w:ascii="微软雅黑" w:hAnsi="微软雅黑" w:eastAsia="微软雅黑" w:cs="微软雅黑"/>
          <w:color w:val="auto"/>
          <w:sz w:val="24"/>
        </w:rPr>
        <w:t>一、公开比选费用</w:t>
      </w:r>
      <w:bookmarkEnd w:id="146"/>
      <w:bookmarkEnd w:id="147"/>
      <w:bookmarkEnd w:id="148"/>
      <w:bookmarkEnd w:id="149"/>
      <w:bookmarkEnd w:id="150"/>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1" w:name="_Toc106030894"/>
      <w:bookmarkStart w:id="152" w:name="_Toc15712"/>
      <w:bookmarkStart w:id="153" w:name="_Toc342913391"/>
      <w:bookmarkStart w:id="154" w:name="_Toc8631"/>
      <w:bookmarkStart w:id="155" w:name="_Toc76462339"/>
      <w:r>
        <w:rPr>
          <w:rFonts w:hint="eastAsia" w:ascii="微软雅黑" w:hAnsi="微软雅黑" w:eastAsia="微软雅黑" w:cs="微软雅黑"/>
          <w:color w:val="auto"/>
          <w:sz w:val="24"/>
        </w:rPr>
        <w:t>二、公开比选采购文件</w:t>
      </w:r>
      <w:bookmarkEnd w:id="151"/>
      <w:bookmarkEnd w:id="152"/>
      <w:bookmarkEnd w:id="153"/>
      <w:bookmarkEnd w:id="154"/>
      <w:bookmarkEnd w:id="1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（一）公开比选采购文件由采购邀请书、项目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（三）公开比选采购文件的解释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56" w:name="_Toc318166429"/>
      <w:bookmarkStart w:id="157" w:name="_Toc318159349"/>
      <w:bookmarkStart w:id="158" w:name="_Toc318159780"/>
      <w:bookmarkStart w:id="159" w:name="_Toc318159160"/>
    </w:p>
    <w:bookmarkEnd w:id="156"/>
    <w:bookmarkEnd w:id="157"/>
    <w:bookmarkEnd w:id="158"/>
    <w:bookmarkEnd w:id="159"/>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0" w:name="_Toc26007"/>
      <w:bookmarkStart w:id="161" w:name="_Toc179714297"/>
      <w:bookmarkStart w:id="162" w:name="_Toc342913392"/>
      <w:bookmarkStart w:id="163" w:name="_Toc102227318"/>
      <w:bookmarkStart w:id="164" w:name="_Toc9861"/>
      <w:bookmarkStart w:id="165" w:name="_Toc76462340"/>
      <w:bookmarkStart w:id="166" w:name="_Toc106030895"/>
      <w:r>
        <w:rPr>
          <w:rFonts w:hint="eastAsia" w:ascii="微软雅黑" w:hAnsi="微软雅黑" w:eastAsia="微软雅黑" w:cs="微软雅黑"/>
          <w:color w:val="auto"/>
          <w:sz w:val="24"/>
        </w:rPr>
        <w:t>三、比选要求</w:t>
      </w:r>
      <w:bookmarkEnd w:id="160"/>
      <w:bookmarkEnd w:id="161"/>
      <w:bookmarkEnd w:id="162"/>
      <w:bookmarkEnd w:id="163"/>
      <w:bookmarkEnd w:id="164"/>
      <w:bookmarkEnd w:id="165"/>
      <w:bookmarkEnd w:id="16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响应文件编制要求”规定的部分和投标人所作的一切有效补充、修改和承诺等文件组成，投标人应按照“</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比选小组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响应文件按公开比选采购文件“</w:t>
      </w:r>
      <w:r>
        <w:rPr>
          <w:rFonts w:hint="eastAsia" w:ascii="微软雅黑" w:hAnsi="微软雅黑" w:eastAsia="微软雅黑" w:cs="微软雅黑"/>
          <w:color w:val="auto"/>
          <w:sz w:val="24"/>
          <w:lang w:eastAsia="zh-CN"/>
        </w:rPr>
        <w:t>第六篇</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2"/>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7" w:name="_Toc1612"/>
      <w:bookmarkStart w:id="168" w:name="_Toc76462341"/>
      <w:bookmarkStart w:id="169" w:name="_Toc106030896"/>
      <w:bookmarkStart w:id="170" w:name="_Toc6435"/>
      <w:r>
        <w:rPr>
          <w:rFonts w:hint="eastAsia" w:ascii="微软雅黑" w:hAnsi="微软雅黑" w:eastAsia="微软雅黑" w:cs="微软雅黑"/>
          <w:color w:val="auto"/>
          <w:sz w:val="24"/>
        </w:rPr>
        <w:t>四、中标人的确认和变更</w:t>
      </w:r>
      <w:bookmarkEnd w:id="167"/>
      <w:bookmarkEnd w:id="168"/>
      <w:bookmarkEnd w:id="169"/>
      <w:bookmarkEnd w:id="170"/>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中标人拒绝与采购人签订合同的，采购人可以按照评标报告推荐的成交候选投标人顺序，顺延下一</w:t>
      </w:r>
      <w:r>
        <w:rPr>
          <w:rFonts w:hint="eastAsia" w:ascii="微软雅黑" w:hAnsi="微软雅黑" w:eastAsia="微软雅黑" w:cs="微软雅黑"/>
          <w:color w:val="auto"/>
          <w:sz w:val="24"/>
          <w:lang w:val="en-US" w:eastAsia="zh-CN"/>
        </w:rPr>
        <w:t>顺</w:t>
      </w:r>
      <w:r>
        <w:rPr>
          <w:rFonts w:hint="eastAsia" w:ascii="微软雅黑" w:hAnsi="微软雅黑" w:eastAsia="微软雅黑" w:cs="微软雅黑"/>
          <w:color w:val="auto"/>
          <w:sz w:val="24"/>
        </w:rPr>
        <w:t>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1" w:name="_Toc21532"/>
      <w:bookmarkStart w:id="172" w:name="_Toc342913395"/>
      <w:bookmarkStart w:id="173" w:name="_Toc76462342"/>
      <w:bookmarkStart w:id="174" w:name="_Toc20309"/>
      <w:bookmarkStart w:id="175" w:name="_Toc102227321"/>
      <w:bookmarkStart w:id="176" w:name="_Toc106030897"/>
      <w:r>
        <w:rPr>
          <w:rFonts w:hint="eastAsia" w:ascii="微软雅黑" w:hAnsi="微软雅黑" w:eastAsia="微软雅黑" w:cs="微软雅黑"/>
          <w:color w:val="auto"/>
          <w:sz w:val="24"/>
        </w:rPr>
        <w:t>五、成交通知</w:t>
      </w:r>
      <w:bookmarkEnd w:id="171"/>
      <w:bookmarkEnd w:id="172"/>
      <w:bookmarkEnd w:id="173"/>
      <w:bookmarkEnd w:id="174"/>
      <w:bookmarkEnd w:id="175"/>
      <w:bookmarkEnd w:id="17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7" w:name="_Toc106030898"/>
      <w:bookmarkStart w:id="178" w:name="_Toc25162"/>
      <w:bookmarkStart w:id="179" w:name="_Toc21448"/>
      <w:bookmarkStart w:id="180" w:name="_Toc76462343"/>
      <w:r>
        <w:rPr>
          <w:rFonts w:hint="eastAsia" w:ascii="微软雅黑" w:hAnsi="微软雅黑" w:eastAsia="微软雅黑" w:cs="微软雅黑"/>
          <w:color w:val="auto"/>
          <w:sz w:val="24"/>
        </w:rPr>
        <w:t>六、质疑处理</w:t>
      </w:r>
      <w:bookmarkEnd w:id="177"/>
      <w:bookmarkEnd w:id="178"/>
      <w:bookmarkEnd w:id="179"/>
      <w:bookmarkEnd w:id="18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1.2投标人认为采购过程、成交结果使自己的权益受到损害的，可以在知道或</w:t>
      </w:r>
      <w:r>
        <w:rPr>
          <w:rFonts w:hint="eastAsia" w:ascii="微软雅黑" w:hAnsi="微软雅黑" w:eastAsia="微软雅黑" w:cs="微软雅黑"/>
          <w:color w:val="auto"/>
          <w:sz w:val="24"/>
          <w:lang w:val="en-US" w:eastAsia="zh-CN"/>
        </w:rPr>
        <w:t>应当知道</w:t>
      </w:r>
      <w:r>
        <w:rPr>
          <w:rFonts w:hint="eastAsia" w:ascii="微软雅黑" w:hAnsi="微软雅黑" w:eastAsia="微软雅黑" w:cs="微软雅黑"/>
          <w:color w:val="auto"/>
          <w:sz w:val="24"/>
        </w:rPr>
        <w:t>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181" w:name="_Toc76462344"/>
      <w:bookmarkStart w:id="182" w:name="_Toc106030899"/>
      <w:bookmarkStart w:id="183"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4" w:name="_Toc10669"/>
      <w:r>
        <w:rPr>
          <w:rFonts w:hint="eastAsia" w:ascii="微软雅黑" w:hAnsi="微软雅黑" w:eastAsia="微软雅黑" w:cs="微软雅黑"/>
          <w:color w:val="auto"/>
          <w:sz w:val="24"/>
        </w:rPr>
        <w:t>七、</w:t>
      </w:r>
      <w:bookmarkEnd w:id="181"/>
      <w:bookmarkEnd w:id="182"/>
      <w:bookmarkEnd w:id="183"/>
      <w:bookmarkStart w:id="185" w:name="_Toc102227322"/>
      <w:bookmarkStart w:id="186" w:name="_Toc76462346"/>
      <w:bookmarkStart w:id="187" w:name="_Toc342913396"/>
      <w:bookmarkStart w:id="188" w:name="_Toc106030901"/>
      <w:bookmarkStart w:id="189" w:name="_Toc3372"/>
      <w:bookmarkStart w:id="190" w:name="_Toc12789059"/>
      <w:bookmarkStart w:id="191" w:name="_Toc11641055"/>
      <w:r>
        <w:rPr>
          <w:rFonts w:hint="eastAsia" w:ascii="微软雅黑" w:hAnsi="微软雅黑" w:eastAsia="微软雅黑" w:cs="微软雅黑"/>
          <w:color w:val="auto"/>
          <w:sz w:val="24"/>
        </w:rPr>
        <w:t>签订</w:t>
      </w:r>
      <w:bookmarkEnd w:id="185"/>
      <w:r>
        <w:rPr>
          <w:rFonts w:hint="eastAsia" w:ascii="微软雅黑" w:hAnsi="微软雅黑" w:eastAsia="微软雅黑" w:cs="微软雅黑"/>
          <w:color w:val="auto"/>
          <w:sz w:val="24"/>
        </w:rPr>
        <w:t>合同</w:t>
      </w:r>
      <w:bookmarkEnd w:id="184"/>
      <w:bookmarkEnd w:id="186"/>
      <w:bookmarkEnd w:id="187"/>
      <w:bookmarkEnd w:id="188"/>
      <w:bookmarkEnd w:id="189"/>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4" w:type="default"/>
          <w:footerReference r:id="rId15"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190"/>
      <w:bookmarkEnd w:id="191"/>
    </w:p>
    <w:p>
      <w:pPr>
        <w:pStyle w:val="4"/>
        <w:spacing w:before="200" w:after="200" w:line="240" w:lineRule="auto"/>
        <w:jc w:val="center"/>
        <w:rPr>
          <w:rFonts w:hint="eastAsia" w:ascii="微软雅黑" w:hAnsi="微软雅黑" w:eastAsia="微软雅黑" w:cs="微软雅黑"/>
          <w:color w:val="auto"/>
          <w:sz w:val="44"/>
        </w:rPr>
      </w:pPr>
      <w:bookmarkStart w:id="192" w:name="_Hlt41879464"/>
      <w:bookmarkEnd w:id="192"/>
      <w:bookmarkStart w:id="193" w:name="_Toc13170"/>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六</w:t>
      </w:r>
      <w:r>
        <w:rPr>
          <w:rFonts w:hint="eastAsia" w:ascii="微软雅黑" w:hAnsi="微软雅黑" w:eastAsia="微软雅黑" w:cs="微软雅黑"/>
          <w:color w:val="auto"/>
          <w:sz w:val="44"/>
        </w:rPr>
        <w:t>篇  响应文件编制要求</w:t>
      </w:r>
      <w:bookmarkEnd w:id="19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（二）商务部分应答材料</w:t>
      </w:r>
    </w:p>
    <w:p>
      <w:pPr>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四、资格条件及</w:t>
      </w:r>
      <w:r>
        <w:rPr>
          <w:rFonts w:hint="eastAsia" w:ascii="微软雅黑" w:hAnsi="微软雅黑" w:eastAsia="微软雅黑" w:cs="微软雅黑"/>
          <w:color w:val="auto"/>
          <w:sz w:val="24"/>
          <w:szCs w:val="24"/>
          <w:lang w:eastAsia="zh-CN"/>
        </w:rPr>
        <w:t>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rPr>
        <w:t>综合评标响应情况表</w:t>
      </w:r>
    </w:p>
    <w:p>
      <w:pPr>
        <w:spacing w:line="360" w:lineRule="auto"/>
        <w:jc w:val="both"/>
        <w:outlineLvl w:val="0"/>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rPr>
      </w:pPr>
    </w:p>
    <w:p>
      <w:pPr>
        <w:spacing w:line="360" w:lineRule="auto"/>
        <w:ind w:firstLine="480" w:firstLineChars="200"/>
        <w:jc w:val="center"/>
        <w:outlineLvl w:val="0"/>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4"/>
    </w:p>
    <w:sectPr>
      <w:headerReference r:id="rId16" w:type="default"/>
      <w:footerReference r:id="rId17"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p>
  <w:p>
    <w:pPr>
      <w:pStyle w:val="37"/>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7"/>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7"/>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1F6604"/>
    <w:rsid w:val="032339C1"/>
    <w:rsid w:val="03502CFD"/>
    <w:rsid w:val="039F2B72"/>
    <w:rsid w:val="05B83278"/>
    <w:rsid w:val="07486D0C"/>
    <w:rsid w:val="079B568B"/>
    <w:rsid w:val="07F103E0"/>
    <w:rsid w:val="092E6FC0"/>
    <w:rsid w:val="0A5B1BB3"/>
    <w:rsid w:val="0AEE1399"/>
    <w:rsid w:val="0BB87E47"/>
    <w:rsid w:val="0BEB3E35"/>
    <w:rsid w:val="0C3E4D15"/>
    <w:rsid w:val="0D1F249B"/>
    <w:rsid w:val="0D26388C"/>
    <w:rsid w:val="0D2D45FA"/>
    <w:rsid w:val="0D8A3C16"/>
    <w:rsid w:val="0EF9321E"/>
    <w:rsid w:val="0F4F0F37"/>
    <w:rsid w:val="0FBA6FCD"/>
    <w:rsid w:val="1009316D"/>
    <w:rsid w:val="108300B5"/>
    <w:rsid w:val="11044578"/>
    <w:rsid w:val="11C41133"/>
    <w:rsid w:val="1317485C"/>
    <w:rsid w:val="13D824C6"/>
    <w:rsid w:val="147A5E14"/>
    <w:rsid w:val="14D11CFB"/>
    <w:rsid w:val="15935DB5"/>
    <w:rsid w:val="15BB3449"/>
    <w:rsid w:val="15D053D1"/>
    <w:rsid w:val="17324323"/>
    <w:rsid w:val="17A1211B"/>
    <w:rsid w:val="17F359FB"/>
    <w:rsid w:val="18ED7A84"/>
    <w:rsid w:val="19255AF5"/>
    <w:rsid w:val="1A7E6296"/>
    <w:rsid w:val="1BCD722E"/>
    <w:rsid w:val="1BDA5AD7"/>
    <w:rsid w:val="1F0D01CA"/>
    <w:rsid w:val="21226BB2"/>
    <w:rsid w:val="21864056"/>
    <w:rsid w:val="222348FC"/>
    <w:rsid w:val="22F860AB"/>
    <w:rsid w:val="2486441F"/>
    <w:rsid w:val="24E6174E"/>
    <w:rsid w:val="25922C5A"/>
    <w:rsid w:val="263535D3"/>
    <w:rsid w:val="273F7D71"/>
    <w:rsid w:val="28426BC2"/>
    <w:rsid w:val="2863744A"/>
    <w:rsid w:val="29601F8B"/>
    <w:rsid w:val="296F02CD"/>
    <w:rsid w:val="2AA01F44"/>
    <w:rsid w:val="2C43216E"/>
    <w:rsid w:val="2CD472B8"/>
    <w:rsid w:val="2D113368"/>
    <w:rsid w:val="2D4B12DF"/>
    <w:rsid w:val="2DB02B6B"/>
    <w:rsid w:val="2EB17C28"/>
    <w:rsid w:val="2ED06C87"/>
    <w:rsid w:val="300C58E0"/>
    <w:rsid w:val="30607DAE"/>
    <w:rsid w:val="31DA5A58"/>
    <w:rsid w:val="32FD7152"/>
    <w:rsid w:val="332D1E43"/>
    <w:rsid w:val="33D42561"/>
    <w:rsid w:val="34692D0C"/>
    <w:rsid w:val="34A20882"/>
    <w:rsid w:val="34B67588"/>
    <w:rsid w:val="35AA6A30"/>
    <w:rsid w:val="361F2D7D"/>
    <w:rsid w:val="365370CC"/>
    <w:rsid w:val="37556B60"/>
    <w:rsid w:val="38CD7FDC"/>
    <w:rsid w:val="3ACE5D4F"/>
    <w:rsid w:val="3C55524B"/>
    <w:rsid w:val="3CCE1388"/>
    <w:rsid w:val="3DF6488D"/>
    <w:rsid w:val="3F1C71CA"/>
    <w:rsid w:val="406334F2"/>
    <w:rsid w:val="406D5057"/>
    <w:rsid w:val="409F14A1"/>
    <w:rsid w:val="415F6EA3"/>
    <w:rsid w:val="42980741"/>
    <w:rsid w:val="446528DF"/>
    <w:rsid w:val="44F64ED7"/>
    <w:rsid w:val="452C7897"/>
    <w:rsid w:val="46151D23"/>
    <w:rsid w:val="46D026EE"/>
    <w:rsid w:val="475E104C"/>
    <w:rsid w:val="494C6B8D"/>
    <w:rsid w:val="497B7CB3"/>
    <w:rsid w:val="4A8845CE"/>
    <w:rsid w:val="4B2D12E0"/>
    <w:rsid w:val="4BEB6B31"/>
    <w:rsid w:val="4DD36371"/>
    <w:rsid w:val="4EEC1F3B"/>
    <w:rsid w:val="4F070047"/>
    <w:rsid w:val="4F3C244F"/>
    <w:rsid w:val="4FCD30B4"/>
    <w:rsid w:val="5115115D"/>
    <w:rsid w:val="521E4A24"/>
    <w:rsid w:val="52D92ACB"/>
    <w:rsid w:val="53B4776F"/>
    <w:rsid w:val="53DF1E3A"/>
    <w:rsid w:val="540F25CE"/>
    <w:rsid w:val="545B425C"/>
    <w:rsid w:val="54E16692"/>
    <w:rsid w:val="558E730F"/>
    <w:rsid w:val="56313E1D"/>
    <w:rsid w:val="563900DC"/>
    <w:rsid w:val="56DE0514"/>
    <w:rsid w:val="573C43EC"/>
    <w:rsid w:val="57857077"/>
    <w:rsid w:val="58EA1C45"/>
    <w:rsid w:val="59AE6800"/>
    <w:rsid w:val="59D52FEA"/>
    <w:rsid w:val="5A1F6A46"/>
    <w:rsid w:val="5C326524"/>
    <w:rsid w:val="5CA67F0E"/>
    <w:rsid w:val="5DAD4E7C"/>
    <w:rsid w:val="5DB97A48"/>
    <w:rsid w:val="5E16050E"/>
    <w:rsid w:val="5E3D2C1E"/>
    <w:rsid w:val="5EFE2025"/>
    <w:rsid w:val="5F05278C"/>
    <w:rsid w:val="60CB5C8F"/>
    <w:rsid w:val="61743609"/>
    <w:rsid w:val="6190049D"/>
    <w:rsid w:val="628D3A49"/>
    <w:rsid w:val="648E3C9A"/>
    <w:rsid w:val="6493239B"/>
    <w:rsid w:val="64DA4767"/>
    <w:rsid w:val="65170F5B"/>
    <w:rsid w:val="65215328"/>
    <w:rsid w:val="670A099E"/>
    <w:rsid w:val="68BD663A"/>
    <w:rsid w:val="692F74C0"/>
    <w:rsid w:val="696405DD"/>
    <w:rsid w:val="69BE2355"/>
    <w:rsid w:val="6B75107A"/>
    <w:rsid w:val="6D5236ED"/>
    <w:rsid w:val="6F1D384D"/>
    <w:rsid w:val="6FE969BF"/>
    <w:rsid w:val="701245F9"/>
    <w:rsid w:val="70466F1B"/>
    <w:rsid w:val="71175C34"/>
    <w:rsid w:val="74D70DF7"/>
    <w:rsid w:val="750950F5"/>
    <w:rsid w:val="750D16CF"/>
    <w:rsid w:val="76F6623C"/>
    <w:rsid w:val="773622B4"/>
    <w:rsid w:val="789F3DA6"/>
    <w:rsid w:val="78A52377"/>
    <w:rsid w:val="79082185"/>
    <w:rsid w:val="791259F2"/>
    <w:rsid w:val="7A6F77AB"/>
    <w:rsid w:val="7ABA3FBA"/>
    <w:rsid w:val="7B3C12E1"/>
    <w:rsid w:val="7B5B7497"/>
    <w:rsid w:val="7BEF5F10"/>
    <w:rsid w:val="7C567AC5"/>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line="180" w:lineRule="auto"/>
      <w:jc w:val="center"/>
    </w:pPr>
    <w:rPr>
      <w:sz w:val="30"/>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index 4"/>
    <w:basedOn w:val="1"/>
    <w:next w:val="1"/>
    <w:qFormat/>
    <w:uiPriority w:val="99"/>
    <w:pPr>
      <w:ind w:left="600" w:leftChars="600"/>
    </w:p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1"/>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5"/>
    <w:qFormat/>
    <w:uiPriority w:val="0"/>
  </w:style>
  <w:style w:type="paragraph" w:styleId="35">
    <w:name w:val="Body Text Indent 2"/>
    <w:basedOn w:val="1"/>
    <w:link w:val="76"/>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next w:val="1"/>
    <w:qFormat/>
    <w:uiPriority w:val="0"/>
    <w:pPr>
      <w:spacing w:line="360" w:lineRule="auto"/>
      <w:ind w:firstLine="420"/>
    </w:pPr>
    <w:rPr>
      <w:rFonts w:ascii="宋体" w:hAnsi="宋体"/>
      <w:sz w:val="24"/>
    </w:rPr>
  </w:style>
  <w:style w:type="paragraph" w:styleId="57">
    <w:name w:val="Body Text First Indent 2"/>
    <w:basedOn w:val="24"/>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4"/>
    <w:qFormat/>
    <w:uiPriority w:val="0"/>
    <w:rPr>
      <w:kern w:val="2"/>
      <w:sz w:val="44"/>
    </w:rPr>
  </w:style>
  <w:style w:type="character" w:customStyle="1" w:styleId="75">
    <w:name w:val="日期 字符"/>
    <w:link w:val="34"/>
    <w:qFormat/>
    <w:uiPriority w:val="0"/>
    <w:rPr>
      <w:kern w:val="2"/>
      <w:sz w:val="28"/>
    </w:rPr>
  </w:style>
  <w:style w:type="character" w:customStyle="1" w:styleId="76">
    <w:name w:val="正文文本缩进 2 字符1"/>
    <w:link w:val="35"/>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2"/>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4"/>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2"/>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2"/>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1.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4</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2026-04-24T06:48:35Z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79F62B5604D54D9B9166B3DDF2D7B8D1</vt:lpwstr>
  </property>
</Properties>
</file>