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bookmarkStart w:id="0" w:name="_Toc7651"/>
      <w:bookmarkStart w:id="1" w:name="_Toc106030887"/>
      <w:bookmarkStart w:id="2" w:name="_Toc76462332"/>
      <w:bookmarkStart w:id="3" w:name="_Toc6692"/>
      <w:bookmarkStart w:id="4" w:name="OLE_LINK1"/>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YSB260146</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生物安全柜</w:t>
      </w:r>
      <w:r>
        <w:rPr>
          <w:rFonts w:hint="eastAsia" w:ascii="微软雅黑" w:hAnsi="微软雅黑" w:eastAsia="微软雅黑" w:cs="微软雅黑"/>
          <w:color w:val="auto"/>
          <w:sz w:val="36"/>
          <w:szCs w:val="36"/>
          <w:u w:val="single"/>
          <w:lang w:eastAsia="zh-CN"/>
        </w:rPr>
        <w:t>（分包二）</w:t>
      </w:r>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3"/>
        <w:rPr>
          <w:rFonts w:hint="eastAsia"/>
          <w:color w:val="auto"/>
        </w:rPr>
      </w:pPr>
    </w:p>
    <w:p>
      <w:pPr>
        <w:pStyle w:val="23"/>
        <w:rPr>
          <w:rFonts w:hint="eastAsia"/>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4</w:t>
      </w:r>
      <w:r>
        <w:rPr>
          <w:rFonts w:hint="eastAsia" w:ascii="微软雅黑" w:hAnsi="微软雅黑" w:eastAsia="微软雅黑" w:cs="微软雅黑"/>
          <w:color w:val="auto"/>
          <w:sz w:val="36"/>
          <w:szCs w:val="36"/>
          <w:u w:val="single"/>
        </w:rPr>
        <w:t>月</w:t>
      </w:r>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bookmarkStart w:id="5" w:name="_Toc317775178"/>
      <w:r>
        <w:rPr>
          <w:rFonts w:hint="eastAsia" w:ascii="微软雅黑" w:hAnsi="微软雅黑" w:eastAsia="微软雅黑" w:cs="微软雅黑"/>
          <w:color w:val="auto"/>
          <w:sz w:val="44"/>
          <w:szCs w:val="44"/>
        </w:rPr>
        <w:t>目   录</w:t>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_Toc26011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color w:val="auto"/>
          <w:sz w:val="24"/>
          <w:szCs w:val="24"/>
        </w:rPr>
        <w:tab/>
      </w:r>
      <w:r>
        <w:rPr>
          <w:color w:val="auto"/>
          <w:sz w:val="24"/>
          <w:szCs w:val="24"/>
        </w:rPr>
        <w:fldChar w:fldCharType="begin"/>
      </w:r>
      <w:r>
        <w:rPr>
          <w:color w:val="auto"/>
          <w:sz w:val="24"/>
          <w:szCs w:val="24"/>
        </w:rPr>
        <w:instrText xml:space="preserve"> PAGEREF _Toc26011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_Toc23226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color w:val="auto"/>
          <w:sz w:val="24"/>
          <w:szCs w:val="24"/>
        </w:rPr>
        <w:tab/>
      </w:r>
      <w:r>
        <w:rPr>
          <w:color w:val="auto"/>
          <w:sz w:val="24"/>
          <w:szCs w:val="24"/>
        </w:rPr>
        <w:fldChar w:fldCharType="begin"/>
      </w:r>
      <w:r>
        <w:rPr>
          <w:color w:val="auto"/>
          <w:sz w:val="24"/>
          <w:szCs w:val="24"/>
        </w:rPr>
        <w:instrText xml:space="preserve"> PAGEREF _Toc23226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_Toc5097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color w:val="auto"/>
          <w:sz w:val="24"/>
          <w:szCs w:val="24"/>
        </w:rPr>
        <w:tab/>
      </w:r>
      <w:r>
        <w:rPr>
          <w:color w:val="auto"/>
          <w:sz w:val="24"/>
          <w:szCs w:val="24"/>
        </w:rPr>
        <w:fldChar w:fldCharType="begin"/>
      </w:r>
      <w:r>
        <w:rPr>
          <w:color w:val="auto"/>
          <w:sz w:val="24"/>
          <w:szCs w:val="24"/>
        </w:rPr>
        <w:instrText xml:space="preserve"> PAGEREF _Toc5097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_Toc10792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color w:val="auto"/>
          <w:sz w:val="24"/>
          <w:szCs w:val="24"/>
        </w:rPr>
        <w:tab/>
      </w:r>
      <w:r>
        <w:rPr>
          <w:color w:val="auto"/>
          <w:sz w:val="24"/>
          <w:szCs w:val="24"/>
        </w:rPr>
        <w:fldChar w:fldCharType="begin"/>
      </w:r>
      <w:r>
        <w:rPr>
          <w:color w:val="auto"/>
          <w:sz w:val="24"/>
          <w:szCs w:val="24"/>
        </w:rPr>
        <w:instrText xml:space="preserve"> PAGEREF _Toc10792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_Toc16311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color w:val="auto"/>
          <w:sz w:val="24"/>
          <w:szCs w:val="24"/>
        </w:rPr>
        <w:tab/>
      </w:r>
      <w:r>
        <w:rPr>
          <w:color w:val="auto"/>
          <w:sz w:val="24"/>
          <w:szCs w:val="24"/>
        </w:rPr>
        <w:fldChar w:fldCharType="begin"/>
      </w:r>
      <w:r>
        <w:rPr>
          <w:color w:val="auto"/>
          <w:sz w:val="24"/>
          <w:szCs w:val="24"/>
        </w:rPr>
        <w:instrText xml:space="preserve"> PAGEREF _Toc16311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color w:val="auto"/>
          <w:sz w:val="24"/>
          <w:szCs w:val="24"/>
        </w:rPr>
        <w:tab/>
      </w:r>
      <w:r>
        <w:rPr>
          <w:color w:val="auto"/>
          <w:sz w:val="24"/>
          <w:szCs w:val="24"/>
        </w:rPr>
        <w:fldChar w:fldCharType="begin"/>
      </w:r>
      <w:r>
        <w:rPr>
          <w:color w:val="auto"/>
          <w:sz w:val="24"/>
          <w:szCs w:val="24"/>
        </w:rPr>
        <w:instrText xml:space="preserve"> PAGEREF _Toc30228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_Toc30276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color w:val="auto"/>
          <w:sz w:val="24"/>
          <w:szCs w:val="24"/>
        </w:rPr>
        <w:tab/>
      </w:r>
      <w:r>
        <w:rPr>
          <w:color w:val="auto"/>
          <w:sz w:val="24"/>
          <w:szCs w:val="24"/>
        </w:rPr>
        <w:fldChar w:fldCharType="begin"/>
      </w:r>
      <w:r>
        <w:rPr>
          <w:color w:val="auto"/>
          <w:sz w:val="24"/>
          <w:szCs w:val="24"/>
        </w:rPr>
        <w:instrText xml:space="preserve"> PAGEREF _Toc30276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2"/>
        <w:tabs>
          <w:tab w:val="right" w:leader="dot" w:pos="9412"/>
        </w:tabs>
        <w:ind w:leftChars="200"/>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_Toc30927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color w:val="auto"/>
          <w:sz w:val="24"/>
          <w:szCs w:val="24"/>
        </w:rPr>
        <w:tab/>
      </w:r>
      <w:r>
        <w:rPr>
          <w:color w:val="auto"/>
          <w:sz w:val="24"/>
          <w:szCs w:val="24"/>
        </w:rPr>
        <w:fldChar w:fldCharType="begin"/>
      </w:r>
      <w:r>
        <w:rPr>
          <w:color w:val="auto"/>
          <w:sz w:val="24"/>
          <w:szCs w:val="24"/>
        </w:rPr>
        <w:instrText xml:space="preserve"> PAGEREF _Toc30927 \h </w:instrText>
      </w:r>
      <w:r>
        <w:rPr>
          <w:color w:val="auto"/>
          <w:sz w:val="24"/>
          <w:szCs w:val="24"/>
        </w:rPr>
        <w:fldChar w:fldCharType="separate"/>
      </w:r>
      <w:r>
        <w:rPr>
          <w:color w:val="auto"/>
          <w:sz w:val="24"/>
          <w:szCs w:val="24"/>
        </w:rPr>
        <w:t>- 5 -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_Toc31179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color w:val="auto"/>
          <w:sz w:val="24"/>
          <w:szCs w:val="24"/>
        </w:rPr>
        <w:tab/>
      </w:r>
      <w:r>
        <w:rPr>
          <w:color w:val="auto"/>
          <w:sz w:val="24"/>
          <w:szCs w:val="24"/>
        </w:rPr>
        <w:fldChar w:fldCharType="begin"/>
      </w:r>
      <w:r>
        <w:rPr>
          <w:color w:val="auto"/>
          <w:sz w:val="24"/>
          <w:szCs w:val="24"/>
        </w:rPr>
        <w:instrText xml:space="preserve"> PAGEREF _Toc31179 \h </w:instrText>
      </w:r>
      <w:r>
        <w:rPr>
          <w:color w:val="auto"/>
          <w:sz w:val="24"/>
          <w:szCs w:val="24"/>
        </w:rPr>
        <w:fldChar w:fldCharType="separate"/>
      </w:r>
      <w:r>
        <w:rPr>
          <w:color w:val="auto"/>
          <w:sz w:val="24"/>
          <w:szCs w:val="24"/>
        </w:rPr>
        <w:t>- 6 -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_Toc26417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color w:val="auto"/>
          <w:sz w:val="24"/>
          <w:szCs w:val="24"/>
        </w:rPr>
        <w:tab/>
      </w:r>
      <w:r>
        <w:rPr>
          <w:color w:val="auto"/>
          <w:sz w:val="24"/>
          <w:szCs w:val="24"/>
        </w:rPr>
        <w:fldChar w:fldCharType="begin"/>
      </w:r>
      <w:r>
        <w:rPr>
          <w:color w:val="auto"/>
          <w:sz w:val="24"/>
          <w:szCs w:val="24"/>
        </w:rPr>
        <w:instrText xml:space="preserve"> PAGEREF _Toc26417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_Toc28513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color w:val="auto"/>
          <w:sz w:val="24"/>
          <w:szCs w:val="24"/>
        </w:rPr>
        <w:tab/>
      </w:r>
      <w:r>
        <w:rPr>
          <w:color w:val="auto"/>
          <w:sz w:val="24"/>
          <w:szCs w:val="24"/>
        </w:rPr>
        <w:fldChar w:fldCharType="begin"/>
      </w:r>
      <w:r>
        <w:rPr>
          <w:color w:val="auto"/>
          <w:sz w:val="24"/>
          <w:szCs w:val="24"/>
        </w:rPr>
        <w:instrText xml:space="preserve"> PAGEREF _Toc28513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_Toc16728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二、评标方法</w:t>
      </w:r>
      <w:r>
        <w:rPr>
          <w:color w:val="auto"/>
          <w:sz w:val="24"/>
          <w:szCs w:val="24"/>
        </w:rPr>
        <w:tab/>
      </w:r>
      <w:r>
        <w:rPr>
          <w:color w:val="auto"/>
          <w:sz w:val="24"/>
          <w:szCs w:val="24"/>
        </w:rPr>
        <w:fldChar w:fldCharType="begin"/>
      </w:r>
      <w:r>
        <w:rPr>
          <w:color w:val="auto"/>
          <w:sz w:val="24"/>
          <w:szCs w:val="24"/>
        </w:rPr>
        <w:instrText xml:space="preserve"> PAGEREF _Toc16728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_Toc14542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三、评审标准</w:t>
      </w:r>
      <w:r>
        <w:rPr>
          <w:color w:val="auto"/>
          <w:sz w:val="24"/>
          <w:szCs w:val="24"/>
        </w:rPr>
        <w:tab/>
      </w:r>
      <w:r>
        <w:rPr>
          <w:color w:val="auto"/>
          <w:sz w:val="24"/>
          <w:szCs w:val="24"/>
        </w:rPr>
        <w:fldChar w:fldCharType="begin"/>
      </w:r>
      <w:r>
        <w:rPr>
          <w:color w:val="auto"/>
          <w:sz w:val="24"/>
          <w:szCs w:val="24"/>
        </w:rPr>
        <w:instrText xml:space="preserve"> PAGEREF _Toc14542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_Toc17288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color w:val="auto"/>
          <w:sz w:val="24"/>
          <w:szCs w:val="24"/>
        </w:rPr>
        <w:tab/>
      </w:r>
      <w:r>
        <w:rPr>
          <w:color w:val="auto"/>
          <w:sz w:val="24"/>
          <w:szCs w:val="24"/>
        </w:rPr>
        <w:fldChar w:fldCharType="begin"/>
      </w:r>
      <w:r>
        <w:rPr>
          <w:color w:val="auto"/>
          <w:sz w:val="24"/>
          <w:szCs w:val="24"/>
        </w:rPr>
        <w:instrText xml:space="preserve"> PAGEREF _Toc17288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color w:val="auto"/>
          <w:sz w:val="24"/>
          <w:szCs w:val="24"/>
        </w:rPr>
        <w:tab/>
      </w:r>
      <w:r>
        <w:rPr>
          <w:color w:val="auto"/>
          <w:sz w:val="24"/>
          <w:szCs w:val="24"/>
        </w:rPr>
        <w:fldChar w:fldCharType="begin"/>
      </w:r>
      <w:r>
        <w:rPr>
          <w:color w:val="auto"/>
          <w:sz w:val="24"/>
          <w:szCs w:val="24"/>
        </w:rPr>
        <w:instrText xml:space="preserve"> PAGEREF _Toc25723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color w:val="auto"/>
          <w:sz w:val="24"/>
          <w:szCs w:val="24"/>
        </w:rPr>
        <w:tab/>
      </w:r>
      <w:r>
        <w:rPr>
          <w:color w:val="auto"/>
          <w:sz w:val="24"/>
          <w:szCs w:val="24"/>
        </w:rPr>
        <w:fldChar w:fldCharType="begin"/>
      </w:r>
      <w:r>
        <w:rPr>
          <w:color w:val="auto"/>
          <w:sz w:val="24"/>
          <w:szCs w:val="24"/>
        </w:rPr>
        <w:instrText xml:space="preserve"> PAGEREF _Toc16624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color w:val="auto"/>
          <w:sz w:val="24"/>
          <w:szCs w:val="24"/>
        </w:rPr>
        <w:tab/>
      </w:r>
      <w:r>
        <w:rPr>
          <w:color w:val="auto"/>
          <w:sz w:val="24"/>
          <w:szCs w:val="24"/>
        </w:rPr>
        <w:fldChar w:fldCharType="begin"/>
      </w:r>
      <w:r>
        <w:rPr>
          <w:color w:val="auto"/>
          <w:sz w:val="24"/>
          <w:szCs w:val="24"/>
        </w:rPr>
        <w:instrText xml:space="preserve"> PAGEREF _Toc9624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_Toc8631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color w:val="auto"/>
          <w:sz w:val="24"/>
          <w:szCs w:val="24"/>
        </w:rPr>
        <w:tab/>
      </w:r>
      <w:r>
        <w:rPr>
          <w:color w:val="auto"/>
          <w:sz w:val="24"/>
          <w:szCs w:val="24"/>
        </w:rPr>
        <w:fldChar w:fldCharType="begin"/>
      </w:r>
      <w:r>
        <w:rPr>
          <w:color w:val="auto"/>
          <w:sz w:val="24"/>
          <w:szCs w:val="24"/>
        </w:rPr>
        <w:instrText xml:space="preserve"> PAGEREF _Toc8631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_Toc9861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color w:val="auto"/>
          <w:sz w:val="24"/>
          <w:szCs w:val="24"/>
        </w:rPr>
        <w:tab/>
      </w:r>
      <w:r>
        <w:rPr>
          <w:color w:val="auto"/>
          <w:sz w:val="24"/>
          <w:szCs w:val="24"/>
        </w:rPr>
        <w:fldChar w:fldCharType="begin"/>
      </w:r>
      <w:r>
        <w:rPr>
          <w:color w:val="auto"/>
          <w:sz w:val="24"/>
          <w:szCs w:val="24"/>
        </w:rPr>
        <w:instrText xml:space="preserve"> PAGEREF _Toc9861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color w:val="auto"/>
          <w:sz w:val="24"/>
          <w:szCs w:val="24"/>
        </w:rPr>
        <w:tab/>
      </w:r>
      <w:r>
        <w:rPr>
          <w:color w:val="auto"/>
          <w:sz w:val="24"/>
          <w:szCs w:val="24"/>
        </w:rPr>
        <w:fldChar w:fldCharType="begin"/>
      </w:r>
      <w:r>
        <w:rPr>
          <w:color w:val="auto"/>
          <w:sz w:val="24"/>
          <w:szCs w:val="24"/>
        </w:rPr>
        <w:instrText xml:space="preserve"> PAGEREF _Toc1612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_Toc20309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color w:val="auto"/>
          <w:sz w:val="24"/>
          <w:szCs w:val="24"/>
        </w:rPr>
        <w:tab/>
      </w:r>
      <w:r>
        <w:rPr>
          <w:color w:val="auto"/>
          <w:sz w:val="24"/>
          <w:szCs w:val="24"/>
        </w:rPr>
        <w:fldChar w:fldCharType="begin"/>
      </w:r>
      <w:r>
        <w:rPr>
          <w:color w:val="auto"/>
          <w:sz w:val="24"/>
          <w:szCs w:val="24"/>
        </w:rPr>
        <w:instrText xml:space="preserve"> PAGEREF _Toc20309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_Toc25162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color w:val="auto"/>
          <w:sz w:val="24"/>
          <w:szCs w:val="24"/>
        </w:rPr>
        <w:tab/>
      </w:r>
      <w:r>
        <w:rPr>
          <w:color w:val="auto"/>
          <w:sz w:val="24"/>
          <w:szCs w:val="24"/>
        </w:rPr>
        <w:fldChar w:fldCharType="begin"/>
      </w:r>
      <w:r>
        <w:rPr>
          <w:color w:val="auto"/>
          <w:sz w:val="24"/>
          <w:szCs w:val="24"/>
        </w:rPr>
        <w:instrText xml:space="preserve"> PAGEREF _Toc25162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_Toc10669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color w:val="auto"/>
          <w:sz w:val="24"/>
          <w:szCs w:val="24"/>
        </w:rPr>
        <w:tab/>
      </w:r>
      <w:r>
        <w:rPr>
          <w:color w:val="auto"/>
          <w:sz w:val="24"/>
          <w:szCs w:val="24"/>
        </w:rPr>
        <w:fldChar w:fldCharType="begin"/>
      </w:r>
      <w:r>
        <w:rPr>
          <w:color w:val="auto"/>
          <w:sz w:val="24"/>
          <w:szCs w:val="24"/>
        </w:rPr>
        <w:instrText xml:space="preserve"> PAGEREF _Toc10669 \h </w:instrText>
      </w:r>
      <w:r>
        <w:rPr>
          <w:color w:val="auto"/>
          <w:sz w:val="24"/>
          <w:szCs w:val="24"/>
        </w:rPr>
        <w:fldChar w:fldCharType="separate"/>
      </w:r>
      <w:r>
        <w:rPr>
          <w:color w:val="auto"/>
          <w:sz w:val="24"/>
          <w:szCs w:val="24"/>
        </w:rPr>
        <w:t>- 12 -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_Toc13170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color w:val="auto"/>
          <w:sz w:val="24"/>
          <w:szCs w:val="24"/>
        </w:rPr>
        <w:tab/>
      </w:r>
      <w:r>
        <w:rPr>
          <w:color w:val="auto"/>
          <w:sz w:val="24"/>
          <w:szCs w:val="24"/>
        </w:rPr>
        <w:fldChar w:fldCharType="begin"/>
      </w:r>
      <w:r>
        <w:rPr>
          <w:color w:val="auto"/>
          <w:sz w:val="24"/>
          <w:szCs w:val="24"/>
        </w:rPr>
        <w:instrText xml:space="preserve"> PAGEREF _Toc13170 \h </w:instrText>
      </w:r>
      <w:r>
        <w:rPr>
          <w:color w:val="auto"/>
          <w:sz w:val="24"/>
          <w:szCs w:val="24"/>
        </w:rPr>
        <w:fldChar w:fldCharType="separate"/>
      </w:r>
      <w:r>
        <w:rPr>
          <w:color w:val="auto"/>
          <w:sz w:val="24"/>
          <w:szCs w:val="24"/>
        </w:rPr>
        <w:t>- 13 -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_Toc5191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color w:val="auto"/>
          <w:sz w:val="24"/>
          <w:szCs w:val="24"/>
        </w:rPr>
        <w:tab/>
      </w:r>
      <w:r>
        <w:rPr>
          <w:color w:val="auto"/>
          <w:sz w:val="24"/>
          <w:szCs w:val="24"/>
        </w:rPr>
        <w:fldChar w:fldCharType="begin"/>
      </w:r>
      <w:r>
        <w:rPr>
          <w:color w:val="auto"/>
          <w:sz w:val="24"/>
          <w:szCs w:val="24"/>
        </w:rPr>
        <w:instrText xml:space="preserve"> PAGEREF _Toc5191 \h </w:instrText>
      </w:r>
      <w:r>
        <w:rPr>
          <w:color w:val="auto"/>
          <w:sz w:val="24"/>
          <w:szCs w:val="24"/>
        </w:rPr>
        <w:fldChar w:fldCharType="separate"/>
      </w:r>
      <w:r>
        <w:rPr>
          <w:color w:val="auto"/>
          <w:sz w:val="24"/>
          <w:szCs w:val="24"/>
        </w:rPr>
        <w:t>- 15 -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_Toc23947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color w:val="auto"/>
          <w:sz w:val="24"/>
          <w:szCs w:val="24"/>
        </w:rPr>
        <w:tab/>
      </w:r>
      <w:r>
        <w:rPr>
          <w:color w:val="auto"/>
          <w:sz w:val="24"/>
          <w:szCs w:val="24"/>
        </w:rPr>
        <w:fldChar w:fldCharType="begin"/>
      </w:r>
      <w:r>
        <w:rPr>
          <w:color w:val="auto"/>
          <w:sz w:val="24"/>
          <w:szCs w:val="24"/>
        </w:rPr>
        <w:instrText xml:space="preserve"> PAGEREF _Toc23947 \h </w:instrText>
      </w:r>
      <w:r>
        <w:rPr>
          <w:color w:val="auto"/>
          <w:sz w:val="24"/>
          <w:szCs w:val="24"/>
        </w:rPr>
        <w:fldChar w:fldCharType="separate"/>
      </w:r>
      <w:r>
        <w:rPr>
          <w:color w:val="auto"/>
          <w:sz w:val="24"/>
          <w:szCs w:val="24"/>
        </w:rPr>
        <w:t>- 18 -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_Toc19426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color w:val="auto"/>
          <w:sz w:val="24"/>
          <w:szCs w:val="24"/>
        </w:rPr>
        <w:tab/>
      </w:r>
      <w:r>
        <w:rPr>
          <w:color w:val="auto"/>
          <w:sz w:val="24"/>
          <w:szCs w:val="24"/>
        </w:rPr>
        <w:fldChar w:fldCharType="begin"/>
      </w:r>
      <w:r>
        <w:rPr>
          <w:color w:val="auto"/>
          <w:sz w:val="24"/>
          <w:szCs w:val="24"/>
        </w:rPr>
        <w:instrText xml:space="preserve"> PAGEREF _Toc19426 \h </w:instrText>
      </w:r>
      <w:r>
        <w:rPr>
          <w:color w:val="auto"/>
          <w:sz w:val="24"/>
          <w:szCs w:val="24"/>
        </w:rPr>
        <w:fldChar w:fldCharType="separate"/>
      </w:r>
      <w:r>
        <w:rPr>
          <w:color w:val="auto"/>
          <w:sz w:val="24"/>
          <w:szCs w:val="24"/>
        </w:rPr>
        <w:t>- 20 -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_Toc14888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color w:val="auto"/>
          <w:sz w:val="24"/>
          <w:szCs w:val="24"/>
        </w:rPr>
        <w:tab/>
      </w:r>
      <w:r>
        <w:rPr>
          <w:color w:val="auto"/>
          <w:sz w:val="24"/>
          <w:szCs w:val="24"/>
        </w:rPr>
        <w:fldChar w:fldCharType="begin"/>
      </w:r>
      <w:r>
        <w:rPr>
          <w:color w:val="auto"/>
          <w:sz w:val="24"/>
          <w:szCs w:val="24"/>
        </w:rPr>
        <w:instrText xml:space="preserve"> PAGEREF _Toc14888 \h </w:instrText>
      </w:r>
      <w:r>
        <w:rPr>
          <w:color w:val="auto"/>
          <w:sz w:val="24"/>
          <w:szCs w:val="24"/>
        </w:rPr>
        <w:fldChar w:fldCharType="separate"/>
      </w:r>
      <w:r>
        <w:rPr>
          <w:color w:val="auto"/>
          <w:sz w:val="24"/>
          <w:szCs w:val="24"/>
        </w:rPr>
        <w:t>- 22 -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_Toc15465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资料</w:t>
      </w:r>
      <w:r>
        <w:rPr>
          <w:color w:val="auto"/>
          <w:sz w:val="24"/>
          <w:szCs w:val="24"/>
        </w:rPr>
        <w:tab/>
      </w:r>
      <w:r>
        <w:rPr>
          <w:color w:val="auto"/>
          <w:sz w:val="24"/>
          <w:szCs w:val="24"/>
        </w:rPr>
        <w:fldChar w:fldCharType="begin"/>
      </w:r>
      <w:r>
        <w:rPr>
          <w:color w:val="auto"/>
          <w:sz w:val="24"/>
          <w:szCs w:val="24"/>
        </w:rPr>
        <w:instrText xml:space="preserve"> PAGEREF _Toc15465 \h </w:instrText>
      </w:r>
      <w:r>
        <w:rPr>
          <w:color w:val="auto"/>
          <w:sz w:val="24"/>
          <w:szCs w:val="24"/>
        </w:rPr>
        <w:fldChar w:fldCharType="separate"/>
      </w:r>
      <w:r>
        <w:rPr>
          <w:color w:val="auto"/>
          <w:sz w:val="24"/>
          <w:szCs w:val="24"/>
        </w:rPr>
        <w:t>- 28 -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6" w:name="_Toc106030870"/>
      <w:bookmarkStart w:id="7" w:name="_Toc76462316"/>
      <w:bookmarkStart w:id="8" w:name="_Toc12789052"/>
      <w:bookmarkStart w:id="9" w:name="_Toc11641050"/>
      <w:bookmarkStart w:id="10" w:name="_Toc26011"/>
      <w:bookmarkStart w:id="11" w:name="_Toc24037"/>
      <w:r>
        <w:rPr>
          <w:rFonts w:hint="eastAsia" w:ascii="微软雅黑" w:hAnsi="微软雅黑" w:eastAsia="微软雅黑" w:cs="微软雅黑"/>
          <w:color w:val="auto"/>
          <w:sz w:val="44"/>
        </w:rPr>
        <w:t>第一篇  采购邀请书</w:t>
      </w:r>
      <w:bookmarkEnd w:id="6"/>
      <w:bookmarkEnd w:id="7"/>
      <w:bookmarkEnd w:id="8"/>
      <w:bookmarkEnd w:id="9"/>
      <w:bookmarkEnd w:id="10"/>
      <w:bookmarkEnd w:id="11"/>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生物安全柜</w:t>
      </w:r>
      <w:r>
        <w:rPr>
          <w:rFonts w:hint="eastAsia" w:ascii="微软雅黑" w:hAnsi="微软雅黑" w:eastAsia="微软雅黑" w:cs="微软雅黑"/>
          <w:color w:val="auto"/>
          <w:sz w:val="24"/>
          <w:szCs w:val="24"/>
          <w:u w:val="single"/>
          <w:lang w:eastAsia="zh-CN"/>
        </w:rPr>
        <w:t>（分包二）</w:t>
      </w:r>
      <w:r>
        <w:rPr>
          <w:rFonts w:hint="eastAsia" w:ascii="微软雅黑" w:hAnsi="微软雅黑" w:eastAsia="微软雅黑" w:cs="微软雅黑"/>
          <w:color w:val="auto"/>
          <w:sz w:val="24"/>
          <w:szCs w:val="24"/>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 w:name="_Toc106030871"/>
      <w:bookmarkStart w:id="13" w:name="_Toc3856"/>
      <w:bookmarkStart w:id="14" w:name="_Toc23226"/>
      <w:bookmarkStart w:id="15" w:name="_Toc313893526"/>
      <w:bookmarkStart w:id="16" w:name="_Toc317775175"/>
      <w:bookmarkStart w:id="17" w:name="_Toc76462317"/>
      <w:r>
        <w:rPr>
          <w:rFonts w:hint="eastAsia" w:ascii="微软雅黑" w:hAnsi="微软雅黑" w:eastAsia="微软雅黑" w:cs="微软雅黑"/>
          <w:color w:val="auto"/>
          <w:sz w:val="24"/>
        </w:rPr>
        <w:t>一、公开比选采购内容</w:t>
      </w:r>
      <w:bookmarkEnd w:id="12"/>
      <w:bookmarkEnd w:id="13"/>
      <w:bookmarkEnd w:id="14"/>
      <w:bookmarkEnd w:id="15"/>
      <w:bookmarkEnd w:id="16"/>
      <w:bookmarkEnd w:id="17"/>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6"/>
        <w:gridCol w:w="1421"/>
        <w:gridCol w:w="1662"/>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8" w:name="_Toc106030872"/>
            <w:bookmarkStart w:id="19" w:name="_Toc76462318"/>
            <w:bookmarkStart w:id="20" w:name="_Toc373860293"/>
            <w:r>
              <w:rPr>
                <w:rFonts w:hint="eastAsia" w:ascii="微软雅黑" w:hAnsi="微软雅黑" w:eastAsia="微软雅黑" w:cs="微软雅黑"/>
                <w:b/>
                <w:bCs/>
                <w:color w:val="auto"/>
                <w:kern w:val="0"/>
                <w:sz w:val="21"/>
                <w:szCs w:val="24"/>
              </w:rPr>
              <w:t>项目编号</w:t>
            </w:r>
          </w:p>
        </w:tc>
        <w:tc>
          <w:tcPr>
            <w:tcW w:w="16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2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最高限价</w:t>
            </w:r>
          </w:p>
          <w:p>
            <w:pPr>
              <w:widowControl/>
              <w:jc w:val="center"/>
              <w:rPr>
                <w:rFonts w:hint="eastAsia" w:ascii="微软雅黑" w:hAnsi="微软雅黑" w:eastAsia="微软雅黑" w:cs="微软雅黑"/>
                <w:b/>
                <w:bCs/>
                <w:color w:val="auto"/>
                <w:kern w:val="0"/>
                <w:sz w:val="21"/>
                <w:szCs w:val="24"/>
                <w:lang w:val="en-US" w:eastAsia="zh-CN" w:bidi="ar-SA"/>
              </w:rPr>
            </w:pPr>
            <w:r>
              <w:rPr>
                <w:rFonts w:hint="eastAsia" w:ascii="微软雅黑" w:hAnsi="微软雅黑" w:eastAsia="微软雅黑" w:cs="微软雅黑"/>
                <w:b/>
                <w:bCs/>
                <w:color w:val="auto"/>
                <w:kern w:val="0"/>
                <w:sz w:val="21"/>
                <w:szCs w:val="24"/>
                <w:lang w:eastAsia="zh-CN"/>
              </w:rPr>
              <w:t>（万元）</w:t>
            </w:r>
          </w:p>
        </w:tc>
        <w:tc>
          <w:tcPr>
            <w:tcW w:w="96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YSB260146</w:t>
            </w:r>
          </w:p>
        </w:tc>
        <w:tc>
          <w:tcPr>
            <w:tcW w:w="16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bookmarkStart w:id="21" w:name="OLE_LINK2"/>
            <w:r>
              <w:rPr>
                <w:rFonts w:hint="eastAsia" w:ascii="微软雅黑" w:hAnsi="微软雅黑" w:eastAsia="微软雅黑" w:cs="微软雅黑"/>
                <w:color w:val="auto"/>
                <w:kern w:val="0"/>
                <w:sz w:val="21"/>
                <w:szCs w:val="24"/>
                <w:lang w:val="en-US" w:eastAsia="zh-CN"/>
              </w:rPr>
              <w:t>生物安全柜（分包二</w:t>
            </w:r>
            <w:r>
              <w:rPr>
                <w:rFonts w:hint="eastAsia" w:ascii="宋体" w:hAnsi="宋体" w:cs="宋体"/>
                <w:sz w:val="24"/>
                <w:lang w:eastAsia="zh-CN"/>
              </w:rPr>
              <w:t>）</w:t>
            </w:r>
            <w:bookmarkEnd w:id="21"/>
          </w:p>
        </w:tc>
        <w:tc>
          <w:tcPr>
            <w:tcW w:w="82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c>
          <w:tcPr>
            <w:tcW w:w="96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bookmarkStart w:id="195" w:name="_GoBack"/>
            <w:bookmarkEnd w:id="195"/>
            <w:r>
              <w:rPr>
                <w:rFonts w:hint="eastAsia" w:ascii="微软雅黑" w:hAnsi="微软雅黑" w:eastAsia="微软雅黑" w:cs="微软雅黑"/>
                <w:color w:val="auto"/>
                <w:sz w:val="21"/>
                <w:szCs w:val="21"/>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2" w:name="_Toc9755"/>
      <w:bookmarkStart w:id="23" w:name="_Toc5097"/>
      <w:r>
        <w:rPr>
          <w:rFonts w:hint="eastAsia" w:ascii="微软雅黑" w:hAnsi="微软雅黑" w:eastAsia="微软雅黑" w:cs="微软雅黑"/>
          <w:color w:val="auto"/>
          <w:sz w:val="24"/>
        </w:rPr>
        <w:t>二、</w:t>
      </w:r>
      <w:bookmarkEnd w:id="18"/>
      <w:bookmarkEnd w:id="19"/>
      <w:bookmarkEnd w:id="22"/>
      <w:bookmarkStart w:id="24" w:name="_Toc4480"/>
      <w:bookmarkStart w:id="25" w:name="_Toc76462319"/>
      <w:bookmarkStart w:id="26" w:name="_Toc106030873"/>
      <w:r>
        <w:rPr>
          <w:rFonts w:hint="eastAsia" w:ascii="微软雅黑" w:hAnsi="微软雅黑" w:eastAsia="微软雅黑" w:cs="微软雅黑"/>
          <w:color w:val="auto"/>
          <w:sz w:val="24"/>
        </w:rPr>
        <w:t>投标人资格条件</w:t>
      </w:r>
      <w:bookmarkEnd w:id="23"/>
      <w:bookmarkEnd w:id="24"/>
      <w:bookmarkEnd w:id="25"/>
      <w:bookmarkEnd w:id="2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7" w:name="_Toc76462320"/>
      <w:bookmarkStart w:id="28" w:name="_Toc27954"/>
      <w:bookmarkStart w:id="29" w:name="_Toc106030874"/>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30" w:name="_Toc10792"/>
      <w:r>
        <w:rPr>
          <w:rFonts w:hint="eastAsia" w:ascii="微软雅黑" w:hAnsi="微软雅黑" w:eastAsia="微软雅黑" w:cs="微软雅黑"/>
          <w:color w:val="auto"/>
          <w:sz w:val="24"/>
          <w:szCs w:val="24"/>
          <w:lang w:val="en-US" w:eastAsia="zh-CN"/>
        </w:rPr>
        <w:t>1.投标人为所投标产品制造商或经销商。若为经销商投标，须具备投标产品制造商或制造商中国境内代表机构认可的经销资格；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2.投标人医疗器械经营许可证；</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3.生产企业的医疗器械生产企业许可证和生产目录表；</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4.所投产品若属三类医疗器械的，须具备有效期内《医疗器械经营企业许可证》或《医疗器械经营许可证》及产品注册证；</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5.所提供产品若属二类医疗器械的，须具备有效期内《医疗器械经营企业许可证》或《第二类医疗器械经营备案凭证》及产品注册证；</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6.所提供产品若属一类医疗器械的，须具有所提供产品《第一类医疗器械备案凭证》及《第一类医疗器械备案信息表》及产品备案证明；</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三、比选有关说明</w:t>
      </w:r>
      <w:bookmarkEnd w:id="20"/>
      <w:bookmarkEnd w:id="27"/>
      <w:bookmarkEnd w:id="28"/>
      <w:bookmarkEnd w:id="29"/>
      <w:bookmarkEnd w:id="30"/>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1" w:name="_Toc2945"/>
      <w:bookmarkStart w:id="32" w:name="_Toc65660335"/>
      <w:bookmarkStart w:id="33" w:name="_Toc106034626"/>
      <w:bookmarkStart w:id="34" w:name="_Toc1546"/>
      <w:bookmarkStart w:id="35" w:name="_Toc521053054"/>
      <w:bookmarkStart w:id="36" w:name="_Toc525047162"/>
      <w:bookmarkStart w:id="37" w:name="_Toc4355"/>
      <w:bookmarkStart w:id="38"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1"/>
      <w:bookmarkEnd w:id="32"/>
      <w:bookmarkEnd w:id="33"/>
      <w:bookmarkEnd w:id="34"/>
      <w:bookmarkEnd w:id="35"/>
      <w:bookmarkEnd w:id="36"/>
      <w:bookmarkEnd w:id="37"/>
      <w:bookmarkStart w:id="39" w:name="_Toc525047161"/>
      <w:bookmarkStart w:id="40" w:name="_Toc106034625"/>
      <w:bookmarkStart w:id="41" w:name="_Toc12841"/>
      <w:bookmarkStart w:id="42" w:name="_Toc521053053"/>
      <w:bookmarkStart w:id="43" w:name="_Toc65660334"/>
      <w:bookmarkStart w:id="44" w:name="_Toc16749"/>
      <w:bookmarkStart w:id="45" w:name="_Toc11956"/>
      <w:bookmarkStart w:id="46" w:name="_Toc6178"/>
      <w:r>
        <w:rPr>
          <w:rFonts w:hint="eastAsia" w:ascii="微软雅黑" w:hAnsi="微软雅黑" w:eastAsia="微软雅黑" w:cs="微软雅黑"/>
          <w:color w:val="auto"/>
          <w:sz w:val="24"/>
        </w:rPr>
        <w:t>保证金</w:t>
      </w:r>
      <w:bookmarkEnd w:id="38"/>
      <w:bookmarkEnd w:id="39"/>
      <w:bookmarkEnd w:id="40"/>
      <w:bookmarkEnd w:id="41"/>
      <w:bookmarkEnd w:id="42"/>
      <w:bookmarkEnd w:id="43"/>
      <w:bookmarkEnd w:id="44"/>
      <w:bookmarkEnd w:id="45"/>
      <w:bookmarkEnd w:id="46"/>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7"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7"/>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8"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8"/>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9" w:name="_Toc65660337"/>
      <w:bookmarkStart w:id="50" w:name="_Toc525047164"/>
      <w:bookmarkStart w:id="51" w:name="_Toc521053056"/>
      <w:bookmarkStart w:id="52" w:name="_Toc106034628"/>
      <w:bookmarkStart w:id="53" w:name="_Toc30276"/>
      <w:bookmarkStart w:id="54" w:name="_Toc10415"/>
      <w:bookmarkStart w:id="55" w:name="_Toc24901"/>
      <w:bookmarkStart w:id="56" w:name="_Toc1733"/>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9"/>
      <w:bookmarkEnd w:id="50"/>
      <w:bookmarkEnd w:id="51"/>
      <w:bookmarkEnd w:id="52"/>
      <w:bookmarkEnd w:id="53"/>
      <w:bookmarkEnd w:id="54"/>
      <w:bookmarkEnd w:id="55"/>
      <w:bookmarkEnd w:id="5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7" w:name="_Toc25639"/>
      <w:bookmarkStart w:id="58" w:name="_Toc19886"/>
      <w:bookmarkStart w:id="59" w:name="_Toc75793504"/>
      <w:bookmarkStart w:id="60" w:name="_Toc2070"/>
      <w:bookmarkStart w:id="61" w:name="_Toc23143"/>
      <w:bookmarkStart w:id="62" w:name="_Toc26176"/>
      <w:bookmarkStart w:id="63" w:name="_Toc2422"/>
      <w:bookmarkStart w:id="64" w:name="_Toc725"/>
      <w:bookmarkStart w:id="65" w:name="_Toc5461"/>
      <w:bookmarkStart w:id="66" w:name="_Toc32686"/>
      <w:bookmarkStart w:id="67" w:name="_Toc1492"/>
      <w:bookmarkStart w:id="68" w:name="_Toc8649"/>
      <w:bookmarkStart w:id="69" w:name="_Toc1625"/>
      <w:bookmarkStart w:id="70" w:name="_Toc12959"/>
      <w:bookmarkStart w:id="71" w:name="_Toc11017"/>
      <w:bookmarkStart w:id="72" w:name="_Toc30927"/>
      <w:bookmarkStart w:id="73" w:name="_Toc106030380"/>
      <w:bookmarkStart w:id="74" w:name="_Toc27431"/>
      <w:bookmarkStart w:id="75" w:name="_Toc12789058"/>
      <w:r>
        <w:rPr>
          <w:rFonts w:hint="eastAsia" w:ascii="微软雅黑" w:hAnsi="微软雅黑" w:eastAsia="微软雅黑" w:cs="微软雅黑"/>
          <w:b/>
          <w:color w:val="auto"/>
          <w:sz w:val="44"/>
        </w:rPr>
        <w:t xml:space="preserve">第二篇 </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Pr>
          <w:rFonts w:hint="eastAsia" w:ascii="微软雅黑" w:hAnsi="微软雅黑" w:eastAsia="微软雅黑" w:cs="微软雅黑"/>
          <w:b/>
          <w:color w:val="auto"/>
          <w:sz w:val="44"/>
        </w:rPr>
        <w:t>项目技术（质量）需求</w:t>
      </w:r>
      <w:bookmarkEnd w:id="72"/>
      <w:bookmarkEnd w:id="73"/>
      <w:bookmarkEnd w:id="74"/>
    </w:p>
    <w:p>
      <w:pPr>
        <w:ind w:firstLine="480" w:firstLineChars="200"/>
        <w:rPr>
          <w:rFonts w:hint="eastAsia" w:ascii="微软雅黑" w:hAnsi="微软雅黑" w:eastAsia="微软雅黑" w:cs="微软雅黑"/>
          <w:b/>
          <w:bCs/>
          <w:color w:val="auto"/>
          <w:sz w:val="24"/>
          <w:szCs w:val="24"/>
        </w:rPr>
      </w:pPr>
      <w:bookmarkStart w:id="76" w:name="_Toc23656"/>
      <w:bookmarkStart w:id="77" w:name="_Toc22910"/>
      <w:bookmarkStart w:id="78" w:name="_Toc11703"/>
      <w:bookmarkStart w:id="79" w:name="_Toc20979"/>
      <w:bookmarkStart w:id="80" w:name="_Toc23504"/>
      <w:bookmarkStart w:id="81" w:name="_Toc75793505"/>
      <w:bookmarkStart w:id="82" w:name="_Toc29985"/>
      <w:bookmarkStart w:id="83" w:name="_Toc9261"/>
      <w:bookmarkStart w:id="84" w:name="_Toc4531"/>
      <w:bookmarkStart w:id="85" w:name="_Toc4519"/>
      <w:bookmarkStart w:id="86" w:name="_Toc4913"/>
      <w:bookmarkStart w:id="87" w:name="_Toc106030381"/>
      <w:bookmarkStart w:id="88" w:name="_Toc8370"/>
      <w:bookmarkStart w:id="89" w:name="_Toc19238"/>
      <w:bookmarkStart w:id="90" w:name="_Toc7027"/>
      <w:r>
        <w:rPr>
          <w:rFonts w:hint="eastAsia" w:ascii="微软雅黑" w:hAnsi="微软雅黑" w:eastAsia="微软雅黑" w:cs="微软雅黑"/>
          <w:b/>
          <w:bCs/>
          <w:color w:val="auto"/>
          <w:sz w:val="24"/>
          <w:szCs w:val="24"/>
        </w:rPr>
        <w:t>一、项目一览表</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生物安全柜（分包二</w:t>
            </w:r>
            <w:r>
              <w:rPr>
                <w:rFonts w:hint="eastAsia" w:ascii="微软雅黑" w:hAnsi="微软雅黑" w:eastAsia="微软雅黑" w:cs="微软雅黑"/>
                <w:color w:val="auto"/>
                <w:sz w:val="24"/>
                <w:szCs w:val="24"/>
                <w:lang w:eastAsia="zh-CN"/>
              </w:rPr>
              <w:t>）</w:t>
            </w:r>
          </w:p>
        </w:tc>
        <w:tc>
          <w:tcPr>
            <w:tcW w:w="1462" w:type="dxa"/>
            <w:vAlign w:val="center"/>
          </w:tcPr>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1台</w:t>
            </w:r>
          </w:p>
        </w:tc>
        <w:tc>
          <w:tcPr>
            <w:tcW w:w="1462" w:type="dxa"/>
            <w:vAlign w:val="center"/>
          </w:tcPr>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p>
        </w:tc>
      </w:tr>
    </w:tbl>
    <w:p>
      <w:pPr>
        <w:snapToGrid w:val="0"/>
        <w:spacing w:line="400" w:lineRule="exact"/>
        <w:ind w:firstLine="480" w:firstLineChars="200"/>
        <w:rPr>
          <w:rFonts w:hint="eastAsia" w:ascii="微软雅黑" w:hAnsi="微软雅黑" w:eastAsia="微软雅黑" w:cs="微软雅黑"/>
          <w:color w:val="auto"/>
          <w:sz w:val="24"/>
          <w:szCs w:val="24"/>
        </w:rPr>
      </w:pPr>
      <w:bookmarkStart w:id="91" w:name="_Toc75793506"/>
      <w:bookmarkStart w:id="92" w:name="_Toc18903"/>
      <w:bookmarkStart w:id="93" w:name="_Toc27067"/>
      <w:bookmarkStart w:id="94" w:name="_Toc28205"/>
      <w:bookmarkStart w:id="95" w:name="_Toc15696"/>
      <w:bookmarkStart w:id="96" w:name="_Toc26453"/>
      <w:bookmarkStart w:id="97" w:name="_Toc21817"/>
      <w:bookmarkStart w:id="98" w:name="_Toc32262"/>
      <w:bookmarkStart w:id="99" w:name="_Toc106030382"/>
      <w:bookmarkStart w:id="100" w:name="_Toc5751"/>
      <w:bookmarkStart w:id="101" w:name="_Toc18800"/>
      <w:bookmarkStart w:id="102" w:name="_Toc23975"/>
      <w:bookmarkStart w:id="103" w:name="_Toc10143"/>
      <w:bookmarkStart w:id="104" w:name="_Toc695"/>
      <w:bookmarkStart w:id="105" w:name="_Toc12568"/>
      <w:bookmarkStart w:id="106" w:name="_Toc7792"/>
      <w:r>
        <w:rPr>
          <w:rFonts w:hint="eastAsia" w:ascii="微软雅黑" w:hAnsi="微软雅黑" w:eastAsia="微软雅黑" w:cs="微软雅黑"/>
          <w:b/>
          <w:bCs/>
          <w:color w:val="auto"/>
          <w:sz w:val="24"/>
          <w:szCs w:val="24"/>
        </w:rPr>
        <w:t>二、项目技术需求</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※1、柜体内部工作区尺寸范围：内部尺寸(W×D×H)≥1200×630×780 mm；外部尺寸(W×D×H)≤1300×800×1570 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○2、标配手动可调高度支架，可提供30到38英寸的工作表面高度，调节增量2英寸。</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配有直观控制面板：显示有价值的安全和性能数据，实时显示仪器运行时间、下降风速和流入风速。控制面板可显示总工作时间显示、定时器、紫外消毒剩余时长、气流是否稳定、前窗位于工作位置监测、节能模式，实时显示整个柜体的状态，确保用户在安全条件下工作。控制面板声光报警便于客户快速确认仪器状态、气流平衡等。</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HEPA过滤模块：包含两个HEPA过滤模块，分别实现外排风和下降风的过滤；过滤器符合EN1822标准H14级别；HEPA过滤效率：过滤器最易穿透颗粒（MPPS）过滤效率高于99.995 %；0.3微米颗粒的截留效率高于99.999 %。（提供官方彩页证明）</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○5、工作台面表面承重≥23 kg，工作台面最高承重≥50 Kg。</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▲6、前窗工作开口高度：250 mm；前窗最高开口高度：535 mm。（提供官方彩页证明）</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○7、噪音：≤63dB。</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双风机控制系统，采用独立的进气与排气风机自动控制，平衡下降气流与外排气流，以保证持续安全的工作条件；采用智能直流无碳刷电机，可实时监测和控制风机转速，在过滤器阻塞或线路电压波动时持续保护用户安全。</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▲9、风速报警：至少两个独立式压力传感器用于检测排气和下降气流强制通风时的压力变化；当进气/排气或下降气流速度变化量达到20 %时，将发出声音和视觉报警提醒用户。</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10、安全节能模式：安全柜开机正常运行状态下，将前窗玻璃下拉至完全关闭状态，安全柜自动启动低速安全节能模式（待机模式，非风机暂停模式），下降风速自动变为30 %，且保持柜体洁净环境。（提供官方彩页证明）</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○11、设备配置254 nm紫外灯。紫外消毒时间可在0：00（关闭）到24：00小时之间进行调节；紫外消毒时间是预先设定的，如有需要可以更改设置，步进为30分钟。</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※12、前窗倾角：10°倾角，前窗玻璃为双层防爆玻璃。</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▲13、前窗清洗位置：无需拆卸任何部件即可将前窗玻璃可下拉到台面下方指定位置，操作者可站在安全柜外的无污染区，便于清洁安全柜玻璃窗内侧和更换灯管。</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○14、柜体侧壁采用双层负压设计，以提供更大的保护；采用金属材质的压力舱，便于更换滤膜时拆卸。</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○15、左右侧壁各标配两个服务阀孔，用于安装气阀、水阀和真空阀。</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▲16、工作台下方的集液槽应采用不锈钢制成，并带有排污阀；不应有支撑工作托盘重量的水平金属条，以便于清洁。</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▲17、设备配置两个可拆卸式搁手架，卡入式设计，操作方便舒适。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○18、排气/进气量：585（立方米/小时）；排气量，套管连接：761（立方米/小时）。</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※19、生物安全柜的能耗，运行时≤200 W，节能模式时≤70 W。（提供官方彩页证明）</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▲20、相关认证：具有UL和CE认证。（提供证书并盖公章）</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※21、标准配置：主机，紫外灯，荧光灯，两个搁手架，侧壁各两个阀口，可调高度支架，一体成型不锈钢内壁。</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以上参数要求，请提供相应产品白皮书/官方截图/产品彩页/产品说明书/检验报告等佐证材料（需生产厂家盖章、投标人盖章）。</w:t>
      </w:r>
    </w:p>
    <w:p>
      <w:pPr>
        <w:snapToGrid w:val="0"/>
        <w:spacing w:line="400" w:lineRule="exact"/>
        <w:ind w:firstLine="480" w:firstLineChars="200"/>
        <w:rPr>
          <w:rFonts w:hint="eastAsia" w:ascii="微软雅黑" w:hAnsi="微软雅黑" w:eastAsia="微软雅黑" w:cs="微软雅黑"/>
          <w:color w:val="auto"/>
          <w:kern w:val="2"/>
          <w:sz w:val="24"/>
          <w:szCs w:val="24"/>
          <w:lang w:val="en-US" w:eastAsia="zh-CN" w:bidi="ar-SA"/>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p>
    <w:p>
      <w:pPr>
        <w:pStyle w:val="4"/>
        <w:spacing w:before="200" w:after="200" w:line="240" w:lineRule="auto"/>
        <w:jc w:val="center"/>
        <w:rPr>
          <w:rFonts w:hint="eastAsia" w:ascii="微软雅黑" w:hAnsi="微软雅黑" w:eastAsia="微软雅黑" w:cs="微软雅黑"/>
          <w:color w:val="auto"/>
          <w:sz w:val="44"/>
        </w:rPr>
      </w:pPr>
      <w:bookmarkStart w:id="107" w:name="_Toc76462327"/>
      <w:bookmarkStart w:id="108" w:name="_Toc28649"/>
      <w:bookmarkStart w:id="109" w:name="_Toc106030882"/>
      <w:bookmarkStart w:id="110" w:name="_Toc31179"/>
      <w:bookmarkStart w:id="111" w:name="_Toc7791"/>
      <w:r>
        <w:rPr>
          <w:rFonts w:hint="eastAsia" w:ascii="微软雅黑" w:hAnsi="微软雅黑" w:eastAsia="微软雅黑" w:cs="微软雅黑"/>
          <w:color w:val="auto"/>
          <w:sz w:val="44"/>
        </w:rPr>
        <w:t>第三篇  项目商务需求</w:t>
      </w:r>
      <w:bookmarkEnd w:id="107"/>
      <w:bookmarkEnd w:id="108"/>
      <w:bookmarkEnd w:id="109"/>
      <w:bookmarkEnd w:id="110"/>
      <w:bookmarkEnd w:id="111"/>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交货时间：中标人在收到采购人通知后在30个日历日内（或者在采购人临时具体书面指定天数内）将设备运到采购人指定交货地点。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验收方式：需求</w:t>
            </w:r>
            <w:r>
              <w:rPr>
                <w:rFonts w:hint="default" w:ascii="微软雅黑" w:hAnsi="微软雅黑" w:eastAsia="微软雅黑" w:cs="微软雅黑"/>
                <w:color w:val="auto"/>
                <w:sz w:val="24"/>
                <w:szCs w:val="24"/>
                <w:lang w:val="en-US" w:eastAsia="zh-CN"/>
              </w:rPr>
              <w:t>科室及</w:t>
            </w:r>
            <w:r>
              <w:rPr>
                <w:rFonts w:hint="eastAsia" w:ascii="微软雅黑" w:hAnsi="微软雅黑" w:eastAsia="微软雅黑" w:cs="微软雅黑"/>
                <w:color w:val="auto"/>
                <w:sz w:val="24"/>
                <w:szCs w:val="24"/>
                <w:lang w:val="en-US" w:eastAsia="zh-CN"/>
              </w:rPr>
              <w:t>医学工程</w:t>
            </w:r>
            <w:r>
              <w:rPr>
                <w:rFonts w:hint="default" w:ascii="微软雅黑" w:hAnsi="微软雅黑" w:eastAsia="微软雅黑" w:cs="微软雅黑"/>
                <w:color w:val="auto"/>
                <w:sz w:val="24"/>
                <w:szCs w:val="24"/>
                <w:lang w:val="en-US" w:eastAsia="zh-CN"/>
              </w:rPr>
              <w:t>科现场验收</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1.质保期：不低于5年；质保期内免费维修维保，免费更换所有需要的配件，质保期外免费维修，采购人只支付维修设备配件等费用，不得支付维修产生的差旅费等费用。</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val="de-DE" w:eastAsia="zh-CN"/>
              </w:rPr>
              <w:t>机器故障应2</w:t>
            </w:r>
            <w:r>
              <w:rPr>
                <w:rFonts w:hint="eastAsia" w:ascii="微软雅黑" w:hAnsi="微软雅黑" w:eastAsia="微软雅黑" w:cs="微软雅黑"/>
                <w:color w:val="auto"/>
                <w:sz w:val="24"/>
                <w:szCs w:val="24"/>
                <w:lang w:val="en-US" w:eastAsia="zh-CN"/>
              </w:rPr>
              <w:t>小时</w:t>
            </w:r>
            <w:r>
              <w:rPr>
                <w:rFonts w:hint="eastAsia" w:ascii="微软雅黑" w:hAnsi="微软雅黑" w:eastAsia="微软雅黑" w:cs="微软雅黑"/>
                <w:color w:val="auto"/>
                <w:sz w:val="24"/>
                <w:szCs w:val="24"/>
                <w:lang w:val="de-DE" w:eastAsia="zh-CN"/>
              </w:rPr>
              <w:t>内故障响应，</w:t>
            </w:r>
            <w:r>
              <w:rPr>
                <w:rFonts w:hint="eastAsia" w:ascii="微软雅黑" w:hAnsi="微软雅黑" w:eastAsia="微软雅黑" w:cs="微软雅黑"/>
                <w:color w:val="auto"/>
                <w:sz w:val="24"/>
                <w:szCs w:val="24"/>
                <w:lang w:val="en-US" w:eastAsia="zh-CN"/>
              </w:rPr>
              <w:t>4小时</w:t>
            </w:r>
            <w:r>
              <w:rPr>
                <w:rFonts w:hint="eastAsia" w:ascii="微软雅黑" w:hAnsi="微软雅黑" w:eastAsia="微软雅黑" w:cs="微软雅黑"/>
                <w:color w:val="auto"/>
                <w:sz w:val="24"/>
                <w:szCs w:val="24"/>
                <w:lang w:val="de-DE" w:eastAsia="zh-CN"/>
              </w:rPr>
              <w:t>内到达现场解决故障。</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3.不能解决故障则应48小时内提供备用机或解决方案。</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lang w:val="de-DE" w:eastAsia="zh-CN"/>
              </w:rPr>
              <w:t>提供维修技术资料。</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lang w:val="de-DE" w:eastAsia="zh-CN"/>
              </w:rPr>
              <w:t>维修工程师免费上门安装、培训。</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6.</w:t>
            </w:r>
            <w:r>
              <w:rPr>
                <w:rFonts w:hint="eastAsia" w:ascii="微软雅黑" w:hAnsi="微软雅黑" w:eastAsia="微软雅黑" w:cs="微软雅黑"/>
                <w:color w:val="auto"/>
                <w:sz w:val="24"/>
                <w:szCs w:val="24"/>
                <w:lang w:val="de-DE" w:eastAsia="zh-CN"/>
              </w:rPr>
              <w:t>一年不低于4次定期维护保养，</w:t>
            </w:r>
            <w:r>
              <w:rPr>
                <w:rFonts w:hint="eastAsia" w:ascii="微软雅黑" w:hAnsi="微软雅黑" w:eastAsia="微软雅黑" w:cs="微软雅黑"/>
                <w:color w:val="auto"/>
                <w:sz w:val="24"/>
                <w:szCs w:val="24"/>
                <w:lang w:val="en-US" w:eastAsia="zh-CN"/>
              </w:rPr>
              <w:t>有故障情况发生，终身免费上门维修</w:t>
            </w:r>
            <w:r>
              <w:rPr>
                <w:rFonts w:hint="eastAsia" w:ascii="微软雅黑" w:hAnsi="微软雅黑" w:eastAsia="微软雅黑" w:cs="微软雅黑"/>
                <w:color w:val="auto"/>
                <w:sz w:val="24"/>
                <w:szCs w:val="24"/>
                <w:lang w:val="de-DE" w:eastAsia="zh-CN"/>
              </w:rPr>
              <w:t>。</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lang w:val="de-DE" w:eastAsia="zh-CN"/>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lang w:val="en-US" w:eastAsia="zh-CN"/>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de-DE" w:eastAsia="zh-CN"/>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lang w:val="de-DE" w:eastAsia="zh-CN"/>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1.中标人</w:t>
            </w:r>
            <w:r>
              <w:rPr>
                <w:rFonts w:hint="default" w:ascii="微软雅黑" w:hAnsi="微软雅黑" w:eastAsia="微软雅黑" w:cs="微软雅黑"/>
                <w:color w:val="auto"/>
                <w:sz w:val="24"/>
                <w:szCs w:val="24"/>
                <w:lang w:val="en-US" w:eastAsia="zh-CN"/>
              </w:rPr>
              <w:t>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2.中标人</w:t>
            </w:r>
            <w:r>
              <w:rPr>
                <w:rFonts w:hint="default" w:ascii="微软雅黑" w:hAnsi="微软雅黑" w:eastAsia="微软雅黑" w:cs="微软雅黑"/>
                <w:color w:val="auto"/>
                <w:sz w:val="24"/>
                <w:szCs w:val="24"/>
                <w:lang w:val="en-US" w:eastAsia="zh-CN"/>
              </w:rPr>
              <w:t>向采购人开具发票，采购人于</w:t>
            </w:r>
            <w:r>
              <w:rPr>
                <w:rFonts w:hint="eastAsia" w:ascii="微软雅黑" w:hAnsi="微软雅黑" w:eastAsia="微软雅黑" w:cs="微软雅黑"/>
                <w:color w:val="auto"/>
                <w:sz w:val="24"/>
                <w:szCs w:val="24"/>
                <w:lang w:val="en-US" w:eastAsia="zh-CN"/>
              </w:rPr>
              <w:t>2个月</w:t>
            </w:r>
            <w:r>
              <w:rPr>
                <w:rFonts w:hint="default" w:ascii="微软雅黑" w:hAnsi="微软雅黑" w:eastAsia="微软雅黑" w:cs="微软雅黑"/>
                <w:color w:val="auto"/>
                <w:sz w:val="24"/>
                <w:szCs w:val="24"/>
                <w:lang w:val="en-US" w:eastAsia="zh-CN"/>
              </w:rPr>
              <w:t>内以转账方式向</w:t>
            </w:r>
            <w:r>
              <w:rPr>
                <w:rFonts w:hint="eastAsia" w:ascii="微软雅黑" w:hAnsi="微软雅黑" w:eastAsia="微软雅黑" w:cs="微软雅黑"/>
                <w:color w:val="auto"/>
                <w:sz w:val="24"/>
                <w:szCs w:val="24"/>
                <w:lang w:val="en-US" w:eastAsia="zh-CN"/>
              </w:rPr>
              <w:t>中标人</w:t>
            </w:r>
            <w:r>
              <w:rPr>
                <w:rFonts w:hint="default" w:ascii="微软雅黑" w:hAnsi="微软雅黑" w:eastAsia="微软雅黑" w:cs="微软雅黑"/>
                <w:color w:val="auto"/>
                <w:sz w:val="24"/>
                <w:szCs w:val="24"/>
                <w:lang w:val="en-US" w:eastAsia="zh-CN"/>
              </w:rPr>
              <w:t>支付合同全款</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bCs/>
                <w:color w:val="auto"/>
                <w:sz w:val="24"/>
                <w:szCs w:val="24"/>
                <w:lang w:val="en-US" w:eastAsia="zh-CN"/>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de-DE" w:eastAsia="zh-CN"/>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de-DE" w:eastAsia="zh-CN"/>
              </w:rPr>
              <w:t>2.其他未尽事宜由供需双方在采购合同中详细约定。</w:t>
            </w:r>
          </w:p>
        </w:tc>
      </w:tr>
    </w:tbl>
    <w:p>
      <w:pPr>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10" w:type="default"/>
          <w:footerReference r:id="rId11" w:type="even"/>
          <w:pgSz w:w="11907" w:h="16840"/>
          <w:pgMar w:top="907" w:right="907" w:bottom="907" w:left="850" w:header="964" w:footer="992" w:gutter="0"/>
          <w:pgNumType w:fmt="numberInDash"/>
          <w:cols w:space="720" w:num="1"/>
          <w:docGrid w:linePitch="381" w:charSpace="0"/>
        </w:sectPr>
      </w:pPr>
    </w:p>
    <w:bookmarkEnd w:id="0"/>
    <w:bookmarkEnd w:id="1"/>
    <w:bookmarkEnd w:id="2"/>
    <w:bookmarkEnd w:id="3"/>
    <w:bookmarkEnd w:id="75"/>
    <w:p>
      <w:pPr>
        <w:pStyle w:val="4"/>
        <w:spacing w:before="200" w:after="200" w:line="240" w:lineRule="auto"/>
        <w:jc w:val="center"/>
        <w:rPr>
          <w:rFonts w:hint="eastAsia" w:ascii="微软雅黑" w:hAnsi="微软雅黑" w:eastAsia="微软雅黑" w:cs="微软雅黑"/>
          <w:color w:val="auto"/>
          <w:sz w:val="44"/>
        </w:rPr>
      </w:pPr>
      <w:bookmarkStart w:id="112" w:name="_Toc26417"/>
      <w:bookmarkStart w:id="113" w:name="_Toc11315"/>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4" w:name="_Toc28513"/>
      <w:bookmarkStart w:id="115" w:name="_Toc76462333"/>
      <w:bookmarkStart w:id="116" w:name="_Toc26127"/>
      <w:bookmarkStart w:id="117" w:name="_Toc106030888"/>
      <w:bookmarkStart w:id="118" w:name="_Toc14958"/>
      <w:bookmarkStart w:id="119" w:name="_Toc25412"/>
      <w:r>
        <w:rPr>
          <w:rFonts w:hint="eastAsia" w:ascii="微软雅黑" w:hAnsi="微软雅黑" w:eastAsia="微软雅黑" w:cs="微软雅黑"/>
          <w:color w:val="auto"/>
          <w:sz w:val="24"/>
        </w:rPr>
        <w:t>一、公开比选采购程序</w:t>
      </w:r>
      <w:bookmarkEnd w:id="114"/>
      <w:bookmarkEnd w:id="115"/>
      <w:bookmarkEnd w:id="116"/>
      <w:bookmarkEnd w:id="117"/>
      <w:bookmarkEnd w:id="118"/>
      <w:bookmarkEnd w:id="11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0" w:name="_Toc32269"/>
      <w:bookmarkStart w:id="121" w:name="_Toc32521"/>
      <w:bookmarkStart w:id="122" w:name="_Toc25824"/>
      <w:bookmarkStart w:id="123" w:name="_Toc16728"/>
      <w:r>
        <w:rPr>
          <w:rFonts w:hint="eastAsia" w:ascii="微软雅黑" w:hAnsi="微软雅黑" w:eastAsia="微软雅黑" w:cs="微软雅黑"/>
          <w:color w:val="auto"/>
          <w:sz w:val="24"/>
          <w:lang w:val="en-US" w:eastAsia="zh-CN"/>
        </w:rPr>
        <w:t>二、</w:t>
      </w:r>
      <w:bookmarkEnd w:id="120"/>
      <w:bookmarkEnd w:id="121"/>
      <w:bookmarkStart w:id="124" w:name="_Toc23550"/>
      <w:bookmarkStart w:id="125" w:name="_Toc28874"/>
      <w:r>
        <w:rPr>
          <w:rFonts w:hint="eastAsia" w:ascii="微软雅黑" w:hAnsi="微软雅黑" w:eastAsia="微软雅黑" w:cs="微软雅黑"/>
          <w:color w:val="auto"/>
          <w:sz w:val="24"/>
          <w:lang w:val="en-US" w:eastAsia="zh-CN"/>
        </w:rPr>
        <w:t>评标方法</w:t>
      </w:r>
      <w:bookmarkEnd w:id="122"/>
      <w:bookmarkEnd w:id="123"/>
      <w:bookmarkEnd w:id="124"/>
      <w:bookmarkEnd w:id="125"/>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6" w:name="_Toc106030889"/>
      <w:bookmarkStart w:id="127" w:name="_Toc29611"/>
      <w:bookmarkStart w:id="128" w:name="_Toc2549"/>
      <w:bookmarkStart w:id="129" w:name="_Toc14542"/>
      <w:bookmarkStart w:id="130" w:name="_Toc18577"/>
      <w:bookmarkStart w:id="131" w:name="_Toc30944"/>
      <w:bookmarkStart w:id="132" w:name="_Toc76462334"/>
      <w:r>
        <w:rPr>
          <w:rFonts w:hint="eastAsia" w:ascii="微软雅黑" w:hAnsi="微软雅黑" w:eastAsia="微软雅黑" w:cs="微软雅黑"/>
          <w:color w:val="auto"/>
          <w:sz w:val="24"/>
          <w:lang w:val="en-US" w:eastAsia="zh-CN"/>
        </w:rPr>
        <w:t>三、评审标准</w:t>
      </w:r>
      <w:bookmarkEnd w:id="126"/>
      <w:bookmarkEnd w:id="127"/>
      <w:bookmarkEnd w:id="128"/>
      <w:bookmarkEnd w:id="129"/>
      <w:bookmarkEnd w:id="130"/>
      <w:bookmarkEnd w:id="131"/>
      <w:bookmarkEnd w:id="132"/>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bookmarkStart w:id="133" w:name="_Toc8670"/>
            <w:bookmarkStart w:id="134" w:name="_Toc17606"/>
            <w:bookmarkStart w:id="135" w:name="_Toc17288"/>
            <w:r>
              <w:rPr>
                <w:rFonts w:hint="eastAsia" w:ascii="微软雅黑" w:hAnsi="微软雅黑" w:eastAsia="微软雅黑" w:cs="微软雅黑"/>
                <w:color w:val="auto"/>
                <w:kern w:val="2"/>
                <w:sz w:val="21"/>
                <w:szCs w:val="21"/>
                <w:lang w:val="en-US" w:eastAsia="zh-CN" w:bidi="ar-SA"/>
              </w:rPr>
              <w:t>序号</w:t>
            </w:r>
          </w:p>
        </w:tc>
        <w:tc>
          <w:tcPr>
            <w:tcW w:w="1462"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评分因素</w:t>
            </w:r>
          </w:p>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及权重</w:t>
            </w:r>
          </w:p>
        </w:tc>
        <w:tc>
          <w:tcPr>
            <w:tcW w:w="913"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分值</w:t>
            </w:r>
          </w:p>
        </w:tc>
        <w:tc>
          <w:tcPr>
            <w:tcW w:w="3978"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w:t>
            </w:r>
          </w:p>
        </w:tc>
        <w:tc>
          <w:tcPr>
            <w:tcW w:w="1462"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投标报价</w:t>
            </w:r>
          </w:p>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（30%）</w:t>
            </w:r>
          </w:p>
        </w:tc>
        <w:tc>
          <w:tcPr>
            <w:tcW w:w="913"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30</w:t>
            </w:r>
          </w:p>
        </w:tc>
        <w:tc>
          <w:tcPr>
            <w:tcW w:w="3978"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有效的投标报价中的最低价为评标基准价，其价格分为满分。其他投标人的价格分统一按照下列公式计算：</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投标报价得分＝（评标基准价/投标报价）×价格权重×100。</w:t>
            </w:r>
          </w:p>
        </w:tc>
        <w:tc>
          <w:tcPr>
            <w:tcW w:w="2440" w:type="dxa"/>
            <w:vAlign w:val="center"/>
          </w:tcPr>
          <w:p>
            <w:pPr>
              <w:ind w:left="-38"/>
              <w:rPr>
                <w:rFonts w:hint="eastAsia"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8" w:type="dxa"/>
            <w:gridSpan w:val="5"/>
            <w:vAlign w:val="center"/>
          </w:tcPr>
          <w:p>
            <w:pPr>
              <w:ind w:left="-38"/>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w:t>
            </w:r>
          </w:p>
        </w:tc>
        <w:tc>
          <w:tcPr>
            <w:tcW w:w="1462"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技术（质量）部分</w:t>
            </w:r>
          </w:p>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（50%）</w:t>
            </w:r>
          </w:p>
        </w:tc>
        <w:tc>
          <w:tcPr>
            <w:tcW w:w="913" w:type="dxa"/>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50</w:t>
            </w:r>
          </w:p>
        </w:tc>
        <w:tc>
          <w:tcPr>
            <w:tcW w:w="3978"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1.起评分：</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有效投标人的起评分为50分。</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2.扣分条款：</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2.1投标文件投标应答有一条不满足招标文件重要技术需求的（本招标文件第二篇中带“▲”号标注的部分，共计7条），从起评分中扣除6.8分，扣完为止。</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2.2投标文件投标应答有一条不满足招标文件一般性技术需求的（本招标文件第二篇中“○”号标注的部分，共计8条），从起评分中扣除0.3分，扣完为止。</w:t>
            </w:r>
          </w:p>
        </w:tc>
        <w:tc>
          <w:tcPr>
            <w:tcW w:w="2440" w:type="dxa"/>
            <w:vAlign w:val="center"/>
          </w:tcPr>
          <w:p>
            <w:pPr>
              <w:rPr>
                <w:rFonts w:hint="eastAsia"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8" w:type="dxa"/>
            <w:gridSpan w:val="5"/>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投标人的应答应满足招标文件“商务需求”，有一条不满足的（“※”号标注的部分除外），商务部分得分为0分，不再进入商务部分的评审。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1" w:hRule="atLeast"/>
          <w:jc w:val="center"/>
        </w:trPr>
        <w:tc>
          <w:tcPr>
            <w:tcW w:w="835" w:type="dxa"/>
            <w:vMerge w:val="restart"/>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3</w:t>
            </w:r>
          </w:p>
        </w:tc>
        <w:tc>
          <w:tcPr>
            <w:tcW w:w="1462" w:type="dxa"/>
            <w:vMerge w:val="restart"/>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商务部分</w:t>
            </w:r>
          </w:p>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（20%）</w:t>
            </w:r>
          </w:p>
        </w:tc>
        <w:tc>
          <w:tcPr>
            <w:tcW w:w="913" w:type="dxa"/>
            <w:vMerge w:val="restart"/>
            <w:vAlign w:val="center"/>
          </w:tcPr>
          <w:p>
            <w:pPr>
              <w:ind w:firstLine="28"/>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售后服务15</w:t>
            </w:r>
          </w:p>
        </w:tc>
        <w:tc>
          <w:tcPr>
            <w:tcW w:w="3978"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1.维保服务方案</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投标人提供维保服务方案，方案内容包括日常维修保养、巡查、年度大保养计划。方案内容不存在瑕疵，得3分；</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方案内容存在1处瑕疵，得1分；</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方案内容存在2处及以上瑕疵或未提供方案得0分。</w:t>
            </w:r>
          </w:p>
        </w:tc>
        <w:tc>
          <w:tcPr>
            <w:tcW w:w="2440" w:type="dxa"/>
            <w:vMerge w:val="restart"/>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提供方案，格式自拟。</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注：本项内容中所称的“瑕疵”指以下内容：</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②方案内容表述前后矛盾、无连贯性；</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③维保服务范围或售后服务范围覆盖不全、服务流程低效；</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⑤方案内容并无体现时效性的售后处理计划或保养巡查计划安排；</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⑥方案中提出的措施不利于本项目目标的实现；</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⑦现有科学技术条件下不可能实现的情形；</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835"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1462"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913"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3978"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2.售后服务方案</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根据投标人提供的售后服务方案进行评审，方案内容包括售后服务流程、售后服务范围、维修时间等。</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方案内容不存在瑕疵，得3分；</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方案内容存在1处瑕疵，得1分；</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方案内容存在2处及以上瑕疵或未提供方案得0分。</w:t>
            </w:r>
          </w:p>
        </w:tc>
        <w:tc>
          <w:tcPr>
            <w:tcW w:w="2440" w:type="dxa"/>
            <w:vMerge w:val="continue"/>
            <w:vAlign w:val="center"/>
          </w:tcPr>
          <w:p>
            <w:pPr>
              <w:rPr>
                <w:rFonts w:hint="eastAsia"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835"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1462"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913"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3978"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3.质量保证期</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所投产品质量保证期在满足招标文件质保期要求的前提下，每增加1年加1分，本项最多加3分。</w:t>
            </w:r>
          </w:p>
        </w:tc>
        <w:tc>
          <w:tcPr>
            <w:tcW w:w="2440"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1462"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913"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3978"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4.质保期后要求</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投标人承诺，质保期到期后，每年所投产品维保费≤中标单价金额的5%得3分，维保费为中标单价金额的5%（不含）-6%得1.5分，维保费为中标单价金额的6%（不含）-7%得1分，维保费为中标单价金额的7%（不含）-8%得0.5分，超出中标单价金额/中标金额的8%或未提供承诺函得0分。</w:t>
            </w:r>
          </w:p>
        </w:tc>
        <w:tc>
          <w:tcPr>
            <w:tcW w:w="2440"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提供生产厂家承诺函，格式自拟。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1462"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913"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3978"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5.质保增值服务</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质量保证期内，除采购人所需零配件均由中标人免费提供之外，中标人承诺免费提供设备所需易损件及耗材的，得3分，其余情况得0分。</w:t>
            </w:r>
          </w:p>
        </w:tc>
        <w:tc>
          <w:tcPr>
            <w:tcW w:w="2440"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提供承诺函，格式自拟，并加盖投标人公章；该部分内容将作为项目合同附件。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1462" w:type="dxa"/>
            <w:vMerge w:val="continue"/>
            <w:vAlign w:val="center"/>
          </w:tcPr>
          <w:p>
            <w:pPr>
              <w:ind w:firstLine="28"/>
              <w:jc w:val="center"/>
              <w:rPr>
                <w:rFonts w:hint="eastAsia" w:ascii="微软雅黑" w:hAnsi="微软雅黑" w:eastAsia="微软雅黑" w:cs="微软雅黑"/>
                <w:color w:val="auto"/>
                <w:kern w:val="2"/>
                <w:sz w:val="21"/>
                <w:szCs w:val="21"/>
                <w:lang w:val="en-US" w:eastAsia="zh-CN" w:bidi="ar-SA"/>
              </w:rPr>
            </w:pPr>
          </w:p>
        </w:tc>
        <w:tc>
          <w:tcPr>
            <w:tcW w:w="913" w:type="dxa"/>
            <w:vAlign w:val="center"/>
          </w:tcPr>
          <w:p>
            <w:pPr>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履约能力5</w:t>
            </w:r>
          </w:p>
        </w:tc>
        <w:tc>
          <w:tcPr>
            <w:tcW w:w="3978"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2022年1月1日至投标截止时间止（以合同签订时间为准)，投标人或所投产品制造商有所投同品牌同型号产品的销售业绩（买方非经销商或代理商），提供一个业绩得1分，本项最多得5分，不满足或未提供对应佐证材料的得0分。</w:t>
            </w:r>
          </w:p>
        </w:tc>
        <w:tc>
          <w:tcPr>
            <w:tcW w:w="2440" w:type="dxa"/>
            <w:vAlign w:val="center"/>
          </w:tcPr>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1.提供业绩合同复印件（合同内容至少包含合同首页，产品信息页（内容包含产品型号规格和数量）、签字盖章页）。</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3.同一业绩合同只计分一次。</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四、无效响应</w:t>
      </w:r>
      <w:bookmarkEnd w:id="133"/>
      <w:bookmarkEnd w:id="134"/>
      <w:bookmarkEnd w:id="135"/>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6" w:name="_Toc10687"/>
      <w:bookmarkStart w:id="137" w:name="_Toc106030891"/>
      <w:bookmarkStart w:id="138" w:name="_Toc12222"/>
      <w:bookmarkStart w:id="139" w:name="_Toc76462336"/>
      <w:bookmarkStart w:id="140" w:name="_Toc25723"/>
      <w:bookmarkStart w:id="141" w:name="_Toc12481"/>
      <w:r>
        <w:rPr>
          <w:rFonts w:hint="eastAsia" w:ascii="微软雅黑" w:hAnsi="微软雅黑" w:eastAsia="微软雅黑" w:cs="微软雅黑"/>
          <w:color w:val="auto"/>
          <w:sz w:val="24"/>
        </w:rPr>
        <w:t>五、</w:t>
      </w:r>
      <w:bookmarkEnd w:id="136"/>
      <w:bookmarkEnd w:id="137"/>
      <w:bookmarkEnd w:id="138"/>
      <w:bookmarkEnd w:id="139"/>
      <w:r>
        <w:rPr>
          <w:rFonts w:hint="eastAsia" w:ascii="微软雅黑" w:hAnsi="微软雅黑" w:eastAsia="微软雅黑" w:cs="微软雅黑"/>
          <w:color w:val="auto"/>
          <w:sz w:val="24"/>
        </w:rPr>
        <w:t>废标条款</w:t>
      </w:r>
      <w:bookmarkEnd w:id="140"/>
      <w:bookmarkEnd w:id="141"/>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headerReference r:id="rId12" w:type="default"/>
          <w:footerReference r:id="rId13"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42" w:name="_Toc106030892"/>
      <w:bookmarkStart w:id="143" w:name="_Toc29948"/>
      <w:bookmarkStart w:id="144" w:name="_Toc16624"/>
      <w:bookmarkStart w:id="145" w:name="_Toc102227313"/>
      <w:bookmarkStart w:id="146" w:name="_Toc76462337"/>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2"/>
      <w:bookmarkEnd w:id="143"/>
      <w:bookmarkEnd w:id="144"/>
      <w:bookmarkEnd w:id="145"/>
      <w:bookmarkEnd w:id="146"/>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7" w:name="_Toc342913389"/>
      <w:bookmarkStart w:id="148" w:name="_Toc26717"/>
      <w:bookmarkStart w:id="149" w:name="_Toc76462338"/>
      <w:bookmarkStart w:id="150" w:name="_Toc106030893"/>
      <w:bookmarkStart w:id="151" w:name="_Toc9624"/>
      <w:r>
        <w:rPr>
          <w:rFonts w:hint="eastAsia" w:ascii="微软雅黑" w:hAnsi="微软雅黑" w:eastAsia="微软雅黑" w:cs="微软雅黑"/>
          <w:color w:val="auto"/>
          <w:sz w:val="24"/>
        </w:rPr>
        <w:t>一、公开比选费用</w:t>
      </w:r>
      <w:bookmarkEnd w:id="147"/>
      <w:bookmarkEnd w:id="148"/>
      <w:bookmarkEnd w:id="149"/>
      <w:bookmarkEnd w:id="150"/>
      <w:bookmarkEnd w:id="151"/>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2" w:name="_Toc76462339"/>
      <w:bookmarkStart w:id="153" w:name="_Toc106030894"/>
      <w:bookmarkStart w:id="154" w:name="_Toc15712"/>
      <w:bookmarkStart w:id="155" w:name="_Toc342913391"/>
      <w:bookmarkStart w:id="156" w:name="_Toc8631"/>
      <w:r>
        <w:rPr>
          <w:rFonts w:hint="eastAsia" w:ascii="微软雅黑" w:hAnsi="微软雅黑" w:eastAsia="微软雅黑" w:cs="微软雅黑"/>
          <w:color w:val="auto"/>
          <w:sz w:val="24"/>
        </w:rPr>
        <w:t>二、公开比选采购文件</w:t>
      </w:r>
      <w:bookmarkEnd w:id="152"/>
      <w:bookmarkEnd w:id="153"/>
      <w:bookmarkEnd w:id="154"/>
      <w:bookmarkEnd w:id="155"/>
      <w:bookmarkEnd w:id="15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7" w:name="_Toc318166429"/>
      <w:bookmarkStart w:id="158" w:name="_Toc318159160"/>
      <w:bookmarkStart w:id="159" w:name="_Toc318159780"/>
      <w:bookmarkStart w:id="160" w:name="_Toc318159349"/>
    </w:p>
    <w:bookmarkEnd w:id="157"/>
    <w:bookmarkEnd w:id="158"/>
    <w:bookmarkEnd w:id="159"/>
    <w:bookmarkEnd w:id="160"/>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1" w:name="_Toc26007"/>
      <w:bookmarkStart w:id="162" w:name="_Toc106030895"/>
      <w:bookmarkStart w:id="163" w:name="_Toc179714297"/>
      <w:bookmarkStart w:id="164" w:name="_Toc102227318"/>
      <w:bookmarkStart w:id="165" w:name="_Toc9861"/>
      <w:bookmarkStart w:id="166" w:name="_Toc76462340"/>
      <w:bookmarkStart w:id="167" w:name="_Toc342913392"/>
      <w:r>
        <w:rPr>
          <w:rFonts w:hint="eastAsia" w:ascii="微软雅黑" w:hAnsi="微软雅黑" w:eastAsia="微软雅黑" w:cs="微软雅黑"/>
          <w:color w:val="auto"/>
          <w:sz w:val="24"/>
        </w:rPr>
        <w:t>三、比选要求</w:t>
      </w:r>
      <w:bookmarkEnd w:id="161"/>
      <w:bookmarkEnd w:id="162"/>
      <w:bookmarkEnd w:id="163"/>
      <w:bookmarkEnd w:id="164"/>
      <w:bookmarkEnd w:id="165"/>
      <w:bookmarkEnd w:id="166"/>
      <w:bookmarkEnd w:id="167"/>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2"/>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8" w:name="_Toc106030896"/>
      <w:bookmarkStart w:id="169" w:name="_Toc76462341"/>
      <w:bookmarkStart w:id="170" w:name="_Toc6435"/>
      <w:bookmarkStart w:id="171" w:name="_Toc1612"/>
      <w:r>
        <w:rPr>
          <w:rFonts w:hint="eastAsia" w:ascii="微软雅黑" w:hAnsi="微软雅黑" w:eastAsia="微软雅黑" w:cs="微软雅黑"/>
          <w:color w:val="auto"/>
          <w:sz w:val="24"/>
        </w:rPr>
        <w:t>四、中标人的确认和变更</w:t>
      </w:r>
      <w:bookmarkEnd w:id="168"/>
      <w:bookmarkEnd w:id="169"/>
      <w:bookmarkEnd w:id="170"/>
      <w:bookmarkEnd w:id="171"/>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2" w:name="_Toc102227321"/>
      <w:bookmarkStart w:id="173" w:name="_Toc20309"/>
      <w:bookmarkStart w:id="174" w:name="_Toc106030897"/>
      <w:bookmarkStart w:id="175" w:name="_Toc342913395"/>
      <w:bookmarkStart w:id="176" w:name="_Toc21532"/>
      <w:bookmarkStart w:id="177" w:name="_Toc76462342"/>
      <w:r>
        <w:rPr>
          <w:rFonts w:hint="eastAsia" w:ascii="微软雅黑" w:hAnsi="微软雅黑" w:eastAsia="微软雅黑" w:cs="微软雅黑"/>
          <w:color w:val="auto"/>
          <w:sz w:val="24"/>
        </w:rPr>
        <w:t>五、成交通知</w:t>
      </w:r>
      <w:bookmarkEnd w:id="172"/>
      <w:bookmarkEnd w:id="173"/>
      <w:bookmarkEnd w:id="174"/>
      <w:bookmarkEnd w:id="175"/>
      <w:bookmarkEnd w:id="176"/>
      <w:bookmarkEnd w:id="177"/>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8" w:name="_Toc25162"/>
      <w:bookmarkStart w:id="179" w:name="_Toc21448"/>
      <w:bookmarkStart w:id="180" w:name="_Toc106030898"/>
      <w:bookmarkStart w:id="181" w:name="_Toc76462343"/>
      <w:r>
        <w:rPr>
          <w:rFonts w:hint="eastAsia" w:ascii="微软雅黑" w:hAnsi="微软雅黑" w:eastAsia="微软雅黑" w:cs="微软雅黑"/>
          <w:color w:val="auto"/>
          <w:sz w:val="24"/>
        </w:rPr>
        <w:t>六、质疑处理</w:t>
      </w:r>
      <w:bookmarkEnd w:id="178"/>
      <w:bookmarkEnd w:id="179"/>
      <w:bookmarkEnd w:id="180"/>
      <w:bookmarkEnd w:id="18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w:t>
      </w:r>
      <w:r>
        <w:rPr>
          <w:rFonts w:hint="eastAsia" w:ascii="微软雅黑" w:hAnsi="微软雅黑" w:eastAsia="微软雅黑" w:cs="微软雅黑"/>
          <w:color w:val="auto"/>
          <w:sz w:val="24"/>
          <w:lang w:val="en-US" w:eastAsia="zh-CN"/>
        </w:rPr>
        <w:t>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2" w:name="_Toc106030899"/>
      <w:bookmarkStart w:id="183" w:name="_Toc28334"/>
      <w:bookmarkStart w:id="184"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5" w:name="_Toc10669"/>
      <w:r>
        <w:rPr>
          <w:rFonts w:hint="eastAsia" w:ascii="微软雅黑" w:hAnsi="微软雅黑" w:eastAsia="微软雅黑" w:cs="微软雅黑"/>
          <w:color w:val="auto"/>
          <w:sz w:val="24"/>
        </w:rPr>
        <w:t>七、</w:t>
      </w:r>
      <w:bookmarkEnd w:id="182"/>
      <w:bookmarkEnd w:id="183"/>
      <w:bookmarkEnd w:id="184"/>
      <w:bookmarkStart w:id="186" w:name="_Toc102227322"/>
      <w:bookmarkStart w:id="187" w:name="_Toc3372"/>
      <w:bookmarkStart w:id="188" w:name="_Toc76462346"/>
      <w:bookmarkStart w:id="189" w:name="_Toc342913396"/>
      <w:bookmarkStart w:id="190" w:name="_Toc106030901"/>
      <w:bookmarkStart w:id="191" w:name="_Toc11641055"/>
      <w:bookmarkStart w:id="192" w:name="_Toc12789059"/>
      <w:r>
        <w:rPr>
          <w:rFonts w:hint="eastAsia" w:ascii="微软雅黑" w:hAnsi="微软雅黑" w:eastAsia="微软雅黑" w:cs="微软雅黑"/>
          <w:color w:val="auto"/>
          <w:sz w:val="24"/>
        </w:rPr>
        <w:t>签订</w:t>
      </w:r>
      <w:bookmarkEnd w:id="186"/>
      <w:r>
        <w:rPr>
          <w:rFonts w:hint="eastAsia" w:ascii="微软雅黑" w:hAnsi="微软雅黑" w:eastAsia="微软雅黑" w:cs="微软雅黑"/>
          <w:color w:val="auto"/>
          <w:sz w:val="24"/>
        </w:rPr>
        <w:t>合同</w:t>
      </w:r>
      <w:bookmarkEnd w:id="185"/>
      <w:bookmarkEnd w:id="187"/>
      <w:bookmarkEnd w:id="188"/>
      <w:bookmarkEnd w:id="189"/>
      <w:bookmarkEnd w:id="190"/>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4" w:type="default"/>
          <w:footerReference r:id="rId15"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1"/>
      <w:bookmarkEnd w:id="192"/>
    </w:p>
    <w:p>
      <w:pPr>
        <w:pStyle w:val="4"/>
        <w:spacing w:before="200" w:after="200" w:line="240" w:lineRule="auto"/>
        <w:jc w:val="center"/>
        <w:rPr>
          <w:rFonts w:hint="eastAsia" w:ascii="微软雅黑" w:hAnsi="微软雅黑" w:eastAsia="微软雅黑" w:cs="微软雅黑"/>
          <w:color w:val="auto"/>
          <w:sz w:val="44"/>
        </w:rPr>
      </w:pPr>
      <w:bookmarkStart w:id="193" w:name="_Hlt41879464"/>
      <w:bookmarkEnd w:id="193"/>
      <w:bookmarkStart w:id="194" w:name="_Toc13170"/>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9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rPr>
        <w:t>综合评标响应情况表</w:t>
      </w:r>
    </w:p>
    <w:p>
      <w:pPr>
        <w:spacing w:line="360" w:lineRule="auto"/>
        <w:jc w:val="both"/>
        <w:outlineLvl w:val="0"/>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rPr>
      </w:pPr>
    </w:p>
    <w:p>
      <w:pPr>
        <w:spacing w:line="360" w:lineRule="auto"/>
        <w:ind w:firstLine="480" w:firstLineChars="200"/>
        <w:jc w:val="center"/>
        <w:outlineLvl w:val="0"/>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4"/>
    </w:p>
    <w:sectPr>
      <w:headerReference r:id="rId16" w:type="default"/>
      <w:foot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1F6604"/>
    <w:rsid w:val="032339C1"/>
    <w:rsid w:val="03502CFD"/>
    <w:rsid w:val="039F2B72"/>
    <w:rsid w:val="05B83278"/>
    <w:rsid w:val="07486D0C"/>
    <w:rsid w:val="079B568B"/>
    <w:rsid w:val="07F103E0"/>
    <w:rsid w:val="092E6FC0"/>
    <w:rsid w:val="0A5B1BB3"/>
    <w:rsid w:val="0AEE1399"/>
    <w:rsid w:val="0BB87E47"/>
    <w:rsid w:val="0BEB3E35"/>
    <w:rsid w:val="0C3E4D15"/>
    <w:rsid w:val="0D1F249B"/>
    <w:rsid w:val="0D26388C"/>
    <w:rsid w:val="0D2D45FA"/>
    <w:rsid w:val="0D8A3C16"/>
    <w:rsid w:val="0EF9321E"/>
    <w:rsid w:val="0F4F0F37"/>
    <w:rsid w:val="0FBA6FCD"/>
    <w:rsid w:val="1009316D"/>
    <w:rsid w:val="108300B5"/>
    <w:rsid w:val="11044578"/>
    <w:rsid w:val="11C41133"/>
    <w:rsid w:val="1317485C"/>
    <w:rsid w:val="137A0EEC"/>
    <w:rsid w:val="13D824C6"/>
    <w:rsid w:val="147A5E14"/>
    <w:rsid w:val="14D11CFB"/>
    <w:rsid w:val="15935DB5"/>
    <w:rsid w:val="15BB3449"/>
    <w:rsid w:val="17324323"/>
    <w:rsid w:val="17A1211B"/>
    <w:rsid w:val="17F359FB"/>
    <w:rsid w:val="18ED7A84"/>
    <w:rsid w:val="19255AF5"/>
    <w:rsid w:val="1A7E6296"/>
    <w:rsid w:val="1BCD722E"/>
    <w:rsid w:val="1BDA5AD7"/>
    <w:rsid w:val="1F0D01CA"/>
    <w:rsid w:val="21226BB2"/>
    <w:rsid w:val="21864056"/>
    <w:rsid w:val="222348FC"/>
    <w:rsid w:val="22F860AB"/>
    <w:rsid w:val="2486441F"/>
    <w:rsid w:val="24E6174E"/>
    <w:rsid w:val="257A1427"/>
    <w:rsid w:val="25922C5A"/>
    <w:rsid w:val="263535D3"/>
    <w:rsid w:val="273F7D71"/>
    <w:rsid w:val="27EB105A"/>
    <w:rsid w:val="28426BC2"/>
    <w:rsid w:val="2863744A"/>
    <w:rsid w:val="29601F8B"/>
    <w:rsid w:val="296F02CD"/>
    <w:rsid w:val="2AA01F44"/>
    <w:rsid w:val="2C43216E"/>
    <w:rsid w:val="2CD472B8"/>
    <w:rsid w:val="2D113368"/>
    <w:rsid w:val="2D4B12DF"/>
    <w:rsid w:val="2DB02B6B"/>
    <w:rsid w:val="2EB17C28"/>
    <w:rsid w:val="2ED06C87"/>
    <w:rsid w:val="300C58E0"/>
    <w:rsid w:val="30607DAE"/>
    <w:rsid w:val="31DA5A58"/>
    <w:rsid w:val="32FD7152"/>
    <w:rsid w:val="332D1E43"/>
    <w:rsid w:val="33D42561"/>
    <w:rsid w:val="34692D0C"/>
    <w:rsid w:val="34A20882"/>
    <w:rsid w:val="34B67588"/>
    <w:rsid w:val="35AA6A30"/>
    <w:rsid w:val="361F2D7D"/>
    <w:rsid w:val="365370CC"/>
    <w:rsid w:val="37556B60"/>
    <w:rsid w:val="38CD7FDC"/>
    <w:rsid w:val="3ACE5D4F"/>
    <w:rsid w:val="3C55524B"/>
    <w:rsid w:val="3CCE1388"/>
    <w:rsid w:val="3DF6488D"/>
    <w:rsid w:val="3F1C71CA"/>
    <w:rsid w:val="406334F2"/>
    <w:rsid w:val="406D5057"/>
    <w:rsid w:val="409F14A1"/>
    <w:rsid w:val="415F6EA3"/>
    <w:rsid w:val="446528DF"/>
    <w:rsid w:val="44F64ED7"/>
    <w:rsid w:val="452C7897"/>
    <w:rsid w:val="46151D23"/>
    <w:rsid w:val="46D026EE"/>
    <w:rsid w:val="475E104C"/>
    <w:rsid w:val="494C6B8D"/>
    <w:rsid w:val="497B7CB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4E16692"/>
    <w:rsid w:val="558E730F"/>
    <w:rsid w:val="56313E1D"/>
    <w:rsid w:val="563900DC"/>
    <w:rsid w:val="56DE0514"/>
    <w:rsid w:val="573C43EC"/>
    <w:rsid w:val="57857077"/>
    <w:rsid w:val="58EA1C45"/>
    <w:rsid w:val="59AE6800"/>
    <w:rsid w:val="59D52FEA"/>
    <w:rsid w:val="5A1F6A46"/>
    <w:rsid w:val="5CA67F0E"/>
    <w:rsid w:val="5DAD4E7C"/>
    <w:rsid w:val="5DB97A48"/>
    <w:rsid w:val="5E16050E"/>
    <w:rsid w:val="5E3D2C1E"/>
    <w:rsid w:val="5EFE2025"/>
    <w:rsid w:val="5F05278C"/>
    <w:rsid w:val="60CB5C8F"/>
    <w:rsid w:val="61743609"/>
    <w:rsid w:val="6190049D"/>
    <w:rsid w:val="628D3A49"/>
    <w:rsid w:val="648E3C9A"/>
    <w:rsid w:val="6493239B"/>
    <w:rsid w:val="64DA4767"/>
    <w:rsid w:val="65170F5B"/>
    <w:rsid w:val="65215328"/>
    <w:rsid w:val="670A099E"/>
    <w:rsid w:val="68BD663A"/>
    <w:rsid w:val="692F74C0"/>
    <w:rsid w:val="696405DD"/>
    <w:rsid w:val="69BE2355"/>
    <w:rsid w:val="6B75107A"/>
    <w:rsid w:val="6D5236ED"/>
    <w:rsid w:val="6E3765B6"/>
    <w:rsid w:val="6F1D384D"/>
    <w:rsid w:val="6FE969BF"/>
    <w:rsid w:val="701245F9"/>
    <w:rsid w:val="70466F1B"/>
    <w:rsid w:val="71175C34"/>
    <w:rsid w:val="74D70DF7"/>
    <w:rsid w:val="750950F5"/>
    <w:rsid w:val="750D16CF"/>
    <w:rsid w:val="76F6623C"/>
    <w:rsid w:val="773622B4"/>
    <w:rsid w:val="78107232"/>
    <w:rsid w:val="789F3DA6"/>
    <w:rsid w:val="78A52377"/>
    <w:rsid w:val="79082185"/>
    <w:rsid w:val="791259F2"/>
    <w:rsid w:val="7A6F77AB"/>
    <w:rsid w:val="7ABA3FBA"/>
    <w:rsid w:val="7B3C12E1"/>
    <w:rsid w:val="7B5B7497"/>
    <w:rsid w:val="7BEF5F10"/>
    <w:rsid w:val="7C567AC5"/>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line="180" w:lineRule="auto"/>
      <w:jc w:val="center"/>
    </w:pPr>
    <w:rPr>
      <w:sz w:val="30"/>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2026-04-24T06:48:54Z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79F62B5604D54D9B9166B3DDF2D7B8D1</vt:lpwstr>
  </property>
</Properties>
</file>