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color w:val="auto"/>
        </w:rPr>
      </w:pPr>
      <w:bookmarkStart w:id="0" w:name="_Toc106030887"/>
      <w:bookmarkStart w:id="1" w:name="_Toc7651"/>
      <w:bookmarkStart w:id="2" w:name="_Toc6692"/>
      <w:bookmarkStart w:id="3" w:name="_Toc76462332"/>
      <w:bookmarkStart w:id="4" w:name="OLE_LINK1"/>
    </w:p>
    <w:p>
      <w:pPr>
        <w:spacing w:line="1600" w:lineRule="exact"/>
        <w:jc w:val="center"/>
        <w:outlineLvl w:val="0"/>
        <w:rPr>
          <w:rFonts w:hint="eastAsia" w:ascii="微软雅黑" w:hAnsi="微软雅黑" w:eastAsia="微软雅黑" w:cs="微软雅黑"/>
          <w:color w:val="auto"/>
          <w:sz w:val="100"/>
        </w:rPr>
      </w:pP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公开比选</w:t>
      </w:r>
    </w:p>
    <w:p>
      <w:pPr>
        <w:spacing w:line="1600" w:lineRule="exact"/>
        <w:jc w:val="center"/>
        <w:outlineLvl w:val="0"/>
        <w:rPr>
          <w:rFonts w:hint="eastAsia" w:ascii="微软雅黑" w:hAnsi="微软雅黑" w:eastAsia="微软雅黑" w:cs="微软雅黑"/>
          <w:color w:val="auto"/>
          <w:sz w:val="130"/>
          <w:szCs w:val="130"/>
        </w:rPr>
      </w:pPr>
      <w:r>
        <w:rPr>
          <w:rFonts w:hint="eastAsia" w:ascii="微软雅黑" w:hAnsi="微软雅黑" w:eastAsia="微软雅黑" w:cs="微软雅黑"/>
          <w:color w:val="auto"/>
          <w:sz w:val="130"/>
          <w:szCs w:val="130"/>
        </w:rPr>
        <w:t>采购文件</w:t>
      </w:r>
    </w:p>
    <w:p>
      <w:pPr>
        <w:pStyle w:val="69"/>
        <w:spacing w:before="100" w:after="100" w:line="300" w:lineRule="auto"/>
        <w:jc w:val="center"/>
        <w:rPr>
          <w:rFonts w:hint="eastAsia" w:ascii="微软雅黑" w:hAnsi="微软雅黑" w:eastAsia="微软雅黑" w:cs="微软雅黑"/>
          <w:color w:val="auto"/>
          <w:sz w:val="32"/>
        </w:rPr>
      </w:pPr>
      <w:r>
        <w:rPr>
          <w:rFonts w:hint="eastAsia" w:ascii="微软雅黑" w:hAnsi="微软雅黑" w:eastAsia="微软雅黑" w:cs="微软雅黑"/>
          <w:b w:val="0"/>
          <w:color w:val="auto"/>
          <w:sz w:val="130"/>
          <w:szCs w:val="130"/>
        </w:rPr>
        <w:t xml:space="preserve">   </w:t>
      </w:r>
    </w:p>
    <w:p>
      <w:pPr>
        <w:pStyle w:val="70"/>
        <w:rPr>
          <w:rFonts w:hint="eastAsia" w:ascii="微软雅黑" w:hAnsi="微软雅黑" w:eastAsia="微软雅黑" w:cs="微软雅黑"/>
          <w:color w:val="auto"/>
          <w:kern w:val="2"/>
          <w:sz w:val="44"/>
          <w:szCs w:val="44"/>
        </w:rPr>
      </w:pPr>
    </w:p>
    <w:p>
      <w:pPr>
        <w:pStyle w:val="70"/>
        <w:rPr>
          <w:rFonts w:hint="eastAsia" w:ascii="微软雅黑" w:hAnsi="微软雅黑" w:eastAsia="微软雅黑" w:cs="微软雅黑"/>
          <w:color w:val="auto"/>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YSB260147</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rPr>
        <w:t>生物安全柜</w:t>
      </w:r>
      <w:r>
        <w:rPr>
          <w:rFonts w:hint="eastAsia" w:ascii="微软雅黑" w:hAnsi="微软雅黑" w:eastAsia="微软雅黑" w:cs="微软雅黑"/>
          <w:color w:val="auto"/>
          <w:sz w:val="36"/>
          <w:szCs w:val="36"/>
          <w:u w:val="single"/>
          <w:lang w:eastAsia="zh-CN"/>
        </w:rPr>
        <w:t>（分包三）</w:t>
      </w:r>
    </w:p>
    <w:p>
      <w:pPr>
        <w:spacing w:line="360" w:lineRule="auto"/>
        <w:ind w:firstLine="1800" w:firstLineChars="500"/>
        <w:outlineLvl w:val="0"/>
        <w:rPr>
          <w:rFonts w:hint="eastAsia" w:ascii="微软雅黑" w:hAnsi="微软雅黑" w:eastAsia="微软雅黑" w:cs="微软雅黑"/>
          <w:color w:val="auto"/>
          <w:sz w:val="36"/>
          <w:szCs w:val="36"/>
          <w:u w:val="single"/>
        </w:rPr>
      </w:pPr>
    </w:p>
    <w:p>
      <w:pPr>
        <w:pStyle w:val="23"/>
        <w:rPr>
          <w:rFonts w:hint="eastAsia"/>
          <w:color w:val="auto"/>
        </w:rPr>
      </w:pPr>
    </w:p>
    <w:p>
      <w:pPr>
        <w:pStyle w:val="23"/>
        <w:rPr>
          <w:rFonts w:hint="eastAsia"/>
          <w:color w:val="auto"/>
        </w:rPr>
      </w:pP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重庆医科大学附属儿童医院</w:t>
      </w:r>
    </w:p>
    <w:p>
      <w:pPr>
        <w:spacing w:line="360" w:lineRule="auto"/>
        <w:jc w:val="center"/>
        <w:outlineLvl w:val="0"/>
        <w:rPr>
          <w:rFonts w:hint="eastAsia" w:ascii="微软雅黑" w:hAnsi="微软雅黑" w:eastAsia="微软雅黑" w:cs="微软雅黑"/>
          <w:color w:val="auto"/>
          <w:sz w:val="36"/>
          <w:szCs w:val="36"/>
          <w:u w:val="single"/>
        </w:rPr>
      </w:pPr>
      <w:r>
        <w:rPr>
          <w:rFonts w:hint="eastAsia" w:ascii="微软雅黑" w:hAnsi="微软雅黑" w:eastAsia="微软雅黑" w:cs="微软雅黑"/>
          <w:color w:val="auto"/>
          <w:sz w:val="36"/>
          <w:szCs w:val="36"/>
          <w:u w:val="single"/>
        </w:rPr>
        <w:t>202</w:t>
      </w:r>
      <w:r>
        <w:rPr>
          <w:rFonts w:hint="eastAsia" w:ascii="微软雅黑" w:hAnsi="微软雅黑" w:eastAsia="微软雅黑" w:cs="微软雅黑"/>
          <w:color w:val="auto"/>
          <w:sz w:val="36"/>
          <w:szCs w:val="36"/>
          <w:u w:val="single"/>
          <w:lang w:val="en-US" w:eastAsia="zh-CN"/>
        </w:rPr>
        <w:t>6</w:t>
      </w:r>
      <w:r>
        <w:rPr>
          <w:rFonts w:hint="eastAsia" w:ascii="微软雅黑" w:hAnsi="微软雅黑" w:eastAsia="微软雅黑" w:cs="微软雅黑"/>
          <w:color w:val="auto"/>
          <w:sz w:val="36"/>
          <w:szCs w:val="36"/>
          <w:u w:val="single"/>
        </w:rPr>
        <w:t>年</w:t>
      </w:r>
      <w:r>
        <w:rPr>
          <w:rFonts w:hint="eastAsia" w:ascii="微软雅黑" w:hAnsi="微软雅黑" w:eastAsia="微软雅黑" w:cs="微软雅黑"/>
          <w:color w:val="auto"/>
          <w:sz w:val="36"/>
          <w:szCs w:val="36"/>
          <w:u w:val="single"/>
          <w:lang w:val="en-US" w:eastAsia="zh-CN"/>
        </w:rPr>
        <w:t>4</w:t>
      </w:r>
      <w:r>
        <w:rPr>
          <w:rFonts w:hint="eastAsia" w:ascii="微软雅黑" w:hAnsi="微软雅黑" w:eastAsia="微软雅黑" w:cs="微软雅黑"/>
          <w:color w:val="auto"/>
          <w:sz w:val="36"/>
          <w:szCs w:val="36"/>
          <w:u w:val="single"/>
        </w:rPr>
        <w:t>月</w:t>
      </w:r>
    </w:p>
    <w:p>
      <w:pPr>
        <w:spacing w:line="720" w:lineRule="exact"/>
        <w:jc w:val="center"/>
        <w:outlineLvl w:val="0"/>
        <w:rPr>
          <w:rFonts w:hint="eastAsia" w:ascii="微软雅黑" w:hAnsi="微软雅黑" w:eastAsia="微软雅黑" w:cs="微软雅黑"/>
          <w:color w:val="auto"/>
          <w:sz w:val="24"/>
          <w:szCs w:val="24"/>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color w:val="auto"/>
          <w:sz w:val="24"/>
          <w:szCs w:val="24"/>
        </w:rPr>
      </w:pPr>
      <w:bookmarkStart w:id="5" w:name="_Toc317775178"/>
      <w:r>
        <w:rPr>
          <w:rFonts w:hint="eastAsia" w:ascii="微软雅黑" w:hAnsi="微软雅黑" w:eastAsia="微软雅黑" w:cs="微软雅黑"/>
          <w:color w:val="auto"/>
          <w:sz w:val="44"/>
          <w:szCs w:val="44"/>
        </w:rPr>
        <w:t>目   录</w:t>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TOC \o "1-3" \h \z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_Toc26011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第一篇  采购邀请书</w:t>
      </w:r>
      <w:r>
        <w:rPr>
          <w:color w:val="auto"/>
          <w:sz w:val="24"/>
          <w:szCs w:val="24"/>
        </w:rPr>
        <w:tab/>
      </w:r>
      <w:r>
        <w:rPr>
          <w:color w:val="auto"/>
          <w:sz w:val="24"/>
          <w:szCs w:val="24"/>
        </w:rPr>
        <w:fldChar w:fldCharType="begin"/>
      </w:r>
      <w:r>
        <w:rPr>
          <w:color w:val="auto"/>
          <w:sz w:val="24"/>
          <w:szCs w:val="24"/>
        </w:rPr>
        <w:instrText xml:space="preserve"> PAGEREF _Toc26011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_Toc23226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一、公开比选采购内容</w:t>
      </w:r>
      <w:r>
        <w:rPr>
          <w:color w:val="auto"/>
          <w:sz w:val="24"/>
          <w:szCs w:val="24"/>
        </w:rPr>
        <w:tab/>
      </w:r>
      <w:r>
        <w:rPr>
          <w:color w:val="auto"/>
          <w:sz w:val="24"/>
          <w:szCs w:val="24"/>
        </w:rPr>
        <w:fldChar w:fldCharType="begin"/>
      </w:r>
      <w:r>
        <w:rPr>
          <w:color w:val="auto"/>
          <w:sz w:val="24"/>
          <w:szCs w:val="24"/>
        </w:rPr>
        <w:instrText xml:space="preserve"> PAGEREF _Toc23226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_Toc5097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二、投标人资格条件</w:t>
      </w:r>
      <w:r>
        <w:rPr>
          <w:color w:val="auto"/>
          <w:sz w:val="24"/>
          <w:szCs w:val="24"/>
        </w:rPr>
        <w:tab/>
      </w:r>
      <w:r>
        <w:rPr>
          <w:color w:val="auto"/>
          <w:sz w:val="24"/>
          <w:szCs w:val="24"/>
        </w:rPr>
        <w:fldChar w:fldCharType="begin"/>
      </w:r>
      <w:r>
        <w:rPr>
          <w:color w:val="auto"/>
          <w:sz w:val="24"/>
          <w:szCs w:val="24"/>
        </w:rPr>
        <w:instrText xml:space="preserve"> PAGEREF _Toc5097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_Toc10792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三、比选有关说明</w:t>
      </w:r>
      <w:r>
        <w:rPr>
          <w:color w:val="auto"/>
          <w:sz w:val="24"/>
          <w:szCs w:val="24"/>
        </w:rPr>
        <w:tab/>
      </w:r>
      <w:r>
        <w:rPr>
          <w:color w:val="auto"/>
          <w:sz w:val="24"/>
          <w:szCs w:val="24"/>
        </w:rPr>
        <w:fldChar w:fldCharType="begin"/>
      </w:r>
      <w:r>
        <w:rPr>
          <w:color w:val="auto"/>
          <w:sz w:val="24"/>
          <w:szCs w:val="24"/>
        </w:rPr>
        <w:instrText xml:space="preserve"> PAGEREF _Toc10792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_Toc16311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、保证金</w:t>
      </w:r>
      <w:r>
        <w:rPr>
          <w:color w:val="auto"/>
          <w:sz w:val="24"/>
          <w:szCs w:val="24"/>
        </w:rPr>
        <w:tab/>
      </w:r>
      <w:r>
        <w:rPr>
          <w:color w:val="auto"/>
          <w:sz w:val="24"/>
          <w:szCs w:val="24"/>
        </w:rPr>
        <w:fldChar w:fldCharType="begin"/>
      </w:r>
      <w:r>
        <w:rPr>
          <w:color w:val="auto"/>
          <w:sz w:val="24"/>
          <w:szCs w:val="24"/>
        </w:rPr>
        <w:instrText xml:space="preserve"> PAGEREF _Toc16311 \h </w:instrText>
      </w:r>
      <w:r>
        <w:rPr>
          <w:color w:val="auto"/>
          <w:sz w:val="24"/>
          <w:szCs w:val="24"/>
        </w:rPr>
        <w:fldChar w:fldCharType="separate"/>
      </w:r>
      <w:r>
        <w:rPr>
          <w:color w:val="auto"/>
          <w:sz w:val="24"/>
          <w:szCs w:val="24"/>
        </w:rPr>
        <w:t>- 3 -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lang w:eastAsia="zh-CN"/>
        </w:rPr>
        <w:t>其他</w:t>
      </w:r>
      <w:r>
        <w:rPr>
          <w:color w:val="auto"/>
          <w:sz w:val="24"/>
          <w:szCs w:val="24"/>
        </w:rPr>
        <w:tab/>
      </w:r>
      <w:r>
        <w:rPr>
          <w:color w:val="auto"/>
          <w:sz w:val="24"/>
          <w:szCs w:val="24"/>
        </w:rPr>
        <w:fldChar w:fldCharType="begin"/>
      </w:r>
      <w:r>
        <w:rPr>
          <w:color w:val="auto"/>
          <w:sz w:val="24"/>
          <w:szCs w:val="24"/>
        </w:rPr>
        <w:instrText xml:space="preserve"> PAGEREF _Toc30228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_Toc30276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、联系方式</w:t>
      </w:r>
      <w:r>
        <w:rPr>
          <w:color w:val="auto"/>
          <w:sz w:val="24"/>
          <w:szCs w:val="24"/>
        </w:rPr>
        <w:tab/>
      </w:r>
      <w:r>
        <w:rPr>
          <w:color w:val="auto"/>
          <w:sz w:val="24"/>
          <w:szCs w:val="24"/>
        </w:rPr>
        <w:fldChar w:fldCharType="begin"/>
      </w:r>
      <w:r>
        <w:rPr>
          <w:color w:val="auto"/>
          <w:sz w:val="24"/>
          <w:szCs w:val="24"/>
        </w:rPr>
        <w:instrText xml:space="preserve"> PAGEREF _Toc30276 \h </w:instrText>
      </w:r>
      <w:r>
        <w:rPr>
          <w:color w:val="auto"/>
          <w:sz w:val="24"/>
          <w:szCs w:val="24"/>
        </w:rPr>
        <w:fldChar w:fldCharType="separate"/>
      </w:r>
      <w:r>
        <w:rPr>
          <w:color w:val="auto"/>
          <w:sz w:val="24"/>
          <w:szCs w:val="24"/>
        </w:rPr>
        <w:t>- 4 -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2"/>
        <w:tabs>
          <w:tab w:val="right" w:leader="dot" w:pos="9412"/>
        </w:tabs>
        <w:ind w:leftChars="200"/>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_Toc30927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第二篇 项目技术（质量）需求</w:t>
      </w:r>
      <w:r>
        <w:rPr>
          <w:color w:val="auto"/>
          <w:sz w:val="24"/>
          <w:szCs w:val="24"/>
        </w:rPr>
        <w:tab/>
      </w:r>
      <w:r>
        <w:rPr>
          <w:color w:val="auto"/>
          <w:sz w:val="24"/>
          <w:szCs w:val="24"/>
        </w:rPr>
        <w:fldChar w:fldCharType="begin"/>
      </w:r>
      <w:r>
        <w:rPr>
          <w:color w:val="auto"/>
          <w:sz w:val="24"/>
          <w:szCs w:val="24"/>
        </w:rPr>
        <w:instrText xml:space="preserve"> PAGEREF _Toc30927 \h </w:instrText>
      </w:r>
      <w:r>
        <w:rPr>
          <w:color w:val="auto"/>
          <w:sz w:val="24"/>
          <w:szCs w:val="24"/>
        </w:rPr>
        <w:fldChar w:fldCharType="separate"/>
      </w:r>
      <w:r>
        <w:rPr>
          <w:color w:val="auto"/>
          <w:sz w:val="24"/>
          <w:szCs w:val="24"/>
        </w:rPr>
        <w:t>- 5 -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_Toc31179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第三篇  项目商务需求</w:t>
      </w:r>
      <w:r>
        <w:rPr>
          <w:color w:val="auto"/>
          <w:sz w:val="24"/>
          <w:szCs w:val="24"/>
        </w:rPr>
        <w:tab/>
      </w:r>
      <w:r>
        <w:rPr>
          <w:color w:val="auto"/>
          <w:sz w:val="24"/>
          <w:szCs w:val="24"/>
        </w:rPr>
        <w:fldChar w:fldCharType="begin"/>
      </w:r>
      <w:r>
        <w:rPr>
          <w:color w:val="auto"/>
          <w:sz w:val="24"/>
          <w:szCs w:val="24"/>
        </w:rPr>
        <w:instrText xml:space="preserve"> PAGEREF _Toc31179 \h </w:instrText>
      </w:r>
      <w:r>
        <w:rPr>
          <w:color w:val="auto"/>
          <w:sz w:val="24"/>
          <w:szCs w:val="24"/>
        </w:rPr>
        <w:fldChar w:fldCharType="separate"/>
      </w:r>
      <w:r>
        <w:rPr>
          <w:color w:val="auto"/>
          <w:sz w:val="24"/>
          <w:szCs w:val="24"/>
        </w:rPr>
        <w:t>- 6 -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_Toc26417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四</w:t>
      </w:r>
      <w:r>
        <w:rPr>
          <w:rFonts w:hint="eastAsia" w:ascii="微软雅黑" w:hAnsi="微软雅黑" w:eastAsia="微软雅黑" w:cs="微软雅黑"/>
          <w:color w:val="auto"/>
          <w:sz w:val="24"/>
          <w:szCs w:val="24"/>
        </w:rPr>
        <w:t>篇  公开比选采购程序及方法、评审标准、无效响应和采购终止</w:t>
      </w:r>
      <w:r>
        <w:rPr>
          <w:color w:val="auto"/>
          <w:sz w:val="24"/>
          <w:szCs w:val="24"/>
        </w:rPr>
        <w:tab/>
      </w:r>
      <w:r>
        <w:rPr>
          <w:color w:val="auto"/>
          <w:sz w:val="24"/>
          <w:szCs w:val="24"/>
        </w:rPr>
        <w:fldChar w:fldCharType="begin"/>
      </w:r>
      <w:r>
        <w:rPr>
          <w:color w:val="auto"/>
          <w:sz w:val="24"/>
          <w:szCs w:val="24"/>
        </w:rPr>
        <w:instrText xml:space="preserve"> PAGEREF _Toc26417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_Toc28513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一、公开比选采购程序</w:t>
      </w:r>
      <w:r>
        <w:rPr>
          <w:color w:val="auto"/>
          <w:sz w:val="24"/>
          <w:szCs w:val="24"/>
        </w:rPr>
        <w:tab/>
      </w:r>
      <w:r>
        <w:rPr>
          <w:color w:val="auto"/>
          <w:sz w:val="24"/>
          <w:szCs w:val="24"/>
        </w:rPr>
        <w:fldChar w:fldCharType="begin"/>
      </w:r>
      <w:r>
        <w:rPr>
          <w:color w:val="auto"/>
          <w:sz w:val="24"/>
          <w:szCs w:val="24"/>
        </w:rPr>
        <w:instrText xml:space="preserve"> PAGEREF _Toc28513 \h </w:instrText>
      </w:r>
      <w:r>
        <w:rPr>
          <w:color w:val="auto"/>
          <w:sz w:val="24"/>
          <w:szCs w:val="24"/>
        </w:rPr>
        <w:fldChar w:fldCharType="separate"/>
      </w:r>
      <w:r>
        <w:rPr>
          <w:color w:val="auto"/>
          <w:sz w:val="24"/>
          <w:szCs w:val="24"/>
        </w:rPr>
        <w:t>- 7 -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_Toc16728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二、评标方法</w:t>
      </w:r>
      <w:r>
        <w:rPr>
          <w:color w:val="auto"/>
          <w:sz w:val="24"/>
          <w:szCs w:val="24"/>
        </w:rPr>
        <w:tab/>
      </w:r>
      <w:r>
        <w:rPr>
          <w:color w:val="auto"/>
          <w:sz w:val="24"/>
          <w:szCs w:val="24"/>
        </w:rPr>
        <w:fldChar w:fldCharType="begin"/>
      </w:r>
      <w:r>
        <w:rPr>
          <w:color w:val="auto"/>
          <w:sz w:val="24"/>
          <w:szCs w:val="24"/>
        </w:rPr>
        <w:instrText xml:space="preserve"> PAGEREF _Toc16728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_Toc14542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lang w:val="en-US" w:eastAsia="zh-CN"/>
        </w:rPr>
        <w:t>三、评审标准</w:t>
      </w:r>
      <w:r>
        <w:rPr>
          <w:color w:val="auto"/>
          <w:sz w:val="24"/>
          <w:szCs w:val="24"/>
        </w:rPr>
        <w:tab/>
      </w:r>
      <w:r>
        <w:rPr>
          <w:color w:val="auto"/>
          <w:sz w:val="24"/>
          <w:szCs w:val="24"/>
        </w:rPr>
        <w:fldChar w:fldCharType="begin"/>
      </w:r>
      <w:r>
        <w:rPr>
          <w:color w:val="auto"/>
          <w:sz w:val="24"/>
          <w:szCs w:val="24"/>
        </w:rPr>
        <w:instrText xml:space="preserve"> PAGEREF _Toc14542 \h </w:instrText>
      </w:r>
      <w:r>
        <w:rPr>
          <w:color w:val="auto"/>
          <w:sz w:val="24"/>
          <w:szCs w:val="24"/>
        </w:rPr>
        <w:fldChar w:fldCharType="separate"/>
      </w:r>
      <w:r>
        <w:rPr>
          <w:color w:val="auto"/>
          <w:sz w:val="24"/>
          <w:szCs w:val="24"/>
        </w:rPr>
        <w:t>- 8 -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_Toc17288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四、无效响应</w:t>
      </w:r>
      <w:r>
        <w:rPr>
          <w:color w:val="auto"/>
          <w:sz w:val="24"/>
          <w:szCs w:val="24"/>
        </w:rPr>
        <w:tab/>
      </w:r>
      <w:r>
        <w:rPr>
          <w:color w:val="auto"/>
          <w:sz w:val="24"/>
          <w:szCs w:val="24"/>
        </w:rPr>
        <w:fldChar w:fldCharType="begin"/>
      </w:r>
      <w:r>
        <w:rPr>
          <w:color w:val="auto"/>
          <w:sz w:val="24"/>
          <w:szCs w:val="24"/>
        </w:rPr>
        <w:instrText xml:space="preserve"> PAGEREF _Toc17288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_Toc25723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五、废标条款</w:t>
      </w:r>
      <w:r>
        <w:rPr>
          <w:color w:val="auto"/>
          <w:sz w:val="24"/>
          <w:szCs w:val="24"/>
        </w:rPr>
        <w:tab/>
      </w:r>
      <w:r>
        <w:rPr>
          <w:color w:val="auto"/>
          <w:sz w:val="24"/>
          <w:szCs w:val="24"/>
        </w:rPr>
        <w:fldChar w:fldCharType="begin"/>
      </w:r>
      <w:r>
        <w:rPr>
          <w:color w:val="auto"/>
          <w:sz w:val="24"/>
          <w:szCs w:val="24"/>
        </w:rPr>
        <w:instrText xml:space="preserve"> PAGEREF _Toc25723 \h </w:instrText>
      </w:r>
      <w:r>
        <w:rPr>
          <w:color w:val="auto"/>
          <w:sz w:val="24"/>
          <w:szCs w:val="24"/>
        </w:rPr>
        <w:fldChar w:fldCharType="separate"/>
      </w:r>
      <w:r>
        <w:rPr>
          <w:color w:val="auto"/>
          <w:sz w:val="24"/>
          <w:szCs w:val="24"/>
        </w:rPr>
        <w:t>- 9 -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篇  投标人须知</w:t>
      </w:r>
      <w:r>
        <w:rPr>
          <w:color w:val="auto"/>
          <w:sz w:val="24"/>
          <w:szCs w:val="24"/>
        </w:rPr>
        <w:tab/>
      </w:r>
      <w:r>
        <w:rPr>
          <w:color w:val="auto"/>
          <w:sz w:val="24"/>
          <w:szCs w:val="24"/>
        </w:rPr>
        <w:fldChar w:fldCharType="begin"/>
      </w:r>
      <w:r>
        <w:rPr>
          <w:color w:val="auto"/>
          <w:sz w:val="24"/>
          <w:szCs w:val="24"/>
        </w:rPr>
        <w:instrText xml:space="preserve"> PAGEREF _Toc16624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_Toc9624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一、公开比选费用</w:t>
      </w:r>
      <w:r>
        <w:rPr>
          <w:color w:val="auto"/>
          <w:sz w:val="24"/>
          <w:szCs w:val="24"/>
        </w:rPr>
        <w:tab/>
      </w:r>
      <w:r>
        <w:rPr>
          <w:color w:val="auto"/>
          <w:sz w:val="24"/>
          <w:szCs w:val="24"/>
        </w:rPr>
        <w:fldChar w:fldCharType="begin"/>
      </w:r>
      <w:r>
        <w:rPr>
          <w:color w:val="auto"/>
          <w:sz w:val="24"/>
          <w:szCs w:val="24"/>
        </w:rPr>
        <w:instrText xml:space="preserve"> PAGEREF _Toc9624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_Toc8631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二、公开比选采购文件</w:t>
      </w:r>
      <w:r>
        <w:rPr>
          <w:color w:val="auto"/>
          <w:sz w:val="24"/>
          <w:szCs w:val="24"/>
        </w:rPr>
        <w:tab/>
      </w:r>
      <w:r>
        <w:rPr>
          <w:color w:val="auto"/>
          <w:sz w:val="24"/>
          <w:szCs w:val="24"/>
        </w:rPr>
        <w:fldChar w:fldCharType="begin"/>
      </w:r>
      <w:r>
        <w:rPr>
          <w:color w:val="auto"/>
          <w:sz w:val="24"/>
          <w:szCs w:val="24"/>
        </w:rPr>
        <w:instrText xml:space="preserve"> PAGEREF _Toc8631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_Toc9861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三、比选要求</w:t>
      </w:r>
      <w:r>
        <w:rPr>
          <w:color w:val="auto"/>
          <w:sz w:val="24"/>
          <w:szCs w:val="24"/>
        </w:rPr>
        <w:tab/>
      </w:r>
      <w:r>
        <w:rPr>
          <w:color w:val="auto"/>
          <w:sz w:val="24"/>
          <w:szCs w:val="24"/>
        </w:rPr>
        <w:fldChar w:fldCharType="begin"/>
      </w:r>
      <w:r>
        <w:rPr>
          <w:color w:val="auto"/>
          <w:sz w:val="24"/>
          <w:szCs w:val="24"/>
        </w:rPr>
        <w:instrText xml:space="preserve"> PAGEREF _Toc9861 \h </w:instrText>
      </w:r>
      <w:r>
        <w:rPr>
          <w:color w:val="auto"/>
          <w:sz w:val="24"/>
          <w:szCs w:val="24"/>
        </w:rPr>
        <w:fldChar w:fldCharType="separate"/>
      </w:r>
      <w:r>
        <w:rPr>
          <w:color w:val="auto"/>
          <w:sz w:val="24"/>
          <w:szCs w:val="24"/>
        </w:rPr>
        <w:t>- 10 -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_Toc1612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四、中标人的确认和变更</w:t>
      </w:r>
      <w:r>
        <w:rPr>
          <w:color w:val="auto"/>
          <w:sz w:val="24"/>
          <w:szCs w:val="24"/>
        </w:rPr>
        <w:tab/>
      </w:r>
      <w:r>
        <w:rPr>
          <w:color w:val="auto"/>
          <w:sz w:val="24"/>
          <w:szCs w:val="24"/>
        </w:rPr>
        <w:fldChar w:fldCharType="begin"/>
      </w:r>
      <w:r>
        <w:rPr>
          <w:color w:val="auto"/>
          <w:sz w:val="24"/>
          <w:szCs w:val="24"/>
        </w:rPr>
        <w:instrText xml:space="preserve"> PAGEREF _Toc1612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_Toc20309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五、成交通知</w:t>
      </w:r>
      <w:r>
        <w:rPr>
          <w:color w:val="auto"/>
          <w:sz w:val="24"/>
          <w:szCs w:val="24"/>
        </w:rPr>
        <w:tab/>
      </w:r>
      <w:r>
        <w:rPr>
          <w:color w:val="auto"/>
          <w:sz w:val="24"/>
          <w:szCs w:val="24"/>
        </w:rPr>
        <w:fldChar w:fldCharType="begin"/>
      </w:r>
      <w:r>
        <w:rPr>
          <w:color w:val="auto"/>
          <w:sz w:val="24"/>
          <w:szCs w:val="24"/>
        </w:rPr>
        <w:instrText xml:space="preserve"> PAGEREF _Toc20309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_Toc25162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六、质疑处理</w:t>
      </w:r>
      <w:r>
        <w:rPr>
          <w:color w:val="auto"/>
          <w:sz w:val="24"/>
          <w:szCs w:val="24"/>
        </w:rPr>
        <w:tab/>
      </w:r>
      <w:r>
        <w:rPr>
          <w:color w:val="auto"/>
          <w:sz w:val="24"/>
          <w:szCs w:val="24"/>
        </w:rPr>
        <w:fldChar w:fldCharType="begin"/>
      </w:r>
      <w:r>
        <w:rPr>
          <w:color w:val="auto"/>
          <w:sz w:val="24"/>
          <w:szCs w:val="24"/>
        </w:rPr>
        <w:instrText xml:space="preserve"> PAGEREF _Toc25162 \h </w:instrText>
      </w:r>
      <w:r>
        <w:rPr>
          <w:color w:val="auto"/>
          <w:sz w:val="24"/>
          <w:szCs w:val="24"/>
        </w:rPr>
        <w:fldChar w:fldCharType="separate"/>
      </w:r>
      <w:r>
        <w:rPr>
          <w:color w:val="auto"/>
          <w:sz w:val="24"/>
          <w:szCs w:val="24"/>
        </w:rPr>
        <w:t>- 11 -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_Toc10669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七、签订合同</w:t>
      </w:r>
      <w:r>
        <w:rPr>
          <w:color w:val="auto"/>
          <w:sz w:val="24"/>
          <w:szCs w:val="24"/>
        </w:rPr>
        <w:tab/>
      </w:r>
      <w:r>
        <w:rPr>
          <w:color w:val="auto"/>
          <w:sz w:val="24"/>
          <w:szCs w:val="24"/>
        </w:rPr>
        <w:fldChar w:fldCharType="begin"/>
      </w:r>
      <w:r>
        <w:rPr>
          <w:color w:val="auto"/>
          <w:sz w:val="24"/>
          <w:szCs w:val="24"/>
        </w:rPr>
        <w:instrText xml:space="preserve"> PAGEREF _Toc10669 \h </w:instrText>
      </w:r>
      <w:r>
        <w:rPr>
          <w:color w:val="auto"/>
          <w:sz w:val="24"/>
          <w:szCs w:val="24"/>
        </w:rPr>
        <w:fldChar w:fldCharType="separate"/>
      </w:r>
      <w:r>
        <w:rPr>
          <w:color w:val="auto"/>
          <w:sz w:val="24"/>
          <w:szCs w:val="24"/>
        </w:rPr>
        <w:t>- 12 -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_Toc13170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第</w:t>
      </w:r>
      <w:r>
        <w:rPr>
          <w:rFonts w:hint="eastAsia" w:ascii="微软雅黑" w:hAnsi="微软雅黑" w:eastAsia="微软雅黑" w:cs="微软雅黑"/>
          <w:color w:val="auto"/>
          <w:sz w:val="24"/>
          <w:szCs w:val="24"/>
          <w:lang w:val="en-US" w:eastAsia="zh-CN"/>
        </w:rPr>
        <w:t>六</w:t>
      </w:r>
      <w:r>
        <w:rPr>
          <w:rFonts w:hint="eastAsia" w:ascii="微软雅黑" w:hAnsi="微软雅黑" w:eastAsia="微软雅黑" w:cs="微软雅黑"/>
          <w:color w:val="auto"/>
          <w:sz w:val="24"/>
          <w:szCs w:val="24"/>
        </w:rPr>
        <w:t>篇  响应文件编制要求</w:t>
      </w:r>
      <w:r>
        <w:rPr>
          <w:color w:val="auto"/>
          <w:sz w:val="24"/>
          <w:szCs w:val="24"/>
        </w:rPr>
        <w:tab/>
      </w:r>
      <w:r>
        <w:rPr>
          <w:color w:val="auto"/>
          <w:sz w:val="24"/>
          <w:szCs w:val="24"/>
        </w:rPr>
        <w:fldChar w:fldCharType="begin"/>
      </w:r>
      <w:r>
        <w:rPr>
          <w:color w:val="auto"/>
          <w:sz w:val="24"/>
          <w:szCs w:val="24"/>
        </w:rPr>
        <w:instrText xml:space="preserve"> PAGEREF _Toc13170 \h </w:instrText>
      </w:r>
      <w:r>
        <w:rPr>
          <w:color w:val="auto"/>
          <w:sz w:val="24"/>
          <w:szCs w:val="24"/>
        </w:rPr>
        <w:fldChar w:fldCharType="separate"/>
      </w:r>
      <w:r>
        <w:rPr>
          <w:color w:val="auto"/>
          <w:sz w:val="24"/>
          <w:szCs w:val="24"/>
        </w:rPr>
        <w:t>- 13 -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_Toc5191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一、经济部分</w:t>
      </w:r>
      <w:r>
        <w:rPr>
          <w:color w:val="auto"/>
          <w:sz w:val="24"/>
          <w:szCs w:val="24"/>
        </w:rPr>
        <w:tab/>
      </w:r>
      <w:r>
        <w:rPr>
          <w:color w:val="auto"/>
          <w:sz w:val="24"/>
          <w:szCs w:val="24"/>
        </w:rPr>
        <w:fldChar w:fldCharType="begin"/>
      </w:r>
      <w:r>
        <w:rPr>
          <w:color w:val="auto"/>
          <w:sz w:val="24"/>
          <w:szCs w:val="24"/>
        </w:rPr>
        <w:instrText xml:space="preserve"> PAGEREF _Toc5191 \h </w:instrText>
      </w:r>
      <w:r>
        <w:rPr>
          <w:color w:val="auto"/>
          <w:sz w:val="24"/>
          <w:szCs w:val="24"/>
        </w:rPr>
        <w:fldChar w:fldCharType="separate"/>
      </w:r>
      <w:r>
        <w:rPr>
          <w:color w:val="auto"/>
          <w:sz w:val="24"/>
          <w:szCs w:val="24"/>
        </w:rPr>
        <w:t>- 15 -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_Toc23947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二、技术部分</w:t>
      </w:r>
      <w:r>
        <w:rPr>
          <w:color w:val="auto"/>
          <w:sz w:val="24"/>
          <w:szCs w:val="24"/>
        </w:rPr>
        <w:tab/>
      </w:r>
      <w:r>
        <w:rPr>
          <w:color w:val="auto"/>
          <w:sz w:val="24"/>
          <w:szCs w:val="24"/>
        </w:rPr>
        <w:fldChar w:fldCharType="begin"/>
      </w:r>
      <w:r>
        <w:rPr>
          <w:color w:val="auto"/>
          <w:sz w:val="24"/>
          <w:szCs w:val="24"/>
        </w:rPr>
        <w:instrText xml:space="preserve"> PAGEREF _Toc23947 \h </w:instrText>
      </w:r>
      <w:r>
        <w:rPr>
          <w:color w:val="auto"/>
          <w:sz w:val="24"/>
          <w:szCs w:val="24"/>
        </w:rPr>
        <w:fldChar w:fldCharType="separate"/>
      </w:r>
      <w:r>
        <w:rPr>
          <w:color w:val="auto"/>
          <w:sz w:val="24"/>
          <w:szCs w:val="24"/>
        </w:rPr>
        <w:t>- 18 -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_Toc19426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三、商务部分</w:t>
      </w:r>
      <w:r>
        <w:rPr>
          <w:color w:val="auto"/>
          <w:sz w:val="24"/>
          <w:szCs w:val="24"/>
        </w:rPr>
        <w:tab/>
      </w:r>
      <w:r>
        <w:rPr>
          <w:color w:val="auto"/>
          <w:sz w:val="24"/>
          <w:szCs w:val="24"/>
        </w:rPr>
        <w:fldChar w:fldCharType="begin"/>
      </w:r>
      <w:r>
        <w:rPr>
          <w:color w:val="auto"/>
          <w:sz w:val="24"/>
          <w:szCs w:val="24"/>
        </w:rPr>
        <w:instrText xml:space="preserve"> PAGEREF _Toc19426 \h </w:instrText>
      </w:r>
      <w:r>
        <w:rPr>
          <w:color w:val="auto"/>
          <w:sz w:val="24"/>
          <w:szCs w:val="24"/>
        </w:rPr>
        <w:fldChar w:fldCharType="separate"/>
      </w:r>
      <w:r>
        <w:rPr>
          <w:color w:val="auto"/>
          <w:sz w:val="24"/>
          <w:szCs w:val="24"/>
        </w:rPr>
        <w:t>- 20 -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_Toc14888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四、资格条件</w:t>
      </w:r>
      <w:r>
        <w:rPr>
          <w:color w:val="auto"/>
          <w:sz w:val="24"/>
          <w:szCs w:val="24"/>
        </w:rPr>
        <w:tab/>
      </w:r>
      <w:r>
        <w:rPr>
          <w:color w:val="auto"/>
          <w:sz w:val="24"/>
          <w:szCs w:val="24"/>
        </w:rPr>
        <w:fldChar w:fldCharType="begin"/>
      </w:r>
      <w:r>
        <w:rPr>
          <w:color w:val="auto"/>
          <w:sz w:val="24"/>
          <w:szCs w:val="24"/>
        </w:rPr>
        <w:instrText xml:space="preserve"> PAGEREF _Toc14888 \h </w:instrText>
      </w:r>
      <w:r>
        <w:rPr>
          <w:color w:val="auto"/>
          <w:sz w:val="24"/>
          <w:szCs w:val="24"/>
        </w:rPr>
        <w:fldChar w:fldCharType="separate"/>
      </w:r>
      <w:r>
        <w:rPr>
          <w:color w:val="auto"/>
          <w:sz w:val="24"/>
          <w:szCs w:val="24"/>
        </w:rPr>
        <w:t>- 22 -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12"/>
        </w:tabs>
        <w:rPr>
          <w:color w:val="auto"/>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\l _Toc15465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szCs w:val="24"/>
          <w:lang w:val="en-US" w:eastAsia="zh-CN"/>
        </w:rPr>
        <w:t>综合评标</w:t>
      </w:r>
      <w:r>
        <w:rPr>
          <w:rFonts w:hint="eastAsia" w:ascii="微软雅黑" w:hAnsi="微软雅黑" w:eastAsia="微软雅黑" w:cs="微软雅黑"/>
          <w:color w:val="auto"/>
          <w:sz w:val="24"/>
          <w:szCs w:val="24"/>
        </w:rPr>
        <w:t>资料</w:t>
      </w:r>
      <w:r>
        <w:rPr>
          <w:color w:val="auto"/>
          <w:sz w:val="24"/>
          <w:szCs w:val="24"/>
        </w:rPr>
        <w:tab/>
      </w:r>
      <w:r>
        <w:rPr>
          <w:color w:val="auto"/>
          <w:sz w:val="24"/>
          <w:szCs w:val="24"/>
        </w:rPr>
        <w:fldChar w:fldCharType="begin"/>
      </w:r>
      <w:r>
        <w:rPr>
          <w:color w:val="auto"/>
          <w:sz w:val="24"/>
          <w:szCs w:val="24"/>
        </w:rPr>
        <w:instrText xml:space="preserve"> PAGEREF _Toc15465 \h </w:instrText>
      </w:r>
      <w:r>
        <w:rPr>
          <w:color w:val="auto"/>
          <w:sz w:val="24"/>
          <w:szCs w:val="24"/>
        </w:rPr>
        <w:fldChar w:fldCharType="separate"/>
      </w:r>
      <w:r>
        <w:rPr>
          <w:color w:val="auto"/>
          <w:sz w:val="24"/>
          <w:szCs w:val="24"/>
        </w:rPr>
        <w:t>- 28 -</w:t>
      </w:r>
      <w:r>
        <w:rPr>
          <w:color w:val="auto"/>
          <w:sz w:val="24"/>
          <w:szCs w:val="24"/>
        </w:rPr>
        <w:fldChar w:fldCharType="end"/>
      </w:r>
      <w:r>
        <w:rPr>
          <w:rFonts w:hint="eastAsia" w:ascii="微软雅黑" w:hAnsi="微软雅黑" w:eastAsia="微软雅黑" w:cs="微软雅黑"/>
          <w:color w:val="auto"/>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color w:val="auto"/>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color w:val="auto"/>
          <w:szCs w:val="24"/>
        </w:rPr>
        <w:fldChar w:fldCharType="end"/>
      </w:r>
    </w:p>
    <w:p>
      <w:pPr>
        <w:pStyle w:val="4"/>
        <w:spacing w:before="200" w:after="200" w:line="240" w:lineRule="auto"/>
        <w:jc w:val="center"/>
        <w:rPr>
          <w:rFonts w:hint="eastAsia" w:ascii="微软雅黑" w:hAnsi="微软雅黑" w:eastAsia="微软雅黑" w:cs="微软雅黑"/>
          <w:color w:val="auto"/>
          <w:sz w:val="44"/>
        </w:rPr>
      </w:pPr>
      <w:bookmarkStart w:id="6" w:name="_Toc24037"/>
      <w:bookmarkStart w:id="7" w:name="_Toc26011"/>
      <w:bookmarkStart w:id="8" w:name="_Toc11641050"/>
      <w:bookmarkStart w:id="9" w:name="_Toc76462316"/>
      <w:bookmarkStart w:id="10" w:name="_Toc12789052"/>
      <w:bookmarkStart w:id="11" w:name="_Toc106030870"/>
      <w:r>
        <w:rPr>
          <w:rFonts w:hint="eastAsia" w:ascii="微软雅黑" w:hAnsi="微软雅黑" w:eastAsia="微软雅黑" w:cs="微软雅黑"/>
          <w:color w:val="auto"/>
          <w:sz w:val="44"/>
        </w:rPr>
        <w:t>第一篇  采购邀请书</w:t>
      </w:r>
      <w:bookmarkEnd w:id="6"/>
      <w:bookmarkEnd w:id="7"/>
      <w:bookmarkEnd w:id="8"/>
      <w:bookmarkEnd w:id="9"/>
      <w:bookmarkEnd w:id="10"/>
      <w:bookmarkEnd w:id="11"/>
    </w:p>
    <w:p>
      <w:pPr>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 xml:space="preserve">    重庆医科大学附属儿童医院对</w:t>
      </w:r>
      <w:r>
        <w:rPr>
          <w:rFonts w:hint="eastAsia" w:ascii="微软雅黑" w:hAnsi="微软雅黑" w:eastAsia="微软雅黑" w:cs="微软雅黑"/>
          <w:color w:val="auto"/>
          <w:sz w:val="24"/>
          <w:szCs w:val="24"/>
          <w:u w:val="single"/>
        </w:rPr>
        <w:t>生物安全柜</w:t>
      </w:r>
      <w:r>
        <w:rPr>
          <w:rFonts w:hint="eastAsia" w:ascii="微软雅黑" w:hAnsi="微软雅黑" w:eastAsia="微软雅黑" w:cs="微软雅黑"/>
          <w:color w:val="auto"/>
          <w:sz w:val="24"/>
          <w:szCs w:val="24"/>
          <w:u w:val="single"/>
          <w:lang w:eastAsia="zh-CN"/>
        </w:rPr>
        <w:t>（分包三）</w:t>
      </w:r>
      <w:r>
        <w:rPr>
          <w:rFonts w:hint="eastAsia" w:ascii="微软雅黑" w:hAnsi="微软雅黑" w:eastAsia="微软雅黑" w:cs="微软雅黑"/>
          <w:color w:val="auto"/>
          <w:sz w:val="24"/>
          <w:szCs w:val="24"/>
        </w:rPr>
        <w:t>项目进行公开比选采购。欢迎有资格的投标人前来参与。</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2" w:name="_Toc23226"/>
      <w:bookmarkStart w:id="13" w:name="_Toc313893526"/>
      <w:bookmarkStart w:id="14" w:name="_Toc106030871"/>
      <w:bookmarkStart w:id="15" w:name="_Toc3856"/>
      <w:bookmarkStart w:id="16" w:name="_Toc317775175"/>
      <w:bookmarkStart w:id="17" w:name="_Toc76462317"/>
      <w:r>
        <w:rPr>
          <w:rFonts w:hint="eastAsia" w:ascii="微软雅黑" w:hAnsi="微软雅黑" w:eastAsia="微软雅黑" w:cs="微软雅黑"/>
          <w:color w:val="auto"/>
          <w:sz w:val="24"/>
        </w:rPr>
        <w:t>一、公开比选采购内容</w:t>
      </w:r>
      <w:bookmarkEnd w:id="12"/>
      <w:bookmarkEnd w:id="13"/>
      <w:bookmarkEnd w:id="14"/>
      <w:bookmarkEnd w:id="15"/>
      <w:bookmarkEnd w:id="16"/>
      <w:bookmarkEnd w:id="17"/>
    </w:p>
    <w:tbl>
      <w:tblPr>
        <w:tblStyle w:val="58"/>
        <w:tblW w:w="45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8"/>
        <w:gridCol w:w="2786"/>
        <w:gridCol w:w="1421"/>
        <w:gridCol w:w="1662"/>
        <w:gridCol w:w="1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83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bookmarkStart w:id="18" w:name="_Toc76462318"/>
            <w:bookmarkStart w:id="19" w:name="_Toc106030872"/>
            <w:bookmarkStart w:id="20" w:name="_Toc373860293"/>
            <w:r>
              <w:rPr>
                <w:rFonts w:hint="eastAsia" w:ascii="微软雅黑" w:hAnsi="微软雅黑" w:eastAsia="微软雅黑" w:cs="微软雅黑"/>
                <w:b/>
                <w:bCs/>
                <w:color w:val="auto"/>
                <w:kern w:val="0"/>
                <w:sz w:val="21"/>
                <w:szCs w:val="24"/>
              </w:rPr>
              <w:t>项目编号</w:t>
            </w:r>
          </w:p>
        </w:tc>
        <w:tc>
          <w:tcPr>
            <w:tcW w:w="162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项目名称</w:t>
            </w:r>
          </w:p>
        </w:tc>
        <w:tc>
          <w:tcPr>
            <w:tcW w:w="82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rPr>
            </w:pPr>
            <w:r>
              <w:rPr>
                <w:rFonts w:hint="eastAsia" w:ascii="微软雅黑" w:hAnsi="微软雅黑" w:eastAsia="微软雅黑" w:cs="微软雅黑"/>
                <w:b/>
                <w:bCs/>
                <w:color w:val="auto"/>
                <w:kern w:val="0"/>
                <w:sz w:val="21"/>
                <w:szCs w:val="24"/>
              </w:rPr>
              <w:t>最高限价</w:t>
            </w:r>
          </w:p>
          <w:p>
            <w:pPr>
              <w:widowControl/>
              <w:jc w:val="center"/>
              <w:rPr>
                <w:rFonts w:hint="eastAsia" w:ascii="微软雅黑" w:hAnsi="微软雅黑" w:eastAsia="微软雅黑" w:cs="微软雅黑"/>
                <w:b/>
                <w:bCs/>
                <w:color w:val="auto"/>
                <w:kern w:val="0"/>
                <w:sz w:val="21"/>
                <w:szCs w:val="24"/>
                <w:lang w:val="en-US" w:eastAsia="zh-CN" w:bidi="ar-SA"/>
              </w:rPr>
            </w:pPr>
            <w:r>
              <w:rPr>
                <w:rFonts w:hint="eastAsia" w:ascii="微软雅黑" w:hAnsi="微软雅黑" w:eastAsia="微软雅黑" w:cs="微软雅黑"/>
                <w:b/>
                <w:bCs/>
                <w:color w:val="auto"/>
                <w:kern w:val="0"/>
                <w:sz w:val="21"/>
                <w:szCs w:val="24"/>
                <w:lang w:eastAsia="zh-CN"/>
              </w:rPr>
              <w:t>（万元）</w:t>
            </w:r>
          </w:p>
        </w:tc>
        <w:tc>
          <w:tcPr>
            <w:tcW w:w="969"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投标保证</w:t>
            </w:r>
            <w:bookmarkStart w:id="194" w:name="_GoBack"/>
            <w:bookmarkEnd w:id="194"/>
            <w:r>
              <w:rPr>
                <w:rFonts w:hint="eastAsia" w:ascii="微软雅黑" w:hAnsi="微软雅黑" w:eastAsia="微软雅黑" w:cs="微软雅黑"/>
                <w:b/>
                <w:bCs/>
                <w:color w:val="auto"/>
                <w:kern w:val="0"/>
                <w:sz w:val="21"/>
                <w:szCs w:val="24"/>
                <w:lang w:val="en-US" w:eastAsia="zh-CN"/>
              </w:rPr>
              <w:t>金</w:t>
            </w:r>
          </w:p>
        </w:tc>
        <w:tc>
          <w:tcPr>
            <w:tcW w:w="742"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color w:val="auto"/>
                <w:kern w:val="0"/>
                <w:sz w:val="21"/>
                <w:szCs w:val="24"/>
                <w:lang w:val="en-US" w:eastAsia="zh-CN"/>
              </w:rPr>
            </w:pPr>
            <w:r>
              <w:rPr>
                <w:rFonts w:hint="eastAsia" w:ascii="微软雅黑" w:hAnsi="微软雅黑" w:eastAsia="微软雅黑" w:cs="微软雅黑"/>
                <w:b/>
                <w:bCs/>
                <w:color w:val="auto"/>
                <w:kern w:val="0"/>
                <w:sz w:val="21"/>
                <w:szCs w:val="24"/>
                <w:lang w:val="en-US" w:eastAsia="zh-CN"/>
              </w:rPr>
              <w:t>中标人数量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833"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YSB260147</w:t>
            </w:r>
          </w:p>
        </w:tc>
        <w:tc>
          <w:tcPr>
            <w:tcW w:w="1625"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生物安全柜（分包三）</w:t>
            </w:r>
          </w:p>
        </w:tc>
        <w:tc>
          <w:tcPr>
            <w:tcW w:w="829"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7</w:t>
            </w:r>
          </w:p>
        </w:tc>
        <w:tc>
          <w:tcPr>
            <w:tcW w:w="969"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2000元</w:t>
            </w:r>
          </w:p>
        </w:tc>
        <w:tc>
          <w:tcPr>
            <w:tcW w:w="74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auto"/>
                <w:kern w:val="0"/>
                <w:sz w:val="21"/>
                <w:szCs w:val="24"/>
                <w:lang w:val="en-US" w:eastAsia="zh-CN"/>
              </w:rPr>
            </w:pPr>
            <w:r>
              <w:rPr>
                <w:rFonts w:hint="eastAsia" w:ascii="微软雅黑" w:hAnsi="微软雅黑" w:eastAsia="微软雅黑" w:cs="微软雅黑"/>
                <w:color w:val="auto"/>
                <w:kern w:val="0"/>
                <w:sz w:val="21"/>
                <w:szCs w:val="24"/>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21" w:name="_Toc9755"/>
      <w:bookmarkStart w:id="22" w:name="_Toc5097"/>
      <w:r>
        <w:rPr>
          <w:rFonts w:hint="eastAsia" w:ascii="微软雅黑" w:hAnsi="微软雅黑" w:eastAsia="微软雅黑" w:cs="微软雅黑"/>
          <w:color w:val="auto"/>
          <w:sz w:val="24"/>
        </w:rPr>
        <w:t>二、</w:t>
      </w:r>
      <w:bookmarkEnd w:id="18"/>
      <w:bookmarkEnd w:id="19"/>
      <w:bookmarkEnd w:id="21"/>
      <w:bookmarkStart w:id="23" w:name="_Toc106030873"/>
      <w:bookmarkStart w:id="24" w:name="_Toc76462319"/>
      <w:bookmarkStart w:id="25" w:name="_Toc4480"/>
      <w:r>
        <w:rPr>
          <w:rFonts w:hint="eastAsia" w:ascii="微软雅黑" w:hAnsi="微软雅黑" w:eastAsia="微软雅黑" w:cs="微软雅黑"/>
          <w:color w:val="auto"/>
          <w:sz w:val="24"/>
        </w:rPr>
        <w:t>投标人资格条件</w:t>
      </w:r>
      <w:bookmarkEnd w:id="22"/>
      <w:bookmarkEnd w:id="23"/>
      <w:bookmarkEnd w:id="24"/>
      <w:bookmarkEnd w:id="2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（一）满足《中华人民共和国政府采购法》第二十二条规定；</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（二）本项目的特定资格要求：</w:t>
      </w:r>
      <w:bookmarkStart w:id="26" w:name="_Toc27954"/>
      <w:bookmarkStart w:id="27" w:name="_Toc76462320"/>
      <w:bookmarkStart w:id="28" w:name="_Toc106030874"/>
    </w:p>
    <w:p>
      <w:pPr>
        <w:spacing w:line="400" w:lineRule="exact"/>
        <w:ind w:firstLine="480" w:firstLineChars="200"/>
        <w:rPr>
          <w:rFonts w:hint="eastAsia" w:ascii="微软雅黑" w:hAnsi="微软雅黑" w:eastAsia="微软雅黑" w:cs="微软雅黑"/>
          <w:color w:val="auto"/>
          <w:sz w:val="24"/>
          <w:szCs w:val="24"/>
        </w:rPr>
      </w:pPr>
      <w:bookmarkStart w:id="29" w:name="_Toc10792"/>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投标人医疗器械经营许可证；</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3</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4</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所投产品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属三类医疗器械的，须具备有效期内《医疗器械经营企业许可证》或《医疗器械经营许可证》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5</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属二类医疗器械的，须具备有效期内《医疗器械经营企业许可证》或《第二类医疗器械经营备案凭证》</w:t>
      </w:r>
      <w:r>
        <w:rPr>
          <w:rFonts w:hint="eastAsia" w:ascii="微软雅黑" w:hAnsi="微软雅黑" w:eastAsia="微软雅黑" w:cs="微软雅黑"/>
          <w:color w:val="auto"/>
          <w:sz w:val="24"/>
          <w:szCs w:val="24"/>
          <w:lang w:val="en-US" w:eastAsia="zh-CN"/>
        </w:rPr>
        <w:t>及产品注册证</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6</w:t>
      </w:r>
      <w:r>
        <w:rPr>
          <w:rFonts w:hint="eastAsia" w:ascii="微软雅黑" w:hAnsi="微软雅黑" w:eastAsia="微软雅黑" w:cs="微软雅黑"/>
          <w:color w:val="auto"/>
          <w:sz w:val="24"/>
          <w:szCs w:val="24"/>
          <w:lang w:val="en-US" w:eastAsia="zh-CN"/>
        </w:rPr>
        <w:t>.</w:t>
      </w:r>
      <w:r>
        <w:rPr>
          <w:rFonts w:hint="eastAsia" w:ascii="微软雅黑" w:hAnsi="微软雅黑" w:eastAsia="微软雅黑" w:cs="微软雅黑"/>
          <w:color w:val="auto"/>
          <w:sz w:val="24"/>
          <w:szCs w:val="24"/>
        </w:rPr>
        <w:t>所提供产品</w:t>
      </w:r>
      <w:r>
        <w:rPr>
          <w:rFonts w:hint="eastAsia" w:ascii="微软雅黑" w:hAnsi="微软雅黑" w:eastAsia="微软雅黑" w:cs="微软雅黑"/>
          <w:color w:val="auto"/>
          <w:sz w:val="24"/>
          <w:szCs w:val="24"/>
          <w:lang w:eastAsia="zh-CN"/>
        </w:rPr>
        <w:t>若</w:t>
      </w:r>
      <w:r>
        <w:rPr>
          <w:rFonts w:hint="eastAsia" w:ascii="微软雅黑" w:hAnsi="微软雅黑" w:eastAsia="微软雅黑" w:cs="微软雅黑"/>
          <w:color w:val="auto"/>
          <w:sz w:val="24"/>
          <w:szCs w:val="24"/>
        </w:rPr>
        <w:t>属一类医疗器械的，须具有所提供产品《第一类医疗器械备案凭证》及《第一类医疗器械备案信息表》</w:t>
      </w:r>
      <w:r>
        <w:rPr>
          <w:rFonts w:hint="eastAsia" w:ascii="微软雅黑" w:hAnsi="微软雅黑" w:eastAsia="微软雅黑" w:cs="微软雅黑"/>
          <w:color w:val="auto"/>
          <w:sz w:val="24"/>
          <w:szCs w:val="24"/>
          <w:lang w:val="en-US" w:eastAsia="zh-CN"/>
        </w:rPr>
        <w:t>及产品备案证明</w:t>
      </w:r>
      <w:r>
        <w:rPr>
          <w:rFonts w:hint="eastAsia" w:ascii="微软雅黑" w:hAnsi="微软雅黑" w:eastAsia="微软雅黑" w:cs="微软雅黑"/>
          <w:color w:val="auto"/>
          <w:sz w:val="24"/>
          <w:szCs w:val="24"/>
        </w:rPr>
        <w:t>；</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三、比选有关说明</w:t>
      </w:r>
      <w:bookmarkEnd w:id="20"/>
      <w:bookmarkEnd w:id="26"/>
      <w:bookmarkEnd w:id="27"/>
      <w:bookmarkEnd w:id="28"/>
      <w:bookmarkEnd w:id="29"/>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（一）投标人应通过重庆医科大学附属儿童医院电子招投标平台（zbb.chcmu-com.cn）进行注册和报名。</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（二）凡有意参加公开比选采购的投标人，请在重庆医科大学附属儿童医院电子招投标平台下载本项目公开比选采购文件以及</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（三）投标人须在重庆医科大学附属儿童医院电子招投标平台按要求上传电子版响应文件后才视为完成项目报名。</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30" w:name="_Toc65660335"/>
      <w:bookmarkStart w:id="31" w:name="_Toc2945"/>
      <w:bookmarkStart w:id="32" w:name="_Toc525047162"/>
      <w:bookmarkStart w:id="33" w:name="_Toc106034626"/>
      <w:bookmarkStart w:id="34" w:name="_Toc4355"/>
      <w:bookmarkStart w:id="35" w:name="_Toc521053054"/>
      <w:bookmarkStart w:id="36" w:name="_Toc1546"/>
      <w:bookmarkStart w:id="37" w:name="_Toc16311"/>
      <w:r>
        <w:rPr>
          <w:rFonts w:hint="eastAsia" w:ascii="微软雅黑" w:hAnsi="微软雅黑" w:eastAsia="微软雅黑" w:cs="微软雅黑"/>
          <w:color w:val="auto"/>
          <w:sz w:val="24"/>
          <w:lang w:val="en-US" w:eastAsia="zh-CN"/>
        </w:rPr>
        <w:t>四</w:t>
      </w:r>
      <w:r>
        <w:rPr>
          <w:rFonts w:hint="eastAsia" w:ascii="微软雅黑" w:hAnsi="微软雅黑" w:eastAsia="微软雅黑" w:cs="微软雅黑"/>
          <w:color w:val="auto"/>
          <w:sz w:val="24"/>
        </w:rPr>
        <w:t>、</w:t>
      </w:r>
      <w:bookmarkEnd w:id="30"/>
      <w:bookmarkEnd w:id="31"/>
      <w:bookmarkEnd w:id="32"/>
      <w:bookmarkEnd w:id="33"/>
      <w:bookmarkEnd w:id="34"/>
      <w:bookmarkEnd w:id="35"/>
      <w:bookmarkEnd w:id="36"/>
      <w:bookmarkStart w:id="38" w:name="_Toc521053053"/>
      <w:bookmarkStart w:id="39" w:name="_Toc12841"/>
      <w:bookmarkStart w:id="40" w:name="_Toc11956"/>
      <w:bookmarkStart w:id="41" w:name="_Toc16749"/>
      <w:bookmarkStart w:id="42" w:name="_Toc6178"/>
      <w:bookmarkStart w:id="43" w:name="_Toc525047161"/>
      <w:bookmarkStart w:id="44" w:name="_Toc106034625"/>
      <w:bookmarkStart w:id="45" w:name="_Toc65660334"/>
      <w:r>
        <w:rPr>
          <w:rFonts w:hint="eastAsia" w:ascii="微软雅黑" w:hAnsi="微软雅黑" w:eastAsia="微软雅黑" w:cs="微软雅黑"/>
          <w:color w:val="auto"/>
          <w:sz w:val="24"/>
        </w:rPr>
        <w:t>保证金</w:t>
      </w:r>
      <w:bookmarkEnd w:id="37"/>
      <w:bookmarkEnd w:id="38"/>
      <w:bookmarkEnd w:id="39"/>
      <w:bookmarkEnd w:id="40"/>
      <w:bookmarkEnd w:id="41"/>
      <w:bookmarkEnd w:id="42"/>
      <w:bookmarkEnd w:id="43"/>
      <w:bookmarkEnd w:id="44"/>
      <w:bookmarkEnd w:id="45"/>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（一）保证金递交</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1.未</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的保证金，在中标通知书发放后</w:t>
      </w:r>
      <w:r>
        <w:rPr>
          <w:rFonts w:hint="eastAsia" w:ascii="微软雅黑" w:hAnsi="微软雅黑" w:eastAsia="微软雅黑" w:cs="微软雅黑"/>
          <w:color w:val="auto"/>
          <w:sz w:val="24"/>
          <w:szCs w:val="24"/>
          <w:lang w:val="en-US" w:eastAsia="zh-CN"/>
        </w:rPr>
        <w:t>60</w:t>
      </w:r>
      <w:r>
        <w:rPr>
          <w:rFonts w:hint="eastAsia" w:ascii="微软雅黑" w:hAnsi="微软雅黑" w:eastAsia="微软雅黑" w:cs="微软雅黑"/>
          <w:color w:val="auto"/>
          <w:sz w:val="24"/>
          <w:szCs w:val="24"/>
        </w:rPr>
        <w:t>个</w:t>
      </w:r>
      <w:r>
        <w:rPr>
          <w:rFonts w:hint="eastAsia" w:ascii="微软雅黑" w:hAnsi="微软雅黑" w:eastAsia="微软雅黑" w:cs="微软雅黑"/>
          <w:color w:val="auto"/>
          <w:sz w:val="24"/>
          <w:szCs w:val="24"/>
          <w:lang w:val="en-US" w:eastAsia="zh-CN"/>
        </w:rPr>
        <w:t>工作</w:t>
      </w:r>
      <w:r>
        <w:rPr>
          <w:rFonts w:hint="eastAsia" w:ascii="微软雅黑" w:hAnsi="微软雅黑" w:eastAsia="微软雅黑" w:cs="微软雅黑"/>
          <w:color w:val="auto"/>
          <w:sz w:val="24"/>
          <w:szCs w:val="24"/>
        </w:rPr>
        <w:t>日内退还至项目报名时所填写指定的投标单位对公账户。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b w:val="0"/>
          <w:bCs/>
          <w:color w:val="auto"/>
          <w:sz w:val="24"/>
        </w:rPr>
      </w:pPr>
      <w:bookmarkStart w:id="46" w:name="_Toc23827"/>
      <w:r>
        <w:rPr>
          <w:rFonts w:hint="eastAsia" w:ascii="微软雅黑" w:hAnsi="微软雅黑" w:eastAsia="微软雅黑" w:cs="微软雅黑"/>
          <w:b w:val="0"/>
          <w:bCs/>
          <w:color w:val="auto"/>
          <w:sz w:val="24"/>
          <w:szCs w:val="24"/>
        </w:rPr>
        <w:t>2.</w:t>
      </w:r>
      <w:r>
        <w:rPr>
          <w:rFonts w:hint="eastAsia" w:ascii="微软雅黑" w:hAnsi="微软雅黑" w:eastAsia="微软雅黑" w:cs="微软雅黑"/>
          <w:b w:val="0"/>
          <w:bCs/>
          <w:color w:val="auto"/>
          <w:sz w:val="24"/>
          <w:szCs w:val="24"/>
          <w:lang w:eastAsia="zh-CN"/>
        </w:rPr>
        <w:t>中标人</w:t>
      </w:r>
      <w:r>
        <w:rPr>
          <w:rFonts w:hint="eastAsia" w:ascii="微软雅黑" w:hAnsi="微软雅黑" w:eastAsia="微软雅黑" w:cs="微软雅黑"/>
          <w:b w:val="0"/>
          <w:bCs/>
          <w:color w:val="auto"/>
          <w:sz w:val="24"/>
          <w:szCs w:val="24"/>
        </w:rPr>
        <w:t>的保证金，将在与我院完成签订本项目合同并提交</w:t>
      </w:r>
      <w:r>
        <w:rPr>
          <w:rFonts w:hint="eastAsia" w:ascii="微软雅黑" w:hAnsi="微软雅黑" w:eastAsia="微软雅黑" w:cs="微软雅黑"/>
          <w:b w:val="0"/>
          <w:bCs/>
          <w:color w:val="auto"/>
          <w:sz w:val="24"/>
          <w:szCs w:val="24"/>
          <w:lang w:eastAsia="zh-CN"/>
        </w:rPr>
        <w:t>采购管理处</w:t>
      </w:r>
      <w:r>
        <w:rPr>
          <w:rFonts w:hint="eastAsia" w:ascii="微软雅黑" w:hAnsi="微软雅黑" w:eastAsia="微软雅黑" w:cs="微软雅黑"/>
          <w:b w:val="0"/>
          <w:bCs/>
          <w:color w:val="auto"/>
          <w:sz w:val="24"/>
          <w:szCs w:val="24"/>
        </w:rPr>
        <w:t>公室（将合同扫描文件发送至zbb63632469@qq.com）之后</w:t>
      </w:r>
      <w:r>
        <w:rPr>
          <w:rFonts w:hint="eastAsia" w:ascii="微软雅黑" w:hAnsi="微软雅黑" w:eastAsia="微软雅黑" w:cs="微软雅黑"/>
          <w:b w:val="0"/>
          <w:bCs/>
          <w:color w:val="auto"/>
          <w:sz w:val="24"/>
          <w:szCs w:val="24"/>
          <w:lang w:val="en-US" w:eastAsia="zh-CN"/>
        </w:rPr>
        <w:t>60</w:t>
      </w:r>
      <w:r>
        <w:rPr>
          <w:rFonts w:hint="eastAsia" w:ascii="微软雅黑" w:hAnsi="微软雅黑" w:eastAsia="微软雅黑" w:cs="微软雅黑"/>
          <w:b w:val="0"/>
          <w:bCs/>
          <w:color w:val="auto"/>
          <w:sz w:val="24"/>
          <w:szCs w:val="24"/>
        </w:rPr>
        <w:t>个</w:t>
      </w:r>
      <w:r>
        <w:rPr>
          <w:rFonts w:hint="eastAsia" w:ascii="微软雅黑" w:hAnsi="微软雅黑" w:eastAsia="微软雅黑" w:cs="微软雅黑"/>
          <w:b w:val="0"/>
          <w:bCs/>
          <w:color w:val="auto"/>
          <w:sz w:val="24"/>
          <w:szCs w:val="24"/>
          <w:lang w:val="en-US" w:eastAsia="zh-CN"/>
        </w:rPr>
        <w:t>工作</w:t>
      </w:r>
      <w:r>
        <w:rPr>
          <w:rFonts w:hint="eastAsia" w:ascii="微软雅黑" w:hAnsi="微软雅黑" w:eastAsia="微软雅黑" w:cs="微软雅黑"/>
          <w:b w:val="0"/>
          <w:bCs/>
          <w:color w:val="auto"/>
          <w:sz w:val="24"/>
          <w:szCs w:val="24"/>
        </w:rPr>
        <w:t>日内，无息退还至项目报名时所填写的投标单位对公账户。</w:t>
      </w:r>
      <w:bookmarkEnd w:id="46"/>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lang w:eastAsia="zh-CN"/>
        </w:rPr>
      </w:pPr>
      <w:bookmarkStart w:id="47" w:name="_Toc30228"/>
      <w:r>
        <w:rPr>
          <w:rFonts w:hint="eastAsia" w:ascii="微软雅黑" w:hAnsi="微软雅黑" w:eastAsia="微软雅黑" w:cs="微软雅黑"/>
          <w:color w:val="auto"/>
          <w:sz w:val="24"/>
          <w:lang w:val="en-US" w:eastAsia="zh-CN"/>
        </w:rPr>
        <w:t>五、</w:t>
      </w:r>
      <w:r>
        <w:rPr>
          <w:rFonts w:hint="eastAsia" w:ascii="微软雅黑" w:hAnsi="微软雅黑" w:eastAsia="微软雅黑" w:cs="微软雅黑"/>
          <w:color w:val="auto"/>
          <w:sz w:val="24"/>
          <w:lang w:eastAsia="zh-CN"/>
        </w:rPr>
        <w:t>其他</w:t>
      </w:r>
      <w:bookmarkEnd w:id="47"/>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（一）重庆医科大学附属儿童医院采购管理处所作出的一切书面通知、修改、补充说明、答疑等内容，都是公开比选采购文件不可分割的组成部分。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采购管理处，否则即视为完全放弃对本公开比选采购文件的质疑权利。如采购人认为上述质疑有回复必要，将以书面形式将回复内容通知所有投标</w:t>
      </w:r>
      <w:r>
        <w:rPr>
          <w:rFonts w:hint="eastAsia" w:ascii="微软雅黑" w:hAnsi="微软雅黑" w:eastAsia="微软雅黑" w:cs="微软雅黑"/>
          <w:color w:val="auto"/>
          <w:sz w:val="24"/>
          <w:szCs w:val="24"/>
          <w:lang w:eastAsia="zh-CN"/>
        </w:rPr>
        <w:t>人</w:t>
      </w:r>
      <w:r>
        <w:rPr>
          <w:rFonts w:hint="eastAsia" w:ascii="微软雅黑" w:hAnsi="微软雅黑" w:eastAsia="微软雅黑" w:cs="微软雅黑"/>
          <w:color w:val="auto"/>
          <w:sz w:val="24"/>
          <w:szCs w:val="24"/>
        </w:rPr>
        <w:t>。</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应仔细阅读和检查公开比选采购文件的全部内容。如发现缺页或附件不全，应及时提出，以便补齐。如有疑问，请在投标截止日前向招标单位提出，超过此时限规定，招标单位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48" w:name="_Toc30276"/>
      <w:bookmarkStart w:id="49" w:name="_Toc525047164"/>
      <w:bookmarkStart w:id="50" w:name="_Toc10415"/>
      <w:bookmarkStart w:id="51" w:name="_Toc1733"/>
      <w:bookmarkStart w:id="52" w:name="_Toc65660337"/>
      <w:bookmarkStart w:id="53" w:name="_Toc521053056"/>
      <w:bookmarkStart w:id="54" w:name="_Toc24901"/>
      <w:bookmarkStart w:id="55" w:name="_Toc106034628"/>
      <w:r>
        <w:rPr>
          <w:rFonts w:hint="eastAsia" w:ascii="微软雅黑" w:hAnsi="微软雅黑" w:eastAsia="微软雅黑" w:cs="微软雅黑"/>
          <w:color w:val="auto"/>
          <w:sz w:val="24"/>
          <w:lang w:val="en-US" w:eastAsia="zh-CN"/>
        </w:rPr>
        <w:t>六</w:t>
      </w:r>
      <w:r>
        <w:rPr>
          <w:rFonts w:hint="eastAsia" w:ascii="微软雅黑" w:hAnsi="微软雅黑" w:eastAsia="微软雅黑" w:cs="微软雅黑"/>
          <w:color w:val="auto"/>
          <w:sz w:val="24"/>
        </w:rPr>
        <w:t>、联系方式</w:t>
      </w:r>
      <w:bookmarkEnd w:id="48"/>
      <w:bookmarkEnd w:id="49"/>
      <w:bookmarkEnd w:id="50"/>
      <w:bookmarkEnd w:id="51"/>
      <w:bookmarkEnd w:id="52"/>
      <w:bookmarkEnd w:id="53"/>
      <w:bookmarkEnd w:id="54"/>
      <w:bookmarkEnd w:id="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联系部门：采购管理处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电    话：023-63632469</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邮    箱：zbb63632469@qq.com</w:t>
      </w:r>
    </w:p>
    <w:bookmarkEnd w:id="5"/>
    <w:p>
      <w:pPr>
        <w:snapToGrid w:val="0"/>
        <w:spacing w:line="400" w:lineRule="exact"/>
        <w:ind w:firstLine="480" w:firstLineChars="200"/>
        <w:rPr>
          <w:rFonts w:hint="eastAsia" w:ascii="微软雅黑" w:hAnsi="微软雅黑" w:eastAsia="微软雅黑" w:cs="微软雅黑"/>
          <w:b/>
          <w:color w:val="auto"/>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color w:val="auto"/>
          <w:sz w:val="44"/>
        </w:rPr>
      </w:pPr>
      <w:bookmarkStart w:id="56" w:name="_Toc2070"/>
      <w:bookmarkStart w:id="57" w:name="_Toc5461"/>
      <w:bookmarkStart w:id="58" w:name="_Toc11017"/>
      <w:bookmarkStart w:id="59" w:name="_Toc26176"/>
      <w:bookmarkStart w:id="60" w:name="_Toc1492"/>
      <w:bookmarkStart w:id="61" w:name="_Toc23143"/>
      <w:bookmarkStart w:id="62" w:name="_Toc12959"/>
      <w:bookmarkStart w:id="63" w:name="_Toc25639"/>
      <w:bookmarkStart w:id="64" w:name="_Toc8649"/>
      <w:bookmarkStart w:id="65" w:name="_Toc2422"/>
      <w:bookmarkStart w:id="66" w:name="_Toc1625"/>
      <w:bookmarkStart w:id="67" w:name="_Toc19886"/>
      <w:bookmarkStart w:id="68" w:name="_Toc75793504"/>
      <w:bookmarkStart w:id="69" w:name="_Toc32686"/>
      <w:bookmarkStart w:id="70" w:name="_Toc725"/>
      <w:bookmarkStart w:id="71" w:name="_Toc106030380"/>
      <w:bookmarkStart w:id="72" w:name="_Toc30927"/>
      <w:bookmarkStart w:id="73" w:name="_Toc27431"/>
      <w:bookmarkStart w:id="74" w:name="_Toc12789058"/>
      <w:r>
        <w:rPr>
          <w:rFonts w:hint="eastAsia" w:ascii="微软雅黑" w:hAnsi="微软雅黑" w:eastAsia="微软雅黑" w:cs="微软雅黑"/>
          <w:b/>
          <w:color w:val="auto"/>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color w:val="auto"/>
          <w:sz w:val="44"/>
        </w:rPr>
        <w:t>项目技术（质量）需求</w:t>
      </w:r>
      <w:bookmarkEnd w:id="71"/>
      <w:bookmarkEnd w:id="72"/>
      <w:bookmarkEnd w:id="73"/>
    </w:p>
    <w:p>
      <w:pPr>
        <w:ind w:firstLine="480" w:firstLineChars="200"/>
        <w:rPr>
          <w:rFonts w:hint="eastAsia" w:ascii="微软雅黑" w:hAnsi="微软雅黑" w:eastAsia="微软雅黑" w:cs="微软雅黑"/>
          <w:b/>
          <w:bCs/>
          <w:color w:val="auto"/>
          <w:sz w:val="24"/>
          <w:szCs w:val="24"/>
        </w:rPr>
      </w:pPr>
      <w:bookmarkStart w:id="75" w:name="_Toc22910"/>
      <w:bookmarkStart w:id="76" w:name="_Toc75793505"/>
      <w:bookmarkStart w:id="77" w:name="_Toc4531"/>
      <w:bookmarkStart w:id="78" w:name="_Toc23656"/>
      <w:bookmarkStart w:id="79" w:name="_Toc4913"/>
      <w:bookmarkStart w:id="80" w:name="_Toc11703"/>
      <w:bookmarkStart w:id="81" w:name="_Toc20979"/>
      <w:bookmarkStart w:id="82" w:name="_Toc23504"/>
      <w:bookmarkStart w:id="83" w:name="_Toc8370"/>
      <w:bookmarkStart w:id="84" w:name="_Toc29985"/>
      <w:bookmarkStart w:id="85" w:name="_Toc106030381"/>
      <w:bookmarkStart w:id="86" w:name="_Toc4519"/>
      <w:bookmarkStart w:id="87" w:name="_Toc7027"/>
      <w:bookmarkStart w:id="88" w:name="_Toc9261"/>
      <w:bookmarkStart w:id="89" w:name="_Toc19238"/>
      <w:r>
        <w:rPr>
          <w:rFonts w:hint="eastAsia" w:ascii="微软雅黑" w:hAnsi="微软雅黑" w:eastAsia="微软雅黑" w:cs="微软雅黑"/>
          <w:b/>
          <w:bCs/>
          <w:color w:val="auto"/>
          <w:sz w:val="24"/>
          <w:szCs w:val="24"/>
        </w:rPr>
        <w:t>一、项目一览表</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序号</w:t>
            </w:r>
          </w:p>
        </w:tc>
        <w:tc>
          <w:tcPr>
            <w:tcW w:w="3614"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产品名称</w:t>
            </w:r>
          </w:p>
        </w:tc>
        <w:tc>
          <w:tcPr>
            <w:tcW w:w="1462" w:type="dxa"/>
            <w:vAlign w:val="center"/>
          </w:tcPr>
          <w:p>
            <w:pPr>
              <w:jc w:val="center"/>
              <w:rPr>
                <w:rFonts w:hint="eastAsia" w:ascii="微软雅黑" w:hAnsi="微软雅黑" w:eastAsia="微软雅黑" w:cs="微软雅黑"/>
                <w:b/>
                <w:color w:val="auto"/>
                <w:sz w:val="24"/>
                <w:szCs w:val="24"/>
              </w:rPr>
            </w:pPr>
            <w:r>
              <w:rPr>
                <w:rFonts w:hint="eastAsia" w:ascii="微软雅黑" w:hAnsi="微软雅黑" w:eastAsia="微软雅黑" w:cs="微软雅黑"/>
                <w:b/>
                <w:color w:val="auto"/>
                <w:sz w:val="24"/>
                <w:szCs w:val="24"/>
              </w:rPr>
              <w:t>数量</w:t>
            </w:r>
          </w:p>
        </w:tc>
        <w:tc>
          <w:tcPr>
            <w:tcW w:w="1462" w:type="dxa"/>
            <w:vAlign w:val="center"/>
          </w:tcPr>
          <w:p>
            <w:pPr>
              <w:jc w:val="center"/>
              <w:rPr>
                <w:rFonts w:hint="eastAsia" w:ascii="微软雅黑" w:hAnsi="微软雅黑" w:eastAsia="微软雅黑" w:cs="微软雅黑"/>
                <w:b/>
                <w:color w:val="auto"/>
                <w:sz w:val="24"/>
                <w:szCs w:val="24"/>
                <w:lang w:val="en-US" w:eastAsia="zh-CN"/>
              </w:rPr>
            </w:pPr>
            <w:r>
              <w:rPr>
                <w:rFonts w:hint="eastAsia" w:ascii="微软雅黑" w:hAnsi="微软雅黑" w:eastAsia="微软雅黑" w:cs="微软雅黑"/>
                <w:b/>
                <w:color w:val="auto"/>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w:t>
            </w:r>
          </w:p>
        </w:tc>
        <w:tc>
          <w:tcPr>
            <w:tcW w:w="3614" w:type="dxa"/>
            <w:vAlign w:val="center"/>
          </w:tcPr>
          <w:p>
            <w:pPr>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生物安全柜（分包三）</w:t>
            </w:r>
          </w:p>
        </w:tc>
        <w:tc>
          <w:tcPr>
            <w:tcW w:w="1462" w:type="dxa"/>
            <w:vAlign w:val="center"/>
          </w:tcPr>
          <w:p>
            <w:pPr>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2台</w:t>
            </w:r>
          </w:p>
        </w:tc>
        <w:tc>
          <w:tcPr>
            <w:tcW w:w="1462" w:type="dxa"/>
            <w:vAlign w:val="center"/>
          </w:tcPr>
          <w:p>
            <w:pPr>
              <w:jc w:val="center"/>
              <w:rPr>
                <w:rFonts w:hint="eastAsia" w:ascii="微软雅黑" w:hAnsi="微软雅黑" w:eastAsia="微软雅黑" w:cs="微软雅黑"/>
                <w:color w:val="auto"/>
                <w:sz w:val="24"/>
                <w:szCs w:val="24"/>
                <w:lang w:val="en-US" w:eastAsia="zh-CN"/>
              </w:rPr>
            </w:pPr>
          </w:p>
        </w:tc>
      </w:tr>
    </w:tbl>
    <w:p>
      <w:pPr>
        <w:ind w:firstLine="480" w:firstLineChars="200"/>
        <w:rPr>
          <w:rFonts w:hint="eastAsia" w:ascii="微软雅黑" w:hAnsi="微软雅黑" w:eastAsia="微软雅黑" w:cs="微软雅黑"/>
          <w:color w:val="auto"/>
          <w:sz w:val="24"/>
          <w:szCs w:val="24"/>
        </w:rPr>
      </w:pPr>
      <w:bookmarkStart w:id="90" w:name="_Toc23975"/>
      <w:bookmarkStart w:id="91" w:name="_Toc26453"/>
      <w:bookmarkStart w:id="92" w:name="_Toc21817"/>
      <w:bookmarkStart w:id="93" w:name="_Toc18800"/>
      <w:bookmarkStart w:id="94" w:name="_Toc695"/>
      <w:bookmarkStart w:id="95" w:name="_Toc32262"/>
      <w:bookmarkStart w:id="96" w:name="_Toc106030382"/>
      <w:bookmarkStart w:id="97" w:name="_Toc15696"/>
      <w:bookmarkStart w:id="98" w:name="_Toc28205"/>
      <w:bookmarkStart w:id="99" w:name="_Toc10143"/>
      <w:bookmarkStart w:id="100" w:name="_Toc12568"/>
      <w:bookmarkStart w:id="101" w:name="_Toc7792"/>
      <w:bookmarkStart w:id="102" w:name="_Toc75793506"/>
      <w:bookmarkStart w:id="103" w:name="_Toc18903"/>
      <w:bookmarkStart w:id="104" w:name="_Toc27067"/>
      <w:bookmarkStart w:id="105" w:name="_Toc5751"/>
      <w:r>
        <w:rPr>
          <w:rFonts w:hint="eastAsia" w:ascii="微软雅黑" w:hAnsi="微软雅黑" w:eastAsia="微软雅黑" w:cs="微软雅黑"/>
          <w:b/>
          <w:bCs/>
          <w:color w:val="auto"/>
          <w:sz w:val="24"/>
          <w:szCs w:val="24"/>
        </w:rPr>
        <w:t>二、项目技术需求</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○1、配有直观控制面板。显示有价值的安全和性能数据，实时显示仪器运行时间、下降风速和流入风速。</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○2、控制面板可显示总工作时间显示、定时器、紫外消毒剩余时长、气流是否稳定、前窗位于工作位置监测、节能模式，实时显示整个柜体的状态，确保在安全条件下工作。</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○3、控制面板声光报警便于客户快速确认仪器状态、气流平衡等。</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○4、HEPA过滤模块：包含两个HEPA过滤模块，分别实现外排风和下降风的过滤。HEPA过滤效率：过滤器最易穿透颗粒（MPPS）过滤效率高于99.995%。0.3微米颗粒的截留效率高于99.999%。</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○5、噪音：≤65dB</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6、双风机控制系统，独立的进气与排气风机自动控制，平衡下降气流与外排气流，以保证持续安全的工作条件。智能直流无碳刷电机可实时监测和控制风机转速，在过滤器阻塞或线路电压波动时持续保护用户安全。</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※7、风速报警：至少两个独立式压力传感器用于检测排气和下降气流强制通风时的压力变化。当进气/排气或下降气流速度变化量≥20%时，将发出声音和视觉报警提醒用户。</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○8、设备配置254nm紫外灯。紫外消毒时间可在0：00（关闭）到24：00小时之间进行调节。紫外消毒时间是预先设定的，步进为30分钟。</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※9、前窗倾角减少镜面效应，双层防爆玻璃，并确保用户在工作期间的姿势舒适。</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○10、柜体材料：内部两侧包括后背板为304不锈钢一体成型。</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▲11、柜体侧壁采用双层负压设计，以提供更大的保护。采用金属材质的压力舱，便于更换滤膜时拆卸。</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▲12、工作台下方的集液槽应采用不锈钢制成，并带有排污阀，且有方便清洁的结构设计。</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※13、生物安全柜的能耗，运行时≤200 W（提供官方彩页证明）。</w:t>
      </w:r>
    </w:p>
    <w:p>
      <w:pPr>
        <w:snapToGrid w:val="0"/>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※14、标准配置：主机，紫外灯，荧光灯等配件。</w:t>
      </w: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8" w:type="default"/>
          <w:footerReference r:id="rId9" w:type="even"/>
          <w:pgSz w:w="11907" w:h="16840"/>
          <w:pgMar w:top="907" w:right="907" w:bottom="907" w:left="850" w:header="964" w:footer="992" w:gutter="0"/>
          <w:pgNumType w:fmt="numberInDash"/>
          <w:cols w:space="720" w:num="1"/>
          <w:docGrid w:linePitch="381" w:charSpace="0"/>
        </w:sectPr>
      </w:pPr>
    </w:p>
    <w:p>
      <w:pPr>
        <w:pStyle w:val="4"/>
        <w:spacing w:before="200" w:after="200" w:line="240" w:lineRule="auto"/>
        <w:jc w:val="center"/>
        <w:rPr>
          <w:rFonts w:hint="eastAsia" w:ascii="微软雅黑" w:hAnsi="微软雅黑" w:eastAsia="微软雅黑" w:cs="微软雅黑"/>
          <w:color w:val="auto"/>
          <w:sz w:val="44"/>
        </w:rPr>
      </w:pPr>
      <w:bookmarkStart w:id="106" w:name="_Toc106030882"/>
      <w:bookmarkStart w:id="107" w:name="_Toc76462327"/>
      <w:bookmarkStart w:id="108" w:name="_Toc31179"/>
      <w:bookmarkStart w:id="109" w:name="_Toc28649"/>
      <w:bookmarkStart w:id="110" w:name="_Toc7791"/>
      <w:r>
        <w:rPr>
          <w:rFonts w:hint="eastAsia" w:ascii="微软雅黑" w:hAnsi="微软雅黑" w:eastAsia="微软雅黑" w:cs="微软雅黑"/>
          <w:color w:val="auto"/>
          <w:sz w:val="44"/>
        </w:rPr>
        <w:t>第三篇  项目商务需求</w:t>
      </w:r>
      <w:bookmarkEnd w:id="106"/>
      <w:bookmarkEnd w:id="107"/>
      <w:bookmarkEnd w:id="108"/>
      <w:bookmarkEnd w:id="109"/>
      <w:bookmarkEnd w:id="110"/>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9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交货期：中标人在收到采购人通知后在15个日历日内（或者在采购人临时具体书面指定天数内）将设备运到采购人指定交货地点。</w:t>
            </w:r>
          </w:p>
          <w:p>
            <w:pPr>
              <w:pStyle w:val="23"/>
              <w:keepNext w:val="0"/>
              <w:keepLines w:val="0"/>
              <w:pageBreakBefore w:val="0"/>
              <w:widowControl/>
              <w:kinsoku/>
              <w:wordWrap/>
              <w:overflowPunct/>
              <w:topLinePunct w:val="0"/>
              <w:autoSpaceDE/>
              <w:autoSpaceDN/>
              <w:bidi w:val="0"/>
              <w:spacing w:after="0" w:afterLines="0"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交货地点：重庆医科大学附属儿童医院</w:t>
            </w:r>
          </w:p>
          <w:p>
            <w:pPr>
              <w:pStyle w:val="144"/>
              <w:widowControl/>
              <w:adjustRightInd w:val="0"/>
              <w:snapToGrid w:val="0"/>
              <w:spacing w:line="400" w:lineRule="exact"/>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1.质保期：不低于5年；质保期内免费维修维保，免费更换所有需要的配件，质保期外免费维修，采购人只支付维修设备配件等费用，不得支付维修产生的差旅费等费用。</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2.</w:t>
            </w:r>
            <w:r>
              <w:rPr>
                <w:rFonts w:hint="eastAsia" w:ascii="微软雅黑" w:hAnsi="微软雅黑" w:eastAsia="微软雅黑" w:cs="微软雅黑"/>
                <w:color w:val="auto"/>
                <w:kern w:val="2"/>
                <w:sz w:val="24"/>
                <w:szCs w:val="24"/>
                <w:lang w:val="de-DE" w:eastAsia="zh-CN" w:bidi="ar-SA"/>
              </w:rPr>
              <w:t>机器故障应2</w:t>
            </w:r>
            <w:r>
              <w:rPr>
                <w:rFonts w:hint="eastAsia" w:ascii="微软雅黑" w:hAnsi="微软雅黑" w:eastAsia="微软雅黑" w:cs="微软雅黑"/>
                <w:color w:val="auto"/>
                <w:kern w:val="2"/>
                <w:sz w:val="24"/>
                <w:szCs w:val="24"/>
                <w:lang w:val="en-US" w:eastAsia="zh-CN" w:bidi="ar-SA"/>
              </w:rPr>
              <w:t>小时</w:t>
            </w:r>
            <w:r>
              <w:rPr>
                <w:rFonts w:hint="eastAsia" w:ascii="微软雅黑" w:hAnsi="微软雅黑" w:eastAsia="微软雅黑" w:cs="微软雅黑"/>
                <w:color w:val="auto"/>
                <w:kern w:val="2"/>
                <w:sz w:val="24"/>
                <w:szCs w:val="24"/>
                <w:lang w:val="de-DE" w:eastAsia="zh-CN" w:bidi="ar-SA"/>
              </w:rPr>
              <w:t>内故障响应，</w:t>
            </w:r>
            <w:r>
              <w:rPr>
                <w:rFonts w:hint="eastAsia" w:ascii="微软雅黑" w:hAnsi="微软雅黑" w:eastAsia="微软雅黑" w:cs="微软雅黑"/>
                <w:color w:val="auto"/>
                <w:kern w:val="2"/>
                <w:sz w:val="24"/>
                <w:szCs w:val="24"/>
                <w:lang w:val="en-US" w:eastAsia="zh-CN" w:bidi="ar-SA"/>
              </w:rPr>
              <w:t>4小时</w:t>
            </w:r>
            <w:r>
              <w:rPr>
                <w:rFonts w:hint="eastAsia" w:ascii="微软雅黑" w:hAnsi="微软雅黑" w:eastAsia="微软雅黑" w:cs="微软雅黑"/>
                <w:color w:val="auto"/>
                <w:kern w:val="2"/>
                <w:sz w:val="24"/>
                <w:szCs w:val="24"/>
                <w:lang w:val="de-DE" w:eastAsia="zh-CN" w:bidi="ar-SA"/>
              </w:rPr>
              <w:t>内到达现场解决故障。</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3.不能解决故障则应48小时内提供备用机或解决方案。</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4.</w:t>
            </w:r>
            <w:r>
              <w:rPr>
                <w:rFonts w:hint="eastAsia" w:ascii="微软雅黑" w:hAnsi="微软雅黑" w:eastAsia="微软雅黑" w:cs="微软雅黑"/>
                <w:color w:val="auto"/>
                <w:kern w:val="2"/>
                <w:sz w:val="24"/>
                <w:szCs w:val="24"/>
                <w:lang w:val="de-DE" w:eastAsia="zh-CN" w:bidi="ar-SA"/>
              </w:rPr>
              <w:t>提供维修技术资料。</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5.</w:t>
            </w:r>
            <w:r>
              <w:rPr>
                <w:rFonts w:hint="eastAsia" w:ascii="微软雅黑" w:hAnsi="微软雅黑" w:eastAsia="微软雅黑" w:cs="微软雅黑"/>
                <w:color w:val="auto"/>
                <w:kern w:val="2"/>
                <w:sz w:val="24"/>
                <w:szCs w:val="24"/>
                <w:lang w:val="de-DE" w:eastAsia="zh-CN" w:bidi="ar-SA"/>
              </w:rPr>
              <w:t>维修工程师免费上门安装、培训。</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6.</w:t>
            </w:r>
            <w:r>
              <w:rPr>
                <w:rFonts w:hint="eastAsia" w:ascii="微软雅黑" w:hAnsi="微软雅黑" w:eastAsia="微软雅黑" w:cs="微软雅黑"/>
                <w:color w:val="auto"/>
                <w:kern w:val="2"/>
                <w:sz w:val="24"/>
                <w:szCs w:val="24"/>
                <w:lang w:val="de-DE" w:eastAsia="zh-CN" w:bidi="ar-SA"/>
              </w:rPr>
              <w:t>一年不低于4次定期维护保养，</w:t>
            </w:r>
            <w:r>
              <w:rPr>
                <w:rFonts w:hint="eastAsia" w:ascii="微软雅黑" w:hAnsi="微软雅黑" w:eastAsia="微软雅黑" w:cs="微软雅黑"/>
                <w:color w:val="auto"/>
                <w:kern w:val="2"/>
                <w:sz w:val="24"/>
                <w:szCs w:val="24"/>
                <w:lang w:val="en-US" w:eastAsia="zh-CN" w:bidi="ar-SA"/>
              </w:rPr>
              <w:t>有故障情况发生，终身免费上门维修</w:t>
            </w:r>
            <w:r>
              <w:rPr>
                <w:rFonts w:hint="eastAsia" w:ascii="微软雅黑" w:hAnsi="微软雅黑" w:eastAsia="微软雅黑" w:cs="微软雅黑"/>
                <w:color w:val="auto"/>
                <w:kern w:val="2"/>
                <w:sz w:val="24"/>
                <w:szCs w:val="24"/>
                <w:lang w:val="de-DE" w:eastAsia="zh-CN" w:bidi="ar-SA"/>
              </w:rPr>
              <w:t>。</w:t>
            </w:r>
          </w:p>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de-DE" w:eastAsia="zh-CN" w:bidi="ar-SA"/>
              </w:rPr>
            </w:pPr>
            <w:r>
              <w:rPr>
                <w:rFonts w:hint="eastAsia" w:ascii="微软雅黑" w:hAnsi="微软雅黑" w:eastAsia="微软雅黑" w:cs="微软雅黑"/>
                <w:color w:val="auto"/>
                <w:kern w:val="2"/>
                <w:sz w:val="24"/>
                <w:szCs w:val="24"/>
                <w:lang w:val="en-US" w:eastAsia="zh-CN" w:bidi="ar-SA"/>
              </w:rPr>
              <w:t>7.</w:t>
            </w:r>
            <w:r>
              <w:rPr>
                <w:rFonts w:hint="eastAsia" w:ascii="微软雅黑" w:hAnsi="微软雅黑" w:eastAsia="微软雅黑" w:cs="微软雅黑"/>
                <w:color w:val="auto"/>
                <w:kern w:val="2"/>
                <w:sz w:val="24"/>
                <w:szCs w:val="24"/>
                <w:lang w:val="de-DE" w:eastAsia="zh-CN" w:bidi="ar-SA"/>
              </w:rPr>
              <w:t>有西南地区本地化服务机构和服务人员证明并且能够提供证明材料（公司的营业证等复印件加盖公章）。</w:t>
            </w:r>
          </w:p>
          <w:p>
            <w:pPr>
              <w:pStyle w:val="144"/>
              <w:widowControl/>
              <w:adjustRightInd w:val="0"/>
              <w:snapToGrid w:val="0"/>
              <w:spacing w:line="400" w:lineRule="exact"/>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付款方式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1.中标人按采购合同交货并安装调试完成，经验收合格后采购人出具项目验收报告；</w:t>
            </w:r>
          </w:p>
          <w:p>
            <w:pPr>
              <w:pStyle w:val="144"/>
              <w:snapToGrid w:val="0"/>
              <w:spacing w:line="400" w:lineRule="exact"/>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kern w:val="2"/>
                <w:sz w:val="24"/>
                <w:szCs w:val="24"/>
                <w:lang w:val="en-US" w:eastAsia="zh-CN" w:bidi="ar-SA"/>
              </w:rPr>
              <w:t>2.中标人向采购人开具发票，采购人于2个月内以转账方式向中标人支付合同全款。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lang w:eastAsia="zh-CN"/>
              </w:rPr>
            </w:pPr>
            <w:r>
              <w:rPr>
                <w:rFonts w:hint="eastAsia" w:ascii="微软雅黑" w:hAnsi="微软雅黑" w:eastAsia="微软雅黑" w:cs="微软雅黑"/>
                <w:b/>
                <w:bCs/>
                <w:color w:val="auto"/>
                <w:sz w:val="24"/>
                <w:szCs w:val="24"/>
                <w:lang w:val="en-US" w:eastAsia="zh-CN"/>
              </w:rPr>
              <w:t>知识产权</w:t>
            </w:r>
          </w:p>
        </w:tc>
        <w:tc>
          <w:tcPr>
            <w:tcW w:w="4277" w:type="pct"/>
            <w:vAlign w:val="center"/>
          </w:tcPr>
          <w:p>
            <w:pPr>
              <w:pStyle w:val="144"/>
              <w:snapToGrid w:val="0"/>
              <w:spacing w:line="400" w:lineRule="exact"/>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采购人在中国境内使用中标人提供的货物及服务时免受第三方提出的侵犯其专利权或其他知识产权的起诉。如有第三方提出侵权指控，中标人应承担由此引起的一切法律责任和费用。</w:t>
            </w:r>
          </w:p>
        </w:tc>
      </w:tr>
    </w:tbl>
    <w:p>
      <w:pPr>
        <w:ind w:firstLine="480" w:firstLineChars="200"/>
        <w:rPr>
          <w:rFonts w:hint="eastAsia" w:ascii="微软雅黑" w:hAnsi="微软雅黑" w:eastAsia="微软雅黑" w:cs="微软雅黑"/>
          <w:b/>
          <w:bCs/>
          <w:color w:val="auto"/>
          <w:sz w:val="24"/>
          <w:szCs w:val="24"/>
        </w:rPr>
      </w:pPr>
    </w:p>
    <w:p>
      <w:pPr>
        <w:snapToGrid w:val="0"/>
        <w:spacing w:line="400" w:lineRule="exact"/>
        <w:ind w:firstLine="480" w:firstLineChars="200"/>
        <w:rPr>
          <w:rFonts w:hint="eastAsia" w:ascii="微软雅黑" w:hAnsi="微软雅黑" w:eastAsia="微软雅黑" w:cs="微软雅黑"/>
          <w:color w:val="auto"/>
          <w:sz w:val="24"/>
          <w:szCs w:val="24"/>
          <w:lang w:eastAsia="zh-CN"/>
        </w:rPr>
        <w:sectPr>
          <w:footerReference r:id="rId10" w:type="default"/>
          <w:footerReference r:id="rId11" w:type="even"/>
          <w:pgSz w:w="11907" w:h="16840"/>
          <w:pgMar w:top="907" w:right="907" w:bottom="907" w:left="850" w:header="964" w:footer="992" w:gutter="0"/>
          <w:pgNumType w:fmt="numberInDash"/>
          <w:cols w:space="720" w:num="1"/>
          <w:docGrid w:linePitch="381" w:charSpace="0"/>
        </w:sectPr>
      </w:pPr>
    </w:p>
    <w:bookmarkEnd w:id="0"/>
    <w:bookmarkEnd w:id="1"/>
    <w:bookmarkEnd w:id="2"/>
    <w:bookmarkEnd w:id="3"/>
    <w:bookmarkEnd w:id="74"/>
    <w:p>
      <w:pPr>
        <w:pStyle w:val="4"/>
        <w:spacing w:before="200" w:after="200" w:line="240" w:lineRule="auto"/>
        <w:jc w:val="center"/>
        <w:rPr>
          <w:rFonts w:hint="eastAsia" w:ascii="微软雅黑" w:hAnsi="微软雅黑" w:eastAsia="微软雅黑" w:cs="微软雅黑"/>
          <w:color w:val="auto"/>
          <w:sz w:val="44"/>
        </w:rPr>
      </w:pPr>
      <w:bookmarkStart w:id="111" w:name="_Toc11315"/>
      <w:bookmarkStart w:id="112" w:name="_Toc26417"/>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四</w:t>
      </w:r>
      <w:r>
        <w:rPr>
          <w:rFonts w:hint="eastAsia" w:ascii="微软雅黑" w:hAnsi="微软雅黑" w:eastAsia="微软雅黑" w:cs="微软雅黑"/>
          <w:color w:val="auto"/>
          <w:sz w:val="44"/>
        </w:rPr>
        <w:t>篇  公开比选采购程序及方法、评审标准、无效响应和采购终止</w:t>
      </w:r>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3" w:name="_Toc28513"/>
      <w:bookmarkStart w:id="114" w:name="_Toc76462333"/>
      <w:bookmarkStart w:id="115" w:name="_Toc26127"/>
      <w:bookmarkStart w:id="116" w:name="_Toc14958"/>
      <w:bookmarkStart w:id="117" w:name="_Toc25412"/>
      <w:bookmarkStart w:id="118" w:name="_Toc106030888"/>
      <w:r>
        <w:rPr>
          <w:rFonts w:hint="eastAsia" w:ascii="微软雅黑" w:hAnsi="微软雅黑" w:eastAsia="微软雅黑" w:cs="微软雅黑"/>
          <w:color w:val="auto"/>
          <w:sz w:val="24"/>
        </w:rPr>
        <w:t>一、公开比选采购程序</w:t>
      </w:r>
      <w:bookmarkEnd w:id="113"/>
      <w:bookmarkEnd w:id="114"/>
      <w:bookmarkEnd w:id="115"/>
      <w:bookmarkEnd w:id="116"/>
      <w:bookmarkEnd w:id="117"/>
      <w:bookmarkEnd w:id="118"/>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（一）</w:t>
            </w:r>
          </w:p>
        </w:tc>
        <w:tc>
          <w:tcPr>
            <w:tcW w:w="891" w:type="dxa"/>
            <w:vMerge w:val="restart"/>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lang w:val="zh-CN"/>
              </w:rPr>
              <w:t>2.</w:t>
            </w:r>
            <w:r>
              <w:rPr>
                <w:rFonts w:hint="eastAsia" w:ascii="微软雅黑" w:hAnsi="微软雅黑" w:eastAsia="微软雅黑" w:cs="微软雅黑"/>
                <w:color w:val="auto"/>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投标人提供“基本资格条件承诺函”（格式详见</w:t>
            </w:r>
            <w:r>
              <w:rPr>
                <w:rFonts w:hint="eastAsia" w:ascii="微软雅黑" w:hAnsi="微软雅黑" w:eastAsia="微软雅黑" w:cs="微软雅黑"/>
                <w:color w:val="auto"/>
                <w:szCs w:val="21"/>
                <w:lang w:eastAsia="zh-CN"/>
              </w:rPr>
              <w:t>第六篇</w:t>
            </w:r>
            <w:r>
              <w:rPr>
                <w:rFonts w:hint="eastAsia" w:ascii="微软雅黑" w:hAnsi="微软雅黑" w:eastAsia="微软雅黑" w:cs="微软雅黑"/>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lang w:val="zh-CN"/>
              </w:rPr>
            </w:pPr>
          </w:p>
        </w:tc>
        <w:tc>
          <w:tcPr>
            <w:tcW w:w="2815" w:type="dxa"/>
            <w:vAlign w:val="center"/>
          </w:tcPr>
          <w:p>
            <w:pPr>
              <w:pStyle w:val="144"/>
              <w:spacing w:line="400" w:lineRule="exact"/>
              <w:rPr>
                <w:rFonts w:hint="eastAsia" w:ascii="微软雅黑" w:hAnsi="微软雅黑" w:eastAsia="微软雅黑" w:cs="微软雅黑"/>
                <w:color w:val="auto"/>
                <w:szCs w:val="21"/>
                <w:lang w:val="zh-CN"/>
              </w:rPr>
            </w:pPr>
            <w:r>
              <w:rPr>
                <w:rFonts w:hint="eastAsia" w:ascii="微软雅黑" w:hAnsi="微软雅黑" w:eastAsia="微软雅黑" w:cs="微软雅黑"/>
                <w:color w:val="auto"/>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6.法律、行政法规规定的</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条件</w:t>
            </w:r>
          </w:p>
        </w:tc>
        <w:tc>
          <w:tcPr>
            <w:tcW w:w="5105" w:type="dxa"/>
            <w:vAlign w:val="center"/>
          </w:tcPr>
          <w:p>
            <w:pPr>
              <w:pStyle w:val="144"/>
              <w:spacing w:line="400" w:lineRule="exact"/>
              <w:ind w:firstLine="420" w:firstLineChars="200"/>
              <w:rPr>
                <w:rFonts w:hint="eastAsia" w:ascii="微软雅黑" w:hAnsi="微软雅黑" w:eastAsia="微软雅黑" w:cs="微软雅黑"/>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color w:val="auto"/>
                <w:szCs w:val="21"/>
              </w:rPr>
            </w:pPr>
          </w:p>
        </w:tc>
        <w:tc>
          <w:tcPr>
            <w:tcW w:w="281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按“第一篇二、投标人资格要求（二）本项目的特定资格要求”的要求提交（如果有）。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w:t>
            </w:r>
            <w:r>
              <w:rPr>
                <w:rFonts w:hint="eastAsia" w:ascii="微软雅黑" w:hAnsi="微软雅黑" w:eastAsia="微软雅黑" w:cs="微软雅黑"/>
                <w:color w:val="auto"/>
                <w:szCs w:val="21"/>
                <w:lang w:val="en-US" w:eastAsia="zh-CN"/>
              </w:rPr>
              <w:t>二</w:t>
            </w:r>
            <w:r>
              <w:rPr>
                <w:rFonts w:hint="eastAsia" w:ascii="微软雅黑" w:hAnsi="微软雅黑" w:eastAsia="微软雅黑" w:cs="微软雅黑"/>
                <w:color w:val="auto"/>
                <w:szCs w:val="21"/>
              </w:rPr>
              <w:t>）</w:t>
            </w:r>
          </w:p>
        </w:tc>
        <w:tc>
          <w:tcPr>
            <w:tcW w:w="891"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IP地址</w:t>
            </w:r>
          </w:p>
        </w:tc>
        <w:tc>
          <w:tcPr>
            <w:tcW w:w="2815" w:type="dxa"/>
          </w:tcPr>
          <w:p>
            <w:pPr>
              <w:pStyle w:val="144"/>
              <w:spacing w:line="400" w:lineRule="exact"/>
              <w:ind w:firstLine="420" w:firstLineChars="200"/>
              <w:rPr>
                <w:rFonts w:hint="eastAsia" w:ascii="微软雅黑" w:hAnsi="微软雅黑" w:eastAsia="微软雅黑" w:cs="微软雅黑"/>
                <w:color w:val="auto"/>
                <w:szCs w:val="21"/>
              </w:rPr>
            </w:pPr>
          </w:p>
        </w:tc>
        <w:tc>
          <w:tcPr>
            <w:tcW w:w="5105" w:type="dxa"/>
          </w:tcPr>
          <w:p>
            <w:pPr>
              <w:pStyle w:val="144"/>
              <w:spacing w:line="400" w:lineRule="exact"/>
              <w:rPr>
                <w:rFonts w:hint="eastAsia" w:ascii="微软雅黑" w:hAnsi="微软雅黑" w:eastAsia="微软雅黑" w:cs="微软雅黑"/>
                <w:color w:val="auto"/>
                <w:szCs w:val="21"/>
              </w:rPr>
            </w:pPr>
            <w:r>
              <w:rPr>
                <w:rFonts w:hint="eastAsia" w:ascii="微软雅黑" w:hAnsi="微软雅黑" w:eastAsia="微软雅黑" w:cs="微软雅黑"/>
                <w:color w:val="auto"/>
                <w:szCs w:val="21"/>
              </w:rPr>
              <w:t>投标人在采购人指定招标平台进行报名或提交响应文件时，是否出现与</w:t>
            </w:r>
            <w:r>
              <w:rPr>
                <w:rFonts w:hint="eastAsia" w:ascii="微软雅黑" w:hAnsi="微软雅黑" w:eastAsia="微软雅黑" w:cs="微软雅黑"/>
                <w:color w:val="auto"/>
                <w:szCs w:val="21"/>
                <w:lang w:eastAsia="zh-CN"/>
              </w:rPr>
              <w:t>其他</w:t>
            </w:r>
            <w:r>
              <w:rPr>
                <w:rFonts w:hint="eastAsia" w:ascii="微软雅黑" w:hAnsi="微软雅黑" w:eastAsia="微软雅黑" w:cs="微软雅黑"/>
                <w:color w:val="auto"/>
                <w:szCs w:val="21"/>
              </w:rPr>
              <w:t>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19" w:name="_Toc32521"/>
      <w:bookmarkStart w:id="120" w:name="_Toc32269"/>
      <w:bookmarkStart w:id="121" w:name="_Toc16728"/>
      <w:bookmarkStart w:id="122" w:name="_Toc25824"/>
      <w:r>
        <w:rPr>
          <w:rFonts w:hint="eastAsia" w:ascii="微软雅黑" w:hAnsi="微软雅黑" w:eastAsia="微软雅黑" w:cs="微软雅黑"/>
          <w:color w:val="auto"/>
          <w:sz w:val="24"/>
          <w:lang w:val="en-US" w:eastAsia="zh-CN"/>
        </w:rPr>
        <w:t>二、</w:t>
      </w:r>
      <w:bookmarkEnd w:id="119"/>
      <w:bookmarkEnd w:id="120"/>
      <w:bookmarkStart w:id="123" w:name="_Toc28874"/>
      <w:bookmarkStart w:id="124" w:name="_Toc23550"/>
      <w:r>
        <w:rPr>
          <w:rFonts w:hint="eastAsia" w:ascii="微软雅黑" w:hAnsi="微软雅黑" w:eastAsia="微软雅黑" w:cs="微软雅黑"/>
          <w:color w:val="auto"/>
          <w:sz w:val="24"/>
          <w:lang w:val="en-US" w:eastAsia="zh-CN"/>
        </w:rPr>
        <w:t>评标方法</w:t>
      </w:r>
      <w:bookmarkEnd w:id="121"/>
      <w:bookmarkEnd w:id="122"/>
      <w:bookmarkEnd w:id="123"/>
      <w:bookmarkEnd w:id="124"/>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本项目采用综合评分法进行评标。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微软雅黑" w:hAnsi="微软雅黑" w:eastAsia="微软雅黑" w:cs="微软雅黑"/>
          <w:color w:val="auto"/>
          <w:kern w:val="0"/>
          <w:sz w:val="24"/>
          <w:szCs w:val="24"/>
        </w:rPr>
      </w:pPr>
      <w:r>
        <w:rPr>
          <w:rFonts w:hint="eastAsia" w:ascii="微软雅黑" w:hAnsi="微软雅黑" w:eastAsia="微软雅黑" w:cs="微软雅黑"/>
          <w:color w:val="auto"/>
          <w:kern w:val="0"/>
          <w:sz w:val="24"/>
          <w:szCs w:val="24"/>
        </w:rPr>
        <w:t>综合评分法，是指投标文件满足招标文件全部实质性要求且按照评审因素的量化指标评审得分最高的投标人为中标候选人的评标方法。投标人总得分为价格、商务、技术（质量）等评定因素分别按照相应权重值计算分项得分后相加，满分为100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（一）比较与评价。按招标文件中规定的评标方法和标准，对资格审查和符合性审查合格的投标文件进行商务和技术评估。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评审得分相同的，由采购人委托评标委员会按照招标文件规定的方式确定一个投标人获得</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 xml:space="preserve">推荐资格，招标文件未规定的采取随机抽取方式确定。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复核后，评标委员会汇总每个投标人每项评分因素的得分。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（二）推荐中标候选人名单。</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按评审后得分由高到低的排列顺序推荐综合得分排名前三的投标人为本项目中标候选人，排名第一的为第一中标候选人。综合评分总分相同的，</w:t>
      </w:r>
      <w:r>
        <w:rPr>
          <w:rFonts w:hint="eastAsia" w:ascii="微软雅黑" w:hAnsi="微软雅黑" w:eastAsia="微软雅黑" w:cs="微软雅黑"/>
          <w:color w:val="auto"/>
          <w:sz w:val="24"/>
          <w:szCs w:val="24"/>
          <w:highlight w:val="none"/>
        </w:rPr>
        <w:t>按价格得分高低</w:t>
      </w:r>
      <w:r>
        <w:rPr>
          <w:rFonts w:hint="eastAsia" w:ascii="微软雅黑" w:hAnsi="微软雅黑" w:eastAsia="微软雅黑" w:cs="微软雅黑"/>
          <w:color w:val="auto"/>
          <w:sz w:val="24"/>
          <w:szCs w:val="24"/>
        </w:rPr>
        <w:t>顺序排列（投标报价相同的并列）。</w:t>
      </w:r>
    </w:p>
    <w:p>
      <w:pPr>
        <w:pStyle w:val="4"/>
        <w:numPr>
          <w:ilvl w:val="0"/>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lang w:val="en-US" w:eastAsia="zh-CN"/>
        </w:rPr>
      </w:pPr>
      <w:bookmarkStart w:id="125" w:name="_Toc18577"/>
      <w:bookmarkStart w:id="126" w:name="_Toc76462334"/>
      <w:bookmarkStart w:id="127" w:name="_Toc14542"/>
      <w:bookmarkStart w:id="128" w:name="_Toc2549"/>
      <w:bookmarkStart w:id="129" w:name="_Toc106030889"/>
      <w:bookmarkStart w:id="130" w:name="_Toc29611"/>
      <w:bookmarkStart w:id="131" w:name="_Toc30944"/>
      <w:r>
        <w:rPr>
          <w:rFonts w:hint="eastAsia" w:ascii="微软雅黑" w:hAnsi="微软雅黑" w:eastAsia="微软雅黑" w:cs="微软雅黑"/>
          <w:color w:val="auto"/>
          <w:sz w:val="24"/>
          <w:lang w:val="en-US" w:eastAsia="zh-CN"/>
        </w:rPr>
        <w:t>三、评审标准</w:t>
      </w:r>
      <w:bookmarkEnd w:id="125"/>
      <w:bookmarkEnd w:id="126"/>
      <w:bookmarkEnd w:id="127"/>
      <w:bookmarkEnd w:id="128"/>
      <w:bookmarkEnd w:id="129"/>
      <w:bookmarkEnd w:id="130"/>
      <w:bookmarkEnd w:id="131"/>
    </w:p>
    <w:tbl>
      <w:tblPr>
        <w:tblStyle w:val="5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462"/>
        <w:gridCol w:w="913"/>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bookmarkStart w:id="132" w:name="_Toc17606"/>
            <w:bookmarkStart w:id="133" w:name="_Toc17288"/>
            <w:bookmarkStart w:id="134" w:name="_Toc8670"/>
            <w:r>
              <w:rPr>
                <w:rFonts w:hint="default" w:ascii="微软雅黑" w:hAnsi="微软雅黑" w:eastAsia="微软雅黑" w:cs="微软雅黑"/>
                <w:color w:val="auto"/>
                <w:kern w:val="2"/>
                <w:sz w:val="21"/>
                <w:szCs w:val="21"/>
                <w:lang w:val="en-US" w:eastAsia="zh-CN" w:bidi="ar-SA"/>
              </w:rPr>
              <w:t>序号</w:t>
            </w:r>
          </w:p>
        </w:tc>
        <w:tc>
          <w:tcPr>
            <w:tcW w:w="1462"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评分因素</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及权重</w:t>
            </w:r>
          </w:p>
        </w:tc>
        <w:tc>
          <w:tcPr>
            <w:tcW w:w="913"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分值</w:t>
            </w:r>
          </w:p>
        </w:tc>
        <w:tc>
          <w:tcPr>
            <w:tcW w:w="3978"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评分标准</w:t>
            </w:r>
          </w:p>
        </w:tc>
        <w:tc>
          <w:tcPr>
            <w:tcW w:w="2440" w:type="dxa"/>
            <w:noWrap w:val="0"/>
            <w:vAlign w:val="center"/>
          </w:tcPr>
          <w:p>
            <w:pPr>
              <w:pStyle w:val="238"/>
              <w:spacing w:before="0" w:after="0" w:line="240" w:lineRule="auto"/>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w:t>
            </w:r>
          </w:p>
        </w:tc>
        <w:tc>
          <w:tcPr>
            <w:tcW w:w="1462"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投标报价</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（30%）</w:t>
            </w:r>
          </w:p>
        </w:tc>
        <w:tc>
          <w:tcPr>
            <w:tcW w:w="913"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30</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有效的投标报价中的最低价为评标基准价，其价格分为满分。其他投标人的价格分统一按照下列公式计算：</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投标报价得分＝（评标基准价/投标报价）×价格权重×100。</w:t>
            </w:r>
          </w:p>
        </w:tc>
        <w:tc>
          <w:tcPr>
            <w:tcW w:w="2440" w:type="dxa"/>
            <w:noWrap w:val="0"/>
            <w:vAlign w:val="center"/>
          </w:tcPr>
          <w:p>
            <w:pPr>
              <w:ind w:left="-38"/>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noWrap w:val="0"/>
            <w:vAlign w:val="center"/>
          </w:tcPr>
          <w:p>
            <w:pPr>
              <w:ind w:left="-38"/>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采购文件“技术（质量）需求”中“※”标注的技术需求为符合性审查中的实质性要求，若不满足按无效投标处理。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w:t>
            </w:r>
          </w:p>
        </w:tc>
        <w:tc>
          <w:tcPr>
            <w:tcW w:w="1462"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技术（质量）部分</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0%）</w:t>
            </w:r>
          </w:p>
        </w:tc>
        <w:tc>
          <w:tcPr>
            <w:tcW w:w="913" w:type="dxa"/>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0</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1.起评分：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有效投标人的起评分为</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0分。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2.扣分条款：</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2.1投标文件投标应答有一条不满足招标文件重要技术需求的（本招标文件第二篇中带“▲”号标注的部分，共计</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条），从起评分中扣除</w:t>
            </w:r>
            <w:r>
              <w:rPr>
                <w:rFonts w:hint="eastAsia" w:ascii="微软雅黑" w:hAnsi="微软雅黑" w:eastAsia="微软雅黑" w:cs="微软雅黑"/>
                <w:color w:val="auto"/>
                <w:kern w:val="2"/>
                <w:sz w:val="21"/>
                <w:szCs w:val="21"/>
                <w:lang w:val="en-US" w:eastAsia="zh-CN" w:bidi="ar-SA"/>
              </w:rPr>
              <w:t>11</w:t>
            </w:r>
            <w:r>
              <w:rPr>
                <w:rFonts w:hint="default" w:ascii="微软雅黑" w:hAnsi="微软雅黑" w:eastAsia="微软雅黑" w:cs="微软雅黑"/>
                <w:color w:val="auto"/>
                <w:kern w:val="2"/>
                <w:sz w:val="21"/>
                <w:szCs w:val="21"/>
                <w:lang w:val="en-US" w:eastAsia="zh-CN" w:bidi="ar-SA"/>
              </w:rPr>
              <w:t>分，扣完为止。</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2.2投标文件投标应答有一条不满足招标文件一般性技术需求的（本招标文件第二篇中“○”号标注的部分，共计</w:t>
            </w:r>
            <w:r>
              <w:rPr>
                <w:rFonts w:hint="eastAsia" w:ascii="微软雅黑" w:hAnsi="微软雅黑" w:eastAsia="微软雅黑" w:cs="微软雅黑"/>
                <w:color w:val="auto"/>
                <w:kern w:val="2"/>
                <w:sz w:val="21"/>
                <w:szCs w:val="21"/>
                <w:lang w:val="en-US" w:eastAsia="zh-CN" w:bidi="ar-SA"/>
              </w:rPr>
              <w:t>7</w:t>
            </w:r>
            <w:r>
              <w:rPr>
                <w:rFonts w:hint="default" w:ascii="微软雅黑" w:hAnsi="微软雅黑" w:eastAsia="微软雅黑" w:cs="微软雅黑"/>
                <w:color w:val="auto"/>
                <w:kern w:val="2"/>
                <w:sz w:val="21"/>
                <w:szCs w:val="21"/>
                <w:lang w:val="en-US" w:eastAsia="zh-CN" w:bidi="ar-SA"/>
              </w:rPr>
              <w:t>条），从起评分中扣除</w:t>
            </w:r>
            <w:r>
              <w:rPr>
                <w:rFonts w:hint="eastAsia" w:ascii="微软雅黑" w:hAnsi="微软雅黑" w:eastAsia="微软雅黑" w:cs="微软雅黑"/>
                <w:color w:val="auto"/>
                <w:kern w:val="2"/>
                <w:sz w:val="21"/>
                <w:szCs w:val="21"/>
                <w:lang w:val="en-US" w:eastAsia="zh-CN" w:bidi="ar-SA"/>
              </w:rPr>
              <w:t>4</w:t>
            </w:r>
            <w:r>
              <w:rPr>
                <w:rFonts w:hint="default" w:ascii="微软雅黑" w:hAnsi="微软雅黑" w:eastAsia="微软雅黑" w:cs="微软雅黑"/>
                <w:color w:val="auto"/>
                <w:kern w:val="2"/>
                <w:sz w:val="21"/>
                <w:szCs w:val="21"/>
                <w:lang w:val="en-US" w:eastAsia="zh-CN" w:bidi="ar-SA"/>
              </w:rPr>
              <w:t>分，扣完为止。</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8" w:type="dxa"/>
            <w:gridSpan w:val="5"/>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投标人的应答应满足招标文件“商务需求”，有一条不满足的（“※”号标注的部分除外），商务部分得分为0分，不再进入商务部分的评审。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1" w:hRule="atLeast"/>
          <w:jc w:val="center"/>
        </w:trPr>
        <w:tc>
          <w:tcPr>
            <w:tcW w:w="835" w:type="dxa"/>
            <w:vMerge w:val="restart"/>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w:t>
            </w:r>
          </w:p>
        </w:tc>
        <w:tc>
          <w:tcPr>
            <w:tcW w:w="1462" w:type="dxa"/>
            <w:vMerge w:val="restart"/>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商务部分</w:t>
            </w:r>
          </w:p>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0%）</w:t>
            </w:r>
          </w:p>
        </w:tc>
        <w:tc>
          <w:tcPr>
            <w:tcW w:w="913" w:type="dxa"/>
            <w:vMerge w:val="restart"/>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售后服务</w:t>
            </w:r>
            <w:r>
              <w:rPr>
                <w:rFonts w:hint="eastAsia" w:ascii="微软雅黑" w:hAnsi="微软雅黑" w:eastAsia="微软雅黑" w:cs="微软雅黑"/>
                <w:color w:val="auto"/>
                <w:kern w:val="2"/>
                <w:sz w:val="21"/>
                <w:szCs w:val="21"/>
                <w:lang w:val="en-US" w:eastAsia="zh-CN" w:bidi="ar-SA"/>
              </w:rPr>
              <w:t>15</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1.维保服务方案</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投标人提供维保服务方案，方案内容包括日常维修保养、巡查、年度大保养计划。方案内容不存在瑕疵，得</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方案内容存在1处瑕疵，得</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处及以上瑕疵或未提供方案得0分。</w:t>
            </w:r>
          </w:p>
        </w:tc>
        <w:tc>
          <w:tcPr>
            <w:tcW w:w="2440" w:type="dxa"/>
            <w:vMerge w:val="restart"/>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提供方案，格式自拟。</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注：本项内容中所称的“瑕疵”指以下内容：</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①方案内容缺项、内容表述不完整或缺少维保服务内容或售后服务内容中任意一项内容的针对性分析或介绍</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②方案内容表述前后矛盾、无连贯性</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③维保服务范围或售后服务范围覆盖不全、服务流程低效</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④方案内容存在逻辑漏洞、常识错误、维保服务或售后服务流程并不适用本项目特性和或非专门针对本项目特征制定</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⑤方案内容并无体现时效性的售后处理计划或保养巡查计划安排</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⑥方案中提出的措施不利于本项目目标的实现</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⑦现有科学技术条件下不可能实现的情形；</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上述任意一种情形为1处瑕疵。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2.售后服务方案</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根据投标人提供的售后服务方案进行评审，方案内容包括售后服务流程、售后服务范围、维修时间等。</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方案内容不存在瑕疵，得</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方案内容存在1处瑕疵，得</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方案内容存在</w:t>
            </w:r>
            <w:r>
              <w:rPr>
                <w:rFonts w:hint="eastAsia" w:ascii="微软雅黑" w:hAnsi="微软雅黑" w:eastAsia="微软雅黑" w:cs="微软雅黑"/>
                <w:color w:val="auto"/>
                <w:kern w:val="2"/>
                <w:sz w:val="21"/>
                <w:szCs w:val="21"/>
                <w:lang w:val="en-US" w:eastAsia="zh-CN" w:bidi="ar-SA"/>
              </w:rPr>
              <w:t>2</w:t>
            </w:r>
            <w:r>
              <w:rPr>
                <w:rFonts w:hint="default" w:ascii="微软雅黑" w:hAnsi="微软雅黑" w:eastAsia="微软雅黑" w:cs="微软雅黑"/>
                <w:color w:val="auto"/>
                <w:kern w:val="2"/>
                <w:sz w:val="21"/>
                <w:szCs w:val="21"/>
                <w:lang w:val="en-US" w:eastAsia="zh-CN" w:bidi="ar-SA"/>
              </w:rPr>
              <w:t>处及以上瑕疵或未提供方案得0分。</w:t>
            </w:r>
          </w:p>
        </w:tc>
        <w:tc>
          <w:tcPr>
            <w:tcW w:w="2440" w:type="dxa"/>
            <w:vMerge w:val="continue"/>
            <w:noWrap w:val="0"/>
            <w:vAlign w:val="center"/>
          </w:tcPr>
          <w:p>
            <w:pPr>
              <w:rPr>
                <w:rFonts w:hint="default" w:ascii="微软雅黑" w:hAnsi="微软雅黑" w:eastAsia="微软雅黑" w:cs="微软雅黑"/>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3.质量保证期</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所投产品质量保证期在满足招标文件质保期要求的前提下，每增加1年加</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分，本项最多加</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以投标人响应情况或提供承诺函为准（两者二选一提供）。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4.质保期后要求</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投标人承诺，质保期到期后，每年所投产品维保费≤中标单价金额的5%得</w:t>
            </w:r>
            <w:r>
              <w:rPr>
                <w:rFonts w:hint="eastAsia" w:ascii="微软雅黑" w:hAnsi="微软雅黑" w:eastAsia="微软雅黑" w:cs="微软雅黑"/>
                <w:color w:val="auto"/>
                <w:kern w:val="2"/>
                <w:sz w:val="21"/>
                <w:szCs w:val="21"/>
                <w:lang w:val="en-US" w:eastAsia="zh-CN" w:bidi="ar-SA"/>
              </w:rPr>
              <w:t>3</w:t>
            </w:r>
            <w:r>
              <w:rPr>
                <w:rFonts w:hint="default" w:ascii="微软雅黑" w:hAnsi="微软雅黑" w:eastAsia="微软雅黑" w:cs="微软雅黑"/>
                <w:color w:val="auto"/>
                <w:kern w:val="2"/>
                <w:sz w:val="21"/>
                <w:szCs w:val="21"/>
                <w:lang w:val="en-US" w:eastAsia="zh-CN" w:bidi="ar-SA"/>
              </w:rPr>
              <w:t>分，维保费为中标单价金额的5%（不含）-6%得</w:t>
            </w:r>
            <w:r>
              <w:rPr>
                <w:rFonts w:hint="eastAsia" w:ascii="微软雅黑" w:hAnsi="微软雅黑" w:eastAsia="微软雅黑" w:cs="微软雅黑"/>
                <w:color w:val="auto"/>
                <w:kern w:val="2"/>
                <w:sz w:val="21"/>
                <w:szCs w:val="21"/>
                <w:lang w:val="en-US" w:eastAsia="zh-CN" w:bidi="ar-SA"/>
              </w:rPr>
              <w:t>1.5</w:t>
            </w:r>
            <w:r>
              <w:rPr>
                <w:rFonts w:hint="default" w:ascii="微软雅黑" w:hAnsi="微软雅黑" w:eastAsia="微软雅黑" w:cs="微软雅黑"/>
                <w:color w:val="auto"/>
                <w:kern w:val="2"/>
                <w:sz w:val="21"/>
                <w:szCs w:val="21"/>
                <w:lang w:val="en-US" w:eastAsia="zh-CN" w:bidi="ar-SA"/>
              </w:rPr>
              <w:t>分，维保费为中标单价金额的6%（不含）-7%得1分，维保费为中标单价金额的7%（不含）-8%得0.5分，超出中标单价金额/中标金额的8%或未提供承诺函得0分。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提供生产厂家承诺函，格式自拟。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5.质保增值服务</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质量保证期内，除采购人所需零配件均由中标人免费提供之外，中标人承诺免费提供设备所需易损件及耗材的，得</w:t>
            </w:r>
            <w:r>
              <w:rPr>
                <w:rFonts w:hint="eastAsia" w:ascii="微软雅黑" w:hAnsi="微软雅黑" w:eastAsia="微软雅黑" w:cs="微软雅黑"/>
                <w:color w:val="auto"/>
                <w:kern w:val="2"/>
                <w:sz w:val="21"/>
                <w:szCs w:val="21"/>
                <w:lang w:val="en-US" w:eastAsia="zh-CN" w:bidi="ar-SA"/>
              </w:rPr>
              <w:t>3</w:t>
            </w:r>
            <w:r>
              <w:rPr>
                <w:rFonts w:hint="default" w:ascii="微软雅黑" w:hAnsi="微软雅黑" w:eastAsia="微软雅黑" w:cs="微软雅黑"/>
                <w:color w:val="auto"/>
                <w:kern w:val="2"/>
                <w:sz w:val="21"/>
                <w:szCs w:val="21"/>
                <w:lang w:val="en-US" w:eastAsia="zh-CN" w:bidi="ar-SA"/>
              </w:rPr>
              <w:t>分，其余情况得0分。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提供承诺函，格式自拟，并加盖投标人公章；该部分内容将作为项目合同附件。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5"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1462" w:type="dxa"/>
            <w:vMerge w:val="continue"/>
            <w:noWrap w:val="0"/>
            <w:vAlign w:val="center"/>
          </w:tcPr>
          <w:p>
            <w:pPr>
              <w:ind w:firstLine="28"/>
              <w:jc w:val="center"/>
              <w:rPr>
                <w:rFonts w:hint="default" w:ascii="微软雅黑" w:hAnsi="微软雅黑" w:eastAsia="微软雅黑" w:cs="微软雅黑"/>
                <w:color w:val="auto"/>
                <w:kern w:val="2"/>
                <w:sz w:val="21"/>
                <w:szCs w:val="21"/>
                <w:lang w:val="en-US" w:eastAsia="zh-CN" w:bidi="ar-SA"/>
              </w:rPr>
            </w:pPr>
          </w:p>
        </w:tc>
        <w:tc>
          <w:tcPr>
            <w:tcW w:w="913" w:type="dxa"/>
            <w:noWrap w:val="0"/>
            <w:vAlign w:val="center"/>
          </w:tcPr>
          <w:p>
            <w:pPr>
              <w:jc w:val="center"/>
              <w:rPr>
                <w:rFonts w:hint="eastAsia"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履约能力</w:t>
            </w:r>
            <w:r>
              <w:rPr>
                <w:rFonts w:hint="eastAsia" w:ascii="微软雅黑" w:hAnsi="微软雅黑" w:eastAsia="微软雅黑" w:cs="微软雅黑"/>
                <w:color w:val="auto"/>
                <w:kern w:val="2"/>
                <w:sz w:val="21"/>
                <w:szCs w:val="21"/>
                <w:lang w:val="en-US" w:eastAsia="zh-CN" w:bidi="ar-SA"/>
              </w:rPr>
              <w:t>5</w:t>
            </w:r>
          </w:p>
        </w:tc>
        <w:tc>
          <w:tcPr>
            <w:tcW w:w="3978"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2022年1月1日至投标截止时间止（以合同签订时间为准)，投标人或所投产品制造商有所投同品牌同型号产品的销售业绩（买方非经销商或代理商），提供一个业绩得</w:t>
            </w:r>
            <w:r>
              <w:rPr>
                <w:rFonts w:hint="eastAsia" w:ascii="微软雅黑" w:hAnsi="微软雅黑" w:eastAsia="微软雅黑" w:cs="微软雅黑"/>
                <w:color w:val="auto"/>
                <w:kern w:val="2"/>
                <w:sz w:val="21"/>
                <w:szCs w:val="21"/>
                <w:lang w:val="en-US" w:eastAsia="zh-CN" w:bidi="ar-SA"/>
              </w:rPr>
              <w:t>1</w:t>
            </w:r>
            <w:r>
              <w:rPr>
                <w:rFonts w:hint="default" w:ascii="微软雅黑" w:hAnsi="微软雅黑" w:eastAsia="微软雅黑" w:cs="微软雅黑"/>
                <w:color w:val="auto"/>
                <w:kern w:val="2"/>
                <w:sz w:val="21"/>
                <w:szCs w:val="21"/>
                <w:lang w:val="en-US" w:eastAsia="zh-CN" w:bidi="ar-SA"/>
              </w:rPr>
              <w:t>分，本项最多得</w:t>
            </w:r>
            <w:r>
              <w:rPr>
                <w:rFonts w:hint="eastAsia" w:ascii="微软雅黑" w:hAnsi="微软雅黑" w:eastAsia="微软雅黑" w:cs="微软雅黑"/>
                <w:color w:val="auto"/>
                <w:kern w:val="2"/>
                <w:sz w:val="21"/>
                <w:szCs w:val="21"/>
                <w:lang w:val="en-US" w:eastAsia="zh-CN" w:bidi="ar-SA"/>
              </w:rPr>
              <w:t>5</w:t>
            </w:r>
            <w:r>
              <w:rPr>
                <w:rFonts w:hint="default" w:ascii="微软雅黑" w:hAnsi="微软雅黑" w:eastAsia="微软雅黑" w:cs="微软雅黑"/>
                <w:color w:val="auto"/>
                <w:kern w:val="2"/>
                <w:sz w:val="21"/>
                <w:szCs w:val="21"/>
                <w:lang w:val="en-US" w:eastAsia="zh-CN" w:bidi="ar-SA"/>
              </w:rPr>
              <w:t>分，不满足或未提供对应佐证材料的得0分。</w:t>
            </w:r>
          </w:p>
        </w:tc>
        <w:tc>
          <w:tcPr>
            <w:tcW w:w="2440" w:type="dxa"/>
            <w:noWrap w:val="0"/>
            <w:vAlign w:val="center"/>
          </w:tcPr>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1.提供业绩合同复印件（合同内容至少包含合同首页，产品信息页（内容包含产品型号规格和数量）、签字盖章页）。</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2.业绩合同对应佐证材料：验收合格报告复印件或中标/成交结果公示（公告）复印件或对应业绩合同的付款凭证（转账凭证）复印件，以上三选一提供；</w:t>
            </w:r>
          </w:p>
          <w:p>
            <w:pPr>
              <w:rPr>
                <w:rFonts w:hint="default" w:ascii="微软雅黑" w:hAnsi="微软雅黑" w:eastAsia="微软雅黑" w:cs="微软雅黑"/>
                <w:color w:val="auto"/>
                <w:kern w:val="2"/>
                <w:sz w:val="21"/>
                <w:szCs w:val="21"/>
                <w:lang w:val="en-US" w:eastAsia="zh-CN" w:bidi="ar-SA"/>
              </w:rPr>
            </w:pPr>
            <w:r>
              <w:rPr>
                <w:rFonts w:hint="default" w:ascii="微软雅黑" w:hAnsi="微软雅黑" w:eastAsia="微软雅黑" w:cs="微软雅黑"/>
                <w:color w:val="auto"/>
                <w:kern w:val="2"/>
                <w:sz w:val="21"/>
                <w:szCs w:val="21"/>
                <w:lang w:val="en-US" w:eastAsia="zh-CN" w:bidi="ar-SA"/>
              </w:rPr>
              <w:t>3.同一业绩合同只计分一次。</w:t>
            </w:r>
          </w:p>
        </w:tc>
      </w:tr>
    </w:tbl>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四、无效响应</w:t>
      </w:r>
      <w:bookmarkEnd w:id="132"/>
      <w:bookmarkEnd w:id="133"/>
      <w:bookmarkEnd w:id="134"/>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（一）投标人不符合规定的资格条件的；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（二）投标人的法定代表人（或其授权代表）或自然人未在采购人限定时间内到达开标现场进行签到的；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（三）投标人所提交的响应文件不按“</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响应文件编制要求”要求签署或盖章；</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color w:val="auto"/>
          <w:sz w:val="24"/>
          <w:szCs w:val="24"/>
          <w:lang w:val="en-US" w:eastAsia="zh-CN"/>
        </w:rPr>
        <w:t>投标</w:t>
      </w:r>
      <w:r>
        <w:rPr>
          <w:rFonts w:hint="eastAsia" w:ascii="微软雅黑" w:hAnsi="微软雅黑" w:eastAsia="微软雅黑" w:cs="微软雅黑"/>
          <w:color w:val="auto"/>
          <w:sz w:val="24"/>
          <w:szCs w:val="24"/>
        </w:rPr>
        <w:t>；</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（七）为采购项目提供整体设计、规范编制或者项目管理、监理、检测等服务的投标人，再参加该采购项目的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采购活动；</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（八）投标人授权有效期不满足公开比选采购文件要求的；</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（十）法律、法规和采购文件规定的</w:t>
      </w:r>
      <w:r>
        <w:rPr>
          <w:rFonts w:hint="eastAsia" w:ascii="微软雅黑" w:hAnsi="微软雅黑" w:eastAsia="微软雅黑" w:cs="微软雅黑"/>
          <w:color w:val="auto"/>
          <w:sz w:val="24"/>
          <w:szCs w:val="24"/>
          <w:lang w:eastAsia="zh-CN"/>
        </w:rPr>
        <w:t>其他</w:t>
      </w:r>
      <w:r>
        <w:rPr>
          <w:rFonts w:hint="eastAsia" w:ascii="微软雅黑" w:hAnsi="微软雅黑" w:eastAsia="微软雅黑" w:cs="微软雅黑"/>
          <w:color w:val="auto"/>
          <w:sz w:val="24"/>
          <w:szCs w:val="24"/>
        </w:rPr>
        <w:t>无效情形。</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35" w:name="_Toc12222"/>
      <w:bookmarkStart w:id="136" w:name="_Toc76462336"/>
      <w:bookmarkStart w:id="137" w:name="_Toc106030891"/>
      <w:bookmarkStart w:id="138" w:name="_Toc10687"/>
      <w:bookmarkStart w:id="139" w:name="_Toc12481"/>
      <w:bookmarkStart w:id="140" w:name="_Toc25723"/>
      <w:r>
        <w:rPr>
          <w:rFonts w:hint="eastAsia" w:ascii="微软雅黑" w:hAnsi="微软雅黑" w:eastAsia="微软雅黑" w:cs="微软雅黑"/>
          <w:color w:val="auto"/>
          <w:sz w:val="24"/>
        </w:rPr>
        <w:t>五、</w:t>
      </w:r>
      <w:bookmarkEnd w:id="135"/>
      <w:bookmarkEnd w:id="136"/>
      <w:bookmarkEnd w:id="137"/>
      <w:bookmarkEnd w:id="138"/>
      <w:r>
        <w:rPr>
          <w:rFonts w:hint="eastAsia" w:ascii="微软雅黑" w:hAnsi="微软雅黑" w:eastAsia="微软雅黑" w:cs="微软雅黑"/>
          <w:color w:val="auto"/>
          <w:sz w:val="24"/>
        </w:rPr>
        <w:t>废标条款</w:t>
      </w:r>
      <w:bookmarkEnd w:id="139"/>
      <w:bookmarkEnd w:id="140"/>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（二）出现影响采购公正的违法、违规行为的；</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（三）在采购过程中符合要求的有效投标人不足</w:t>
      </w:r>
      <w:r>
        <w:rPr>
          <w:rFonts w:hint="eastAsia" w:ascii="微软雅黑" w:hAnsi="微软雅黑" w:eastAsia="微软雅黑" w:cs="微软雅黑"/>
          <w:color w:val="auto"/>
          <w:sz w:val="24"/>
          <w:szCs w:val="24"/>
          <w:lang w:val="en-US" w:eastAsia="zh-CN"/>
        </w:rPr>
        <w:t>3</w:t>
      </w:r>
      <w:r>
        <w:rPr>
          <w:rFonts w:hint="eastAsia" w:ascii="微软雅黑" w:hAnsi="微软雅黑" w:eastAsia="微软雅黑" w:cs="微软雅黑"/>
          <w:color w:val="auto"/>
          <w:sz w:val="24"/>
          <w:szCs w:val="24"/>
        </w:rPr>
        <w:t>家的（挂网公示</w:t>
      </w:r>
      <w:r>
        <w:rPr>
          <w:rFonts w:hint="eastAsia" w:ascii="微软雅黑" w:hAnsi="微软雅黑" w:eastAsia="微软雅黑" w:cs="微软雅黑"/>
          <w:color w:val="auto"/>
          <w:sz w:val="24"/>
          <w:szCs w:val="24"/>
          <w:lang w:val="en-US" w:eastAsia="zh-CN"/>
        </w:rPr>
        <w:t>次数</w:t>
      </w:r>
      <w:r>
        <w:rPr>
          <w:rFonts w:hint="eastAsia" w:ascii="微软雅黑" w:hAnsi="微软雅黑" w:eastAsia="微软雅黑" w:cs="微软雅黑"/>
          <w:color w:val="auto"/>
          <w:sz w:val="24"/>
          <w:szCs w:val="24"/>
        </w:rPr>
        <w:t>大于等于3次的除外）；</w:t>
      </w:r>
    </w:p>
    <w:p>
      <w:pPr>
        <w:snapToGrid w:val="0"/>
        <w:spacing w:line="400" w:lineRule="exact"/>
        <w:ind w:firstLine="465"/>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（四）采购任务变更或取消的。</w:t>
      </w:r>
    </w:p>
    <w:p>
      <w:pPr>
        <w:spacing w:line="400" w:lineRule="exact"/>
        <w:ind w:firstLine="480" w:firstLineChars="200"/>
        <w:rPr>
          <w:rFonts w:hint="eastAsia" w:ascii="微软雅黑" w:hAnsi="微软雅黑" w:eastAsia="微软雅黑" w:cs="微软雅黑"/>
          <w:color w:val="auto"/>
          <w:sz w:val="24"/>
          <w:szCs w:val="24"/>
        </w:rPr>
        <w:sectPr>
          <w:headerReference r:id="rId12" w:type="default"/>
          <w:footerReference r:id="rId13"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color w:val="auto"/>
          <w:sz w:val="44"/>
        </w:rPr>
      </w:pPr>
      <w:bookmarkStart w:id="141" w:name="_Toc76462337"/>
      <w:bookmarkStart w:id="142" w:name="_Toc16624"/>
      <w:bookmarkStart w:id="143" w:name="_Toc106030892"/>
      <w:bookmarkStart w:id="144" w:name="_Toc102227313"/>
      <w:bookmarkStart w:id="145" w:name="_Toc29948"/>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五</w:t>
      </w:r>
      <w:r>
        <w:rPr>
          <w:rFonts w:hint="eastAsia" w:ascii="微软雅黑" w:hAnsi="微软雅黑" w:eastAsia="微软雅黑" w:cs="微软雅黑"/>
          <w:color w:val="auto"/>
          <w:sz w:val="44"/>
        </w:rPr>
        <w:t>篇  投标人须知</w:t>
      </w:r>
      <w:bookmarkEnd w:id="141"/>
      <w:bookmarkEnd w:id="142"/>
      <w:bookmarkEnd w:id="143"/>
      <w:bookmarkEnd w:id="144"/>
      <w:bookmarkEnd w:id="145"/>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46" w:name="_Toc342913389"/>
      <w:bookmarkStart w:id="147" w:name="_Toc9624"/>
      <w:bookmarkStart w:id="148" w:name="_Toc26717"/>
      <w:bookmarkStart w:id="149" w:name="_Toc76462338"/>
      <w:bookmarkStart w:id="150" w:name="_Toc106030893"/>
      <w:r>
        <w:rPr>
          <w:rFonts w:hint="eastAsia" w:ascii="微软雅黑" w:hAnsi="微软雅黑" w:eastAsia="微软雅黑" w:cs="微软雅黑"/>
          <w:color w:val="auto"/>
          <w:sz w:val="24"/>
        </w:rPr>
        <w:t>一、公开比选费用</w:t>
      </w:r>
      <w:bookmarkEnd w:id="146"/>
      <w:bookmarkEnd w:id="147"/>
      <w:bookmarkEnd w:id="148"/>
      <w:bookmarkEnd w:id="149"/>
      <w:bookmarkEnd w:id="150"/>
    </w:p>
    <w:p>
      <w:pPr>
        <w:pStyle w:val="144"/>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1" w:name="_Toc8631"/>
      <w:bookmarkStart w:id="152" w:name="_Toc342913391"/>
      <w:bookmarkStart w:id="153" w:name="_Toc106030894"/>
      <w:bookmarkStart w:id="154" w:name="_Toc15712"/>
      <w:bookmarkStart w:id="155" w:name="_Toc76462339"/>
      <w:r>
        <w:rPr>
          <w:rFonts w:hint="eastAsia" w:ascii="微软雅黑" w:hAnsi="微软雅黑" w:eastAsia="微软雅黑" w:cs="微软雅黑"/>
          <w:color w:val="auto"/>
          <w:sz w:val="24"/>
        </w:rPr>
        <w:t>二、公开比选采购文件</w:t>
      </w:r>
      <w:bookmarkEnd w:id="151"/>
      <w:bookmarkEnd w:id="152"/>
      <w:bookmarkEnd w:id="153"/>
      <w:bookmarkEnd w:id="154"/>
      <w:bookmarkEnd w:id="155"/>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（一）公开比选采购文件由采购邀请书、项目</w:t>
      </w:r>
      <w:r>
        <w:rPr>
          <w:rFonts w:hint="eastAsia" w:ascii="微软雅黑" w:hAnsi="微软雅黑" w:eastAsia="微软雅黑" w:cs="微软雅黑"/>
          <w:color w:val="auto"/>
          <w:sz w:val="24"/>
          <w:szCs w:val="24"/>
          <w:lang w:val="en-US" w:eastAsia="zh-CN"/>
        </w:rPr>
        <w:t>技术（质量）及商务需求</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采购</w:t>
      </w:r>
      <w:r>
        <w:rPr>
          <w:rFonts w:hint="eastAsia" w:ascii="微软雅黑" w:hAnsi="微软雅黑" w:eastAsia="微软雅黑" w:cs="微软雅黑"/>
          <w:color w:val="auto"/>
          <w:sz w:val="24"/>
          <w:szCs w:val="24"/>
        </w:rPr>
        <w:t>程序及方法、评审标准、无效响应和采购终止、投标人须知、响应文件编制要求</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部分组成。</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（三）公开比选采购文件的解释</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56" w:name="_Toc318159780"/>
      <w:bookmarkStart w:id="157" w:name="_Toc318166429"/>
      <w:bookmarkStart w:id="158" w:name="_Toc318159349"/>
      <w:bookmarkStart w:id="159" w:name="_Toc318159160"/>
    </w:p>
    <w:bookmarkEnd w:id="156"/>
    <w:bookmarkEnd w:id="157"/>
    <w:bookmarkEnd w:id="158"/>
    <w:bookmarkEnd w:id="159"/>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0" w:name="_Toc9861"/>
      <w:bookmarkStart w:id="161" w:name="_Toc76462340"/>
      <w:bookmarkStart w:id="162" w:name="_Toc106030895"/>
      <w:bookmarkStart w:id="163" w:name="_Toc179714297"/>
      <w:bookmarkStart w:id="164" w:name="_Toc342913392"/>
      <w:bookmarkStart w:id="165" w:name="_Toc26007"/>
      <w:bookmarkStart w:id="166" w:name="_Toc102227318"/>
      <w:r>
        <w:rPr>
          <w:rFonts w:hint="eastAsia" w:ascii="微软雅黑" w:hAnsi="微软雅黑" w:eastAsia="微软雅黑" w:cs="微软雅黑"/>
          <w:color w:val="auto"/>
          <w:sz w:val="24"/>
        </w:rPr>
        <w:t>三、比选要求</w:t>
      </w:r>
      <w:bookmarkEnd w:id="160"/>
      <w:bookmarkEnd w:id="161"/>
      <w:bookmarkEnd w:id="162"/>
      <w:bookmarkEnd w:id="163"/>
      <w:bookmarkEnd w:id="164"/>
      <w:bookmarkEnd w:id="165"/>
      <w:bookmarkEnd w:id="16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（一）响应文件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2.响应文件组成</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响应文件由“</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响应文件编制要求”规定的部分和投标人所作的一切有效补充、修改和承诺等文件组成，投标人应按照“</w:t>
      </w:r>
      <w:r>
        <w:rPr>
          <w:rFonts w:hint="eastAsia" w:ascii="微软雅黑" w:hAnsi="微软雅黑" w:eastAsia="微软雅黑" w:cs="微软雅黑"/>
          <w:color w:val="auto"/>
          <w:sz w:val="24"/>
          <w:szCs w:val="24"/>
          <w:lang w:eastAsia="zh-CN"/>
        </w:rPr>
        <w:t>第六篇</w:t>
      </w:r>
      <w:r>
        <w:rPr>
          <w:rFonts w:hint="eastAsia" w:ascii="微软雅黑" w:hAnsi="微软雅黑" w:eastAsia="微软雅黑" w:cs="微软雅黑"/>
          <w:color w:val="auto"/>
          <w:sz w:val="24"/>
          <w:szCs w:val="24"/>
        </w:rPr>
        <w:t xml:space="preserve"> 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color w:val="auto"/>
        </w:rPr>
      </w:pPr>
      <w:r>
        <w:rPr>
          <w:rFonts w:hint="eastAsia" w:ascii="微软雅黑" w:hAnsi="微软雅黑" w:eastAsia="微软雅黑" w:cs="微软雅黑"/>
          <w:color w:val="auto"/>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比选小组</w:t>
      </w:r>
      <w:r>
        <w:rPr>
          <w:rFonts w:hint="eastAsia" w:ascii="微软雅黑" w:hAnsi="微软雅黑" w:eastAsia="微软雅黑" w:cs="微软雅黑"/>
          <w:color w:val="auto"/>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2.</w:t>
      </w:r>
      <w:r>
        <w:rPr>
          <w:rFonts w:hint="eastAsia" w:ascii="微软雅黑" w:hAnsi="微软雅黑" w:eastAsia="微软雅黑" w:cs="微软雅黑"/>
          <w:color w:val="auto"/>
          <w:sz w:val="24"/>
        </w:rPr>
        <w:t>响应文件按公开比选采购文件“</w:t>
      </w:r>
      <w:r>
        <w:rPr>
          <w:rFonts w:hint="eastAsia" w:ascii="微软雅黑" w:hAnsi="微软雅黑" w:eastAsia="微软雅黑" w:cs="微软雅黑"/>
          <w:color w:val="auto"/>
          <w:sz w:val="24"/>
          <w:lang w:eastAsia="zh-CN"/>
        </w:rPr>
        <w:t>第六篇</w:t>
      </w:r>
      <w:r>
        <w:rPr>
          <w:rFonts w:hint="eastAsia" w:ascii="微软雅黑" w:hAnsi="微软雅黑" w:eastAsia="微软雅黑" w:cs="微软雅黑"/>
          <w:color w:val="auto"/>
          <w:sz w:val="24"/>
        </w:rPr>
        <w:t>响应文件编制要求”要求签署或盖章。</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（五）响应文件的递交</w:t>
      </w:r>
    </w:p>
    <w:p>
      <w:pPr>
        <w:pStyle w:val="32"/>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响应文件的正本、副本均应密封送达</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地点，应在封套上注明</w:t>
      </w:r>
      <w:r>
        <w:rPr>
          <w:rFonts w:hint="eastAsia" w:ascii="微软雅黑" w:hAnsi="微软雅黑" w:eastAsia="微软雅黑" w:cs="微软雅黑"/>
          <w:color w:val="auto"/>
          <w:sz w:val="24"/>
          <w:szCs w:val="24"/>
        </w:rPr>
        <w:t>比选</w:t>
      </w:r>
      <w:r>
        <w:rPr>
          <w:rFonts w:hint="eastAsia" w:ascii="微软雅黑" w:hAnsi="微软雅黑" w:eastAsia="微软雅黑" w:cs="微软雅黑"/>
          <w:color w:val="auto"/>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（六）投标人参与人员</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67" w:name="_Toc106030896"/>
      <w:bookmarkStart w:id="168" w:name="_Toc6435"/>
      <w:bookmarkStart w:id="169" w:name="_Toc76462341"/>
      <w:bookmarkStart w:id="170" w:name="_Toc1612"/>
      <w:r>
        <w:rPr>
          <w:rFonts w:hint="eastAsia" w:ascii="微软雅黑" w:hAnsi="微软雅黑" w:eastAsia="微软雅黑" w:cs="微软雅黑"/>
          <w:color w:val="auto"/>
          <w:sz w:val="24"/>
        </w:rPr>
        <w:t>四、中标人的确认和变更</w:t>
      </w:r>
      <w:bookmarkEnd w:id="167"/>
      <w:bookmarkEnd w:id="168"/>
      <w:bookmarkEnd w:id="169"/>
      <w:bookmarkEnd w:id="170"/>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采购人从评审报告提出的成交候选投标人中，按照排序由高到低的原则确定中标人。</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（二）中标人的变更</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中标人拒绝与采购人签订合同的，采购人可以按照评标报告推荐的成交候选投标人顺序，顺延下一</w:t>
      </w:r>
      <w:r>
        <w:rPr>
          <w:rFonts w:hint="eastAsia" w:ascii="微软雅黑" w:hAnsi="微软雅黑" w:eastAsia="微软雅黑" w:cs="微软雅黑"/>
          <w:color w:val="auto"/>
          <w:sz w:val="24"/>
          <w:lang w:val="en-US" w:eastAsia="zh-CN"/>
        </w:rPr>
        <w:t>顺</w:t>
      </w:r>
      <w:r>
        <w:rPr>
          <w:rFonts w:hint="eastAsia" w:ascii="微软雅黑" w:hAnsi="微软雅黑" w:eastAsia="微软雅黑" w:cs="微软雅黑"/>
          <w:color w:val="auto"/>
          <w:sz w:val="24"/>
        </w:rPr>
        <w:t>位候选人为中标人，也可以重新开展采购活动。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1" w:name="_Toc106030897"/>
      <w:bookmarkStart w:id="172" w:name="_Toc21532"/>
      <w:bookmarkStart w:id="173" w:name="_Toc20309"/>
      <w:bookmarkStart w:id="174" w:name="_Toc342913395"/>
      <w:bookmarkStart w:id="175" w:name="_Toc102227321"/>
      <w:bookmarkStart w:id="176" w:name="_Toc76462342"/>
      <w:r>
        <w:rPr>
          <w:rFonts w:hint="eastAsia" w:ascii="微软雅黑" w:hAnsi="微软雅黑" w:eastAsia="微软雅黑" w:cs="微软雅黑"/>
          <w:color w:val="auto"/>
          <w:sz w:val="24"/>
        </w:rPr>
        <w:t>五、成交通知</w:t>
      </w:r>
      <w:bookmarkEnd w:id="171"/>
      <w:bookmarkEnd w:id="172"/>
      <w:bookmarkEnd w:id="173"/>
      <w:bookmarkEnd w:id="174"/>
      <w:bookmarkEnd w:id="175"/>
      <w:bookmarkEnd w:id="176"/>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（一）中标人确定后，采购管理处将在重庆医科大学附属儿童医院电子招投标平台（zbb.chcmu-com.cn）上发布成交结果公告，公告内容包括项目名称及</w:t>
      </w:r>
      <w:r>
        <w:rPr>
          <w:rFonts w:hint="eastAsia" w:ascii="微软雅黑" w:hAnsi="微软雅黑" w:eastAsia="微软雅黑" w:cs="微软雅黑"/>
          <w:color w:val="auto"/>
          <w:sz w:val="24"/>
          <w:szCs w:val="24"/>
          <w:lang w:val="en-US" w:eastAsia="zh-CN"/>
        </w:rPr>
        <w:t>中标人</w:t>
      </w:r>
      <w:r>
        <w:rPr>
          <w:rFonts w:hint="eastAsia" w:ascii="微软雅黑" w:hAnsi="微软雅黑" w:eastAsia="微软雅黑" w:cs="微软雅黑"/>
          <w:color w:val="auto"/>
          <w:sz w:val="24"/>
          <w:szCs w:val="24"/>
        </w:rPr>
        <w:t>名称。结果公告发出同时，采购管理处将平台内发出《中标通知书》。</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77" w:name="_Toc25162"/>
      <w:bookmarkStart w:id="178" w:name="_Toc21448"/>
      <w:bookmarkStart w:id="179" w:name="_Toc106030898"/>
      <w:bookmarkStart w:id="180" w:name="_Toc76462343"/>
      <w:r>
        <w:rPr>
          <w:rFonts w:hint="eastAsia" w:ascii="微软雅黑" w:hAnsi="微软雅黑" w:eastAsia="微软雅黑" w:cs="微软雅黑"/>
          <w:color w:val="auto"/>
          <w:sz w:val="24"/>
        </w:rPr>
        <w:t>六、质疑处理</w:t>
      </w:r>
      <w:bookmarkEnd w:id="177"/>
      <w:bookmarkEnd w:id="178"/>
      <w:bookmarkEnd w:id="179"/>
      <w:bookmarkEnd w:id="18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（一）质疑时限、内容</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1.质疑时限</w:t>
      </w:r>
    </w:p>
    <w:p>
      <w:pPr>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1.1对采购文件的质疑。</w:t>
      </w:r>
      <w:r>
        <w:rPr>
          <w:rFonts w:hint="eastAsia" w:ascii="微软雅黑" w:hAnsi="微软雅黑" w:eastAsia="微软雅黑" w:cs="微软雅黑"/>
          <w:color w:val="auto"/>
          <w:sz w:val="24"/>
          <w:szCs w:val="24"/>
        </w:rPr>
        <w:t>投标人如对本比选文件有任何实质性疑问，应当以书面形式向采购人提出质疑，并须将该质疑文件纸质版（须加盖提出质疑单位的公章确认）在投标截止时间之前送达采购人。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1.2投标人认为采购过程、成交结果使自己的权益受到损害的，可以在知道或</w:t>
      </w:r>
      <w:r>
        <w:rPr>
          <w:rFonts w:hint="eastAsia" w:ascii="微软雅黑" w:hAnsi="微软雅黑" w:eastAsia="微软雅黑" w:cs="微软雅黑"/>
          <w:color w:val="auto"/>
          <w:sz w:val="24"/>
          <w:lang w:val="en-US" w:eastAsia="zh-CN"/>
        </w:rPr>
        <w:t>应当知道</w:t>
      </w:r>
      <w:r>
        <w:rPr>
          <w:rFonts w:hint="eastAsia" w:ascii="微软雅黑" w:hAnsi="微软雅黑" w:eastAsia="微软雅黑" w:cs="微软雅黑"/>
          <w:color w:val="auto"/>
          <w:sz w:val="24"/>
        </w:rPr>
        <w:t>其权益受到损害之日起5个工作日内，以</w:t>
      </w:r>
      <w:r>
        <w:rPr>
          <w:rFonts w:hint="eastAsia" w:ascii="微软雅黑" w:hAnsi="微软雅黑" w:eastAsia="微软雅黑" w:cs="微软雅黑"/>
          <w:color w:val="auto"/>
          <w:sz w:val="24"/>
          <w:lang w:val="en-US" w:eastAsia="zh-CN"/>
        </w:rPr>
        <w:t>提交</w:t>
      </w:r>
      <w:r>
        <w:rPr>
          <w:rFonts w:hint="eastAsia" w:ascii="微软雅黑" w:hAnsi="微软雅黑" w:eastAsia="微软雅黑" w:cs="微软雅黑"/>
          <w:color w:val="auto"/>
          <w:sz w:val="24"/>
          <w:szCs w:val="24"/>
        </w:rPr>
        <w:t>质疑文件纸质版（须加盖提出质疑单位的公章确认）</w:t>
      </w:r>
      <w:r>
        <w:rPr>
          <w:rFonts w:hint="eastAsia" w:ascii="微软雅黑" w:hAnsi="微软雅黑" w:eastAsia="微软雅黑" w:cs="微软雅黑"/>
          <w:color w:val="auto"/>
          <w:sz w:val="24"/>
          <w:szCs w:val="24"/>
          <w:lang w:eastAsia="zh-CN"/>
        </w:rPr>
        <w:t>的</w:t>
      </w:r>
      <w:r>
        <w:rPr>
          <w:rFonts w:hint="eastAsia" w:ascii="微软雅黑" w:hAnsi="微软雅黑" w:eastAsia="微软雅黑" w:cs="微软雅黑"/>
          <w:color w:val="auto"/>
          <w:sz w:val="24"/>
          <w:szCs w:val="24"/>
          <w:lang w:val="en-US" w:eastAsia="zh-CN"/>
        </w:rPr>
        <w:t>形式</w:t>
      </w:r>
      <w:r>
        <w:rPr>
          <w:rFonts w:hint="eastAsia" w:ascii="微软雅黑" w:hAnsi="微软雅黑" w:eastAsia="微软雅黑" w:cs="微软雅黑"/>
          <w:color w:val="auto"/>
          <w:sz w:val="24"/>
        </w:rPr>
        <w:t>向采购人提出质疑。</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2.1投标人的姓名或者名称、地址、邮编、联系人及联系电话；</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2.2质疑项目的名称、项目号以及采购执行编号；</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2.3具体、明确的质疑事项和与质疑事项相关的请求；</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2.4事实依据；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2.5必要的法律依据；</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2.6提出质疑的日期；</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3.投标人为自然人的，质疑函应当由本人签字；投标人为法人或者</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（二）质疑答复</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采购人应当在收到投标人的书面质疑后7个工作日内作出答复，并以书面形式通知质疑投标人和</w:t>
      </w:r>
      <w:r>
        <w:rPr>
          <w:rFonts w:hint="eastAsia" w:ascii="微软雅黑" w:hAnsi="微软雅黑" w:eastAsia="微软雅黑" w:cs="微软雅黑"/>
          <w:color w:val="auto"/>
          <w:sz w:val="24"/>
          <w:lang w:eastAsia="zh-CN"/>
        </w:rPr>
        <w:t>其他</w:t>
      </w:r>
      <w:r>
        <w:rPr>
          <w:rFonts w:hint="eastAsia" w:ascii="微软雅黑" w:hAnsi="微软雅黑" w:eastAsia="微软雅黑" w:cs="微软雅黑"/>
          <w:color w:val="auto"/>
          <w:sz w:val="24"/>
        </w:rPr>
        <w:t>有关投标人。</w:t>
      </w:r>
    </w:p>
    <w:p>
      <w:pPr>
        <w:spacing w:line="400" w:lineRule="exact"/>
        <w:ind w:right="12" w:firstLine="48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（三）投标人应在质疑期内一次性提出针对同一采购程序环节的质疑。</w:t>
      </w:r>
      <w:bookmarkStart w:id="181" w:name="_Toc76462344"/>
      <w:bookmarkStart w:id="182" w:name="_Toc106030899"/>
      <w:bookmarkStart w:id="183"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84" w:name="_Toc10669"/>
      <w:r>
        <w:rPr>
          <w:rFonts w:hint="eastAsia" w:ascii="微软雅黑" w:hAnsi="微软雅黑" w:eastAsia="微软雅黑" w:cs="微软雅黑"/>
          <w:color w:val="auto"/>
          <w:sz w:val="24"/>
        </w:rPr>
        <w:t>七、</w:t>
      </w:r>
      <w:bookmarkEnd w:id="181"/>
      <w:bookmarkEnd w:id="182"/>
      <w:bookmarkEnd w:id="183"/>
      <w:bookmarkStart w:id="185" w:name="_Toc102227322"/>
      <w:bookmarkStart w:id="186" w:name="_Toc3372"/>
      <w:bookmarkStart w:id="187" w:name="_Toc342913396"/>
      <w:bookmarkStart w:id="188" w:name="_Toc106030901"/>
      <w:bookmarkStart w:id="189" w:name="_Toc76462346"/>
      <w:bookmarkStart w:id="190" w:name="_Toc12789059"/>
      <w:bookmarkStart w:id="191" w:name="_Toc11641055"/>
      <w:r>
        <w:rPr>
          <w:rFonts w:hint="eastAsia" w:ascii="微软雅黑" w:hAnsi="微软雅黑" w:eastAsia="微软雅黑" w:cs="微软雅黑"/>
          <w:color w:val="auto"/>
          <w:sz w:val="24"/>
        </w:rPr>
        <w:t>签订</w:t>
      </w:r>
      <w:bookmarkEnd w:id="185"/>
      <w:r>
        <w:rPr>
          <w:rFonts w:hint="eastAsia" w:ascii="微软雅黑" w:hAnsi="微软雅黑" w:eastAsia="微软雅黑" w:cs="微软雅黑"/>
          <w:color w:val="auto"/>
          <w:sz w:val="24"/>
        </w:rPr>
        <w:t>合同</w:t>
      </w:r>
      <w:bookmarkEnd w:id="184"/>
      <w:bookmarkEnd w:id="186"/>
      <w:bookmarkEnd w:id="187"/>
      <w:bookmarkEnd w:id="188"/>
      <w:bookmarkEnd w:id="189"/>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（二）中标人未在规定时间内递交合同或放弃中标资格，则采购人将有充分的理由废除授标，将中标人纳入采购人失信投标人名单并扣除</w:t>
      </w:r>
      <w:r>
        <w:rPr>
          <w:rFonts w:hint="eastAsia" w:ascii="微软雅黑" w:hAnsi="微软雅黑" w:eastAsia="微软雅黑" w:cs="微软雅黑"/>
          <w:color w:val="auto"/>
          <w:sz w:val="24"/>
          <w:lang w:val="en-US" w:eastAsia="zh-CN"/>
        </w:rPr>
        <w:t>中标人</w:t>
      </w:r>
      <w:r>
        <w:rPr>
          <w:rFonts w:hint="eastAsia" w:ascii="微软雅黑" w:hAnsi="微软雅黑" w:eastAsia="微软雅黑" w:cs="微软雅黑"/>
          <w:color w:val="auto"/>
          <w:sz w:val="24"/>
        </w:rPr>
        <w:t>项目的履约保证金（如果有），两年之内不得参与采购人任何级别的招标项目。</w:t>
      </w:r>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（三）如采购人因中标人未按时递交合同或放弃中标资格而造成损失，中标人应予以赔偿，同时依法承担相应法律责任。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color w:val="auto"/>
        </w:rPr>
        <w:sectPr>
          <w:footerReference r:id="rId14" w:type="default"/>
          <w:footerReference r:id="rId15"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color w:val="auto"/>
          <w:sz w:val="24"/>
        </w:rPr>
        <w:t>（四）中标人应当按照合同约定履行义务，完成中标项目，不得将中标项目转让(转包)或分包给他人。</w:t>
      </w:r>
      <w:bookmarkEnd w:id="190"/>
      <w:bookmarkEnd w:id="191"/>
    </w:p>
    <w:p>
      <w:pPr>
        <w:pStyle w:val="4"/>
        <w:spacing w:before="200" w:after="200" w:line="240" w:lineRule="auto"/>
        <w:jc w:val="center"/>
        <w:rPr>
          <w:rFonts w:hint="eastAsia" w:ascii="微软雅黑" w:hAnsi="微软雅黑" w:eastAsia="微软雅黑" w:cs="微软雅黑"/>
          <w:color w:val="auto"/>
          <w:sz w:val="44"/>
        </w:rPr>
      </w:pPr>
      <w:bookmarkStart w:id="192" w:name="_Hlt41879464"/>
      <w:bookmarkEnd w:id="192"/>
      <w:bookmarkStart w:id="193" w:name="_Toc13170"/>
      <w:r>
        <w:rPr>
          <w:rFonts w:hint="eastAsia" w:ascii="微软雅黑" w:hAnsi="微软雅黑" w:eastAsia="微软雅黑" w:cs="微软雅黑"/>
          <w:color w:val="auto"/>
          <w:sz w:val="44"/>
        </w:rPr>
        <w:t>第</w:t>
      </w:r>
      <w:r>
        <w:rPr>
          <w:rFonts w:hint="eastAsia" w:ascii="微软雅黑" w:hAnsi="微软雅黑" w:eastAsia="微软雅黑" w:cs="微软雅黑"/>
          <w:color w:val="auto"/>
          <w:sz w:val="44"/>
          <w:lang w:val="en-US" w:eastAsia="zh-CN"/>
        </w:rPr>
        <w:t>六</w:t>
      </w:r>
      <w:r>
        <w:rPr>
          <w:rFonts w:hint="eastAsia" w:ascii="微软雅黑" w:hAnsi="微软雅黑" w:eastAsia="微软雅黑" w:cs="微软雅黑"/>
          <w:color w:val="auto"/>
          <w:sz w:val="44"/>
        </w:rPr>
        <w:t>篇  响应文件编制要求</w:t>
      </w:r>
      <w:bookmarkEnd w:id="193"/>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一、经济部分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（一）技术响应偏离表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（二）技术部分应答材料</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三、商务部分</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（一）商务响应偏离表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（二）商务部分应答材料</w:t>
      </w:r>
    </w:p>
    <w:p>
      <w:pPr>
        <w:spacing w:line="400" w:lineRule="exact"/>
        <w:ind w:firstLine="480" w:firstLineChars="200"/>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rPr>
        <w:t>四、资格条件及</w:t>
      </w:r>
      <w:r>
        <w:rPr>
          <w:rFonts w:hint="eastAsia" w:ascii="微软雅黑" w:hAnsi="微软雅黑" w:eastAsia="微软雅黑" w:cs="微软雅黑"/>
          <w:color w:val="auto"/>
          <w:sz w:val="24"/>
          <w:szCs w:val="24"/>
          <w:lang w:eastAsia="zh-CN"/>
        </w:rPr>
        <w:t>其他</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（四）投标函（格式）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（五）基本资格条件承诺函（格式）</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（六）特定资格条件证书或证明文件</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w:t>
      </w:r>
      <w:r>
        <w:rPr>
          <w:rFonts w:hint="eastAsia" w:ascii="微软雅黑" w:hAnsi="微软雅黑" w:eastAsia="微软雅黑" w:cs="微软雅黑"/>
          <w:color w:val="auto"/>
          <w:sz w:val="24"/>
        </w:rPr>
        <w:t>综合评标响应情况表</w:t>
      </w:r>
    </w:p>
    <w:p>
      <w:pPr>
        <w:spacing w:line="360" w:lineRule="auto"/>
        <w:jc w:val="both"/>
        <w:outlineLvl w:val="0"/>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3"/>
        <w:rPr>
          <w:rFonts w:hint="eastAsia" w:ascii="微软雅黑" w:hAnsi="微软雅黑" w:eastAsia="微软雅黑" w:cs="微软雅黑"/>
          <w:color w:val="auto"/>
          <w:sz w:val="24"/>
          <w:szCs w:val="24"/>
        </w:rPr>
      </w:pPr>
    </w:p>
    <w:p>
      <w:pPr>
        <w:rPr>
          <w:rFonts w:hint="eastAsia"/>
        </w:rPr>
      </w:pPr>
    </w:p>
    <w:p>
      <w:pPr>
        <w:spacing w:line="360" w:lineRule="auto"/>
        <w:ind w:firstLine="480" w:firstLineChars="200"/>
        <w:jc w:val="center"/>
        <w:outlineLvl w:val="0"/>
        <w:rPr>
          <w:rFonts w:hint="eastAsia" w:ascii="微软雅黑" w:hAnsi="微软雅黑" w:eastAsia="微软雅黑" w:cs="微软雅黑"/>
          <w:color w:val="auto"/>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4"/>
    </w:p>
    <w:sectPr>
      <w:headerReference r:id="rId16" w:type="default"/>
      <w:footerReference r:id="rId17"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p>
  <w:p>
    <w:pPr>
      <w:pStyle w:val="37"/>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7"/>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7"/>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1F6604"/>
    <w:rsid w:val="032339C1"/>
    <w:rsid w:val="03502CFD"/>
    <w:rsid w:val="039F2B72"/>
    <w:rsid w:val="05B83278"/>
    <w:rsid w:val="07486D0C"/>
    <w:rsid w:val="079B568B"/>
    <w:rsid w:val="07F103E0"/>
    <w:rsid w:val="092E6FC0"/>
    <w:rsid w:val="0A5B1BB3"/>
    <w:rsid w:val="0AEE1399"/>
    <w:rsid w:val="0BB87E47"/>
    <w:rsid w:val="0BEB3E35"/>
    <w:rsid w:val="0C3E4D15"/>
    <w:rsid w:val="0D1F249B"/>
    <w:rsid w:val="0D26388C"/>
    <w:rsid w:val="0D2D45FA"/>
    <w:rsid w:val="0D8A3C16"/>
    <w:rsid w:val="0EF9321E"/>
    <w:rsid w:val="0F4F0F37"/>
    <w:rsid w:val="0FBA6FCD"/>
    <w:rsid w:val="1009316D"/>
    <w:rsid w:val="108300B5"/>
    <w:rsid w:val="11044578"/>
    <w:rsid w:val="113501BD"/>
    <w:rsid w:val="11C41133"/>
    <w:rsid w:val="1317485C"/>
    <w:rsid w:val="13D824C6"/>
    <w:rsid w:val="147A5E14"/>
    <w:rsid w:val="14D11CFB"/>
    <w:rsid w:val="15935DB5"/>
    <w:rsid w:val="15BB3449"/>
    <w:rsid w:val="17324323"/>
    <w:rsid w:val="17A1211B"/>
    <w:rsid w:val="17F359FB"/>
    <w:rsid w:val="18D86992"/>
    <w:rsid w:val="18ED7A84"/>
    <w:rsid w:val="19255AF5"/>
    <w:rsid w:val="1A7E6296"/>
    <w:rsid w:val="1BCD722E"/>
    <w:rsid w:val="1BDA5AD7"/>
    <w:rsid w:val="1F0D01CA"/>
    <w:rsid w:val="21226BB2"/>
    <w:rsid w:val="21864056"/>
    <w:rsid w:val="222348FC"/>
    <w:rsid w:val="22F860AB"/>
    <w:rsid w:val="2486441F"/>
    <w:rsid w:val="24E6174E"/>
    <w:rsid w:val="25922C5A"/>
    <w:rsid w:val="263535D3"/>
    <w:rsid w:val="273F7D71"/>
    <w:rsid w:val="28426BC2"/>
    <w:rsid w:val="2863744A"/>
    <w:rsid w:val="29601F8B"/>
    <w:rsid w:val="296F02CD"/>
    <w:rsid w:val="2AA01F44"/>
    <w:rsid w:val="2C43216E"/>
    <w:rsid w:val="2CD472B8"/>
    <w:rsid w:val="2D113368"/>
    <w:rsid w:val="2D4B12DF"/>
    <w:rsid w:val="2DB02B6B"/>
    <w:rsid w:val="2EB17C28"/>
    <w:rsid w:val="2ED06C87"/>
    <w:rsid w:val="2FED13E1"/>
    <w:rsid w:val="300C58E0"/>
    <w:rsid w:val="30607DAE"/>
    <w:rsid w:val="31DA5A58"/>
    <w:rsid w:val="32FD7152"/>
    <w:rsid w:val="332D1E43"/>
    <w:rsid w:val="33D42561"/>
    <w:rsid w:val="34692D0C"/>
    <w:rsid w:val="34A20882"/>
    <w:rsid w:val="34B67588"/>
    <w:rsid w:val="35AA6A30"/>
    <w:rsid w:val="361F2D7D"/>
    <w:rsid w:val="365370CC"/>
    <w:rsid w:val="37556B60"/>
    <w:rsid w:val="38CD7FDC"/>
    <w:rsid w:val="3AAE4DA9"/>
    <w:rsid w:val="3ACE5D4F"/>
    <w:rsid w:val="3C55524B"/>
    <w:rsid w:val="3CCE1388"/>
    <w:rsid w:val="3DF6488D"/>
    <w:rsid w:val="3F1C71CA"/>
    <w:rsid w:val="406334F2"/>
    <w:rsid w:val="406D5057"/>
    <w:rsid w:val="409F14A1"/>
    <w:rsid w:val="415F6EA3"/>
    <w:rsid w:val="446528DF"/>
    <w:rsid w:val="44F64ED7"/>
    <w:rsid w:val="452C7897"/>
    <w:rsid w:val="46151D23"/>
    <w:rsid w:val="46D026EE"/>
    <w:rsid w:val="475E104C"/>
    <w:rsid w:val="494C6B8D"/>
    <w:rsid w:val="497B7CB3"/>
    <w:rsid w:val="4A3659F3"/>
    <w:rsid w:val="4A8845CE"/>
    <w:rsid w:val="4B2D12E0"/>
    <w:rsid w:val="4BEB6B31"/>
    <w:rsid w:val="4DD36371"/>
    <w:rsid w:val="4EEC1F3B"/>
    <w:rsid w:val="4F070047"/>
    <w:rsid w:val="4F3C244F"/>
    <w:rsid w:val="4FCD30B4"/>
    <w:rsid w:val="5115115D"/>
    <w:rsid w:val="521E4A24"/>
    <w:rsid w:val="52D92ACB"/>
    <w:rsid w:val="53B4776F"/>
    <w:rsid w:val="53DF1E3A"/>
    <w:rsid w:val="540F25CE"/>
    <w:rsid w:val="545B425C"/>
    <w:rsid w:val="54E16692"/>
    <w:rsid w:val="558E730F"/>
    <w:rsid w:val="56313E1D"/>
    <w:rsid w:val="563900DC"/>
    <w:rsid w:val="56DE0514"/>
    <w:rsid w:val="573C43EC"/>
    <w:rsid w:val="57857077"/>
    <w:rsid w:val="58EA1C45"/>
    <w:rsid w:val="59AE6800"/>
    <w:rsid w:val="59D52FEA"/>
    <w:rsid w:val="5A1F6A46"/>
    <w:rsid w:val="5CA67F0E"/>
    <w:rsid w:val="5DAD4E7C"/>
    <w:rsid w:val="5DB97A48"/>
    <w:rsid w:val="5E16050E"/>
    <w:rsid w:val="5E3D2C1E"/>
    <w:rsid w:val="5EFE2025"/>
    <w:rsid w:val="5F05278C"/>
    <w:rsid w:val="60CB5C8F"/>
    <w:rsid w:val="61743609"/>
    <w:rsid w:val="6190049D"/>
    <w:rsid w:val="628D3A49"/>
    <w:rsid w:val="648E3C9A"/>
    <w:rsid w:val="6493239B"/>
    <w:rsid w:val="64DA4767"/>
    <w:rsid w:val="65170F5B"/>
    <w:rsid w:val="65215328"/>
    <w:rsid w:val="670A099E"/>
    <w:rsid w:val="68BD663A"/>
    <w:rsid w:val="692F74C0"/>
    <w:rsid w:val="696405DD"/>
    <w:rsid w:val="69BE2355"/>
    <w:rsid w:val="6B75107A"/>
    <w:rsid w:val="6D5236ED"/>
    <w:rsid w:val="6F1D384D"/>
    <w:rsid w:val="6FE969BF"/>
    <w:rsid w:val="701245F9"/>
    <w:rsid w:val="70466F1B"/>
    <w:rsid w:val="71175C34"/>
    <w:rsid w:val="74D70DF7"/>
    <w:rsid w:val="750950F5"/>
    <w:rsid w:val="750D16CF"/>
    <w:rsid w:val="76F6623C"/>
    <w:rsid w:val="773622B4"/>
    <w:rsid w:val="789F3DA6"/>
    <w:rsid w:val="78A52377"/>
    <w:rsid w:val="79082185"/>
    <w:rsid w:val="791259F2"/>
    <w:rsid w:val="7A6F77AB"/>
    <w:rsid w:val="7ABA3FBA"/>
    <w:rsid w:val="7B3C12E1"/>
    <w:rsid w:val="7B5B7497"/>
    <w:rsid w:val="7BEF5F10"/>
    <w:rsid w:val="7C567AC5"/>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line="180" w:lineRule="auto"/>
      <w:jc w:val="center"/>
    </w:pPr>
    <w:rPr>
      <w:sz w:val="30"/>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footer"/>
    <w:basedOn w:val="1"/>
    <w:qFormat/>
    <w:uiPriority w:val="0"/>
    <w:pPr>
      <w:tabs>
        <w:tab w:val="center" w:pos="4153"/>
        <w:tab w:val="right" w:pos="8306"/>
      </w:tabs>
      <w:snapToGrid w:val="0"/>
      <w:jc w:val="left"/>
    </w:pPr>
    <w:rPr>
      <w:sz w:val="18"/>
    </w:rPr>
  </w:style>
  <w:style w:type="paragraph" w:styleId="38">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header" Target="header4.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2026-04-24T06:49:36Z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79F62B5604D54D9B9166B3DDF2D7B8D1</vt:lpwstr>
  </property>
</Properties>
</file>