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60180</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体外循环类耗材-一次性静脉插管--金属直角静脉插管</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06030870"/>
      <w:bookmarkStart w:id="1" w:name="_Toc24037"/>
      <w:bookmarkStart w:id="2" w:name="_Toc11641050"/>
      <w:bookmarkStart w:id="3" w:name="_Toc7678"/>
      <w:bookmarkStart w:id="4" w:name="_Toc76462316"/>
      <w:bookmarkStart w:id="5" w:name="_Toc12789052"/>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体外循环类耗材-一次性静脉插管--金属直角静脉插管</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3893526"/>
      <w:bookmarkStart w:id="7" w:name="_Toc106030871"/>
      <w:bookmarkStart w:id="8" w:name="_Toc18148"/>
      <w:bookmarkStart w:id="9" w:name="_Toc3856"/>
      <w:bookmarkStart w:id="10" w:name="_Toc317775175"/>
      <w:bookmarkStart w:id="11" w:name="_Toc76462317"/>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18"/>
                <w:szCs w:val="18"/>
                <w:lang w:val="en-US" w:eastAsia="zh-CN"/>
              </w:rPr>
            </w:pPr>
            <w:r>
              <w:rPr>
                <w:rFonts w:hint="eastAsia" w:ascii="微软雅黑" w:hAnsi="微软雅黑" w:eastAsia="微软雅黑" w:cs="微软雅黑"/>
                <w:b w:val="0"/>
                <w:bCs/>
                <w:color w:val="333333"/>
                <w:kern w:val="0"/>
                <w:sz w:val="18"/>
                <w:szCs w:val="18"/>
                <w:lang w:val="en-US" w:eastAsia="zh-CN"/>
              </w:rPr>
              <w:t>YSB260180</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eastAsia="zh-CN"/>
              </w:rPr>
            </w:pPr>
            <w:r>
              <w:rPr>
                <w:rFonts w:hint="eastAsia" w:ascii="微软雅黑" w:hAnsi="微软雅黑" w:eastAsia="微软雅黑" w:cs="微软雅黑"/>
                <w:b w:val="0"/>
                <w:bCs/>
                <w:color w:val="333333"/>
                <w:kern w:val="0"/>
                <w:sz w:val="18"/>
                <w:szCs w:val="18"/>
                <w:lang w:val="en-US" w:eastAsia="zh-CN"/>
              </w:rPr>
              <w:t>体外循环类耗材-一次性静脉插管--金属直角静脉插管</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rPr>
            </w:pPr>
            <w:r>
              <w:rPr>
                <w:rFonts w:hint="eastAsia" w:ascii="微软雅黑" w:hAnsi="微软雅黑" w:eastAsia="微软雅黑" w:cs="微软雅黑"/>
                <w:b w:val="0"/>
                <w:bCs/>
                <w:color w:val="333333"/>
                <w:kern w:val="0"/>
                <w:sz w:val="18"/>
                <w:szCs w:val="18"/>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val="en-US" w:eastAsia="zh-CN"/>
              </w:rPr>
            </w:pPr>
            <w:r>
              <w:rPr>
                <w:rFonts w:hint="default" w:ascii="微软雅黑" w:hAnsi="微软雅黑" w:eastAsia="微软雅黑" w:cs="微软雅黑"/>
                <w:b w:val="0"/>
                <w:bCs/>
                <w:color w:val="333333"/>
                <w:kern w:val="0"/>
                <w:sz w:val="18"/>
                <w:szCs w:val="18"/>
                <w:lang w:val="en-US" w:eastAsia="zh-CN"/>
              </w:rPr>
              <w:t>≥</w:t>
            </w:r>
            <w:r>
              <w:rPr>
                <w:rFonts w:hint="eastAsia" w:ascii="微软雅黑" w:hAnsi="微软雅黑" w:eastAsia="微软雅黑" w:cs="微软雅黑"/>
                <w:b w:val="0"/>
                <w:bCs/>
                <w:color w:val="333333"/>
                <w:kern w:val="0"/>
                <w:sz w:val="18"/>
                <w:szCs w:val="18"/>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76462319"/>
      <w:bookmarkStart w:id="19" w:name="_Toc4480"/>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27954"/>
      <w:bookmarkStart w:id="23" w:name="_Toc106030874"/>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28629"/>
      <w:bookmarkStart w:id="26" w:name="_Toc65660334"/>
      <w:bookmarkStart w:id="27" w:name="_Toc6178"/>
      <w:bookmarkStart w:id="28" w:name="_Toc11956"/>
      <w:bookmarkStart w:id="29" w:name="_Toc521053053"/>
      <w:bookmarkStart w:id="30" w:name="_Toc525047161"/>
      <w:bookmarkStart w:id="31" w:name="_Toc106034625"/>
      <w:bookmarkStart w:id="32" w:name="_Toc1284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2945"/>
      <w:bookmarkStart w:id="34" w:name="_Toc525047162"/>
      <w:bookmarkStart w:id="35" w:name="_Toc521053054"/>
      <w:bookmarkStart w:id="36" w:name="_Toc106034626"/>
      <w:bookmarkStart w:id="37" w:name="_Toc4355"/>
      <w:bookmarkStart w:id="38" w:name="_Toc65660335"/>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3"/>
      <w:bookmarkStart w:id="42" w:name="_Toc521053055"/>
      <w:bookmarkStart w:id="43" w:name="_Toc16269"/>
      <w:bookmarkStart w:id="44" w:name="_Toc106034627"/>
      <w:bookmarkStart w:id="45" w:name="_Toc525047163"/>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5047164"/>
      <w:bookmarkStart w:id="48" w:name="_Toc65660337"/>
      <w:bookmarkStart w:id="49" w:name="_Toc521053056"/>
      <w:bookmarkStart w:id="50" w:name="_Toc1733"/>
      <w:bookmarkStart w:id="51" w:name="_Toc10415"/>
      <w:bookmarkStart w:id="52" w:name="_Toc20454"/>
      <w:bookmarkStart w:id="53" w:name="_Toc106034628"/>
      <w:bookmarkStart w:id="54" w:name="_Toc24901"/>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12959"/>
      <w:bookmarkStart w:id="57" w:name="_Toc32686"/>
      <w:bookmarkStart w:id="58" w:name="_Toc5461"/>
      <w:bookmarkStart w:id="59" w:name="_Toc19886"/>
      <w:bookmarkStart w:id="60" w:name="_Toc23143"/>
      <w:bookmarkStart w:id="61" w:name="_Toc1625"/>
      <w:bookmarkStart w:id="62" w:name="_Toc25639"/>
      <w:bookmarkStart w:id="63" w:name="_Toc2422"/>
      <w:bookmarkStart w:id="64" w:name="_Toc1492"/>
      <w:bookmarkStart w:id="65" w:name="_Toc26176"/>
      <w:bookmarkStart w:id="66" w:name="_Toc8649"/>
      <w:bookmarkStart w:id="67" w:name="_Toc725"/>
      <w:bookmarkStart w:id="68" w:name="_Toc11017"/>
      <w:bookmarkStart w:id="69" w:name="_Toc2070"/>
      <w:bookmarkStart w:id="70" w:name="_Toc75793504"/>
      <w:bookmarkStart w:id="71" w:name="_Toc20802"/>
      <w:bookmarkStart w:id="72" w:name="_Toc106030380"/>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4519"/>
      <w:bookmarkStart w:id="74" w:name="_Toc8370"/>
      <w:bookmarkStart w:id="75" w:name="_Toc23504"/>
      <w:bookmarkStart w:id="76" w:name="_Toc19238"/>
      <w:bookmarkStart w:id="77" w:name="_Toc7027"/>
      <w:bookmarkStart w:id="78" w:name="_Toc75793505"/>
      <w:bookmarkStart w:id="79" w:name="_Toc11703"/>
      <w:bookmarkStart w:id="80" w:name="_Toc20979"/>
      <w:bookmarkStart w:id="81" w:name="_Toc106030381"/>
      <w:bookmarkStart w:id="82" w:name="_Toc4913"/>
      <w:bookmarkStart w:id="83" w:name="_Toc23656"/>
      <w:bookmarkStart w:id="84" w:name="_Toc29985"/>
      <w:bookmarkStart w:id="85" w:name="_Toc9261"/>
      <w:bookmarkStart w:id="86" w:name="_Toc4531"/>
      <w:bookmarkStart w:id="87" w:name="_Toc22910"/>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体外循环类耗材-一次性静脉插管--金属直角静脉插管</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eastAsia="zh-CN"/>
              </w:rPr>
              <w:t>合同期</w:t>
            </w:r>
            <w:r>
              <w:rPr>
                <w:rFonts w:hint="eastAsia" w:ascii="微软雅黑" w:hAnsi="微软雅黑" w:eastAsia="微软雅黑" w:cs="微软雅黑"/>
                <w:sz w:val="21"/>
                <w:szCs w:val="21"/>
                <w:lang w:val="en-US" w:eastAsia="zh-CN"/>
              </w:rPr>
              <w:t>3年</w:t>
            </w: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23975"/>
      <w:bookmarkStart w:id="89" w:name="_Toc12568"/>
      <w:bookmarkStart w:id="90" w:name="_Toc21817"/>
      <w:bookmarkStart w:id="91" w:name="_Toc26453"/>
      <w:bookmarkStart w:id="92" w:name="_Toc106030382"/>
      <w:bookmarkStart w:id="93" w:name="_Toc28205"/>
      <w:bookmarkStart w:id="94" w:name="_Toc7792"/>
      <w:bookmarkStart w:id="95" w:name="_Toc27067"/>
      <w:bookmarkStart w:id="96" w:name="_Toc10143"/>
      <w:bookmarkStart w:id="97" w:name="_Toc695"/>
      <w:bookmarkStart w:id="98" w:name="_Toc18800"/>
      <w:bookmarkStart w:id="99" w:name="_Toc5751"/>
      <w:bookmarkStart w:id="100" w:name="_Toc32262"/>
      <w:bookmarkStart w:id="101" w:name="_Toc15696"/>
      <w:bookmarkStart w:id="102" w:name="_Toc18903"/>
      <w:bookmarkStart w:id="103" w:name="_Toc75793506"/>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一次性静脉插管--金属直角静脉插管</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1.适用于心脏手术中供人工心肺机连接各个器械组成一个腔静脉系统回路。</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2.由静脉插管组件、三通接头、直通接头、侧孔接头等组成。</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3.规格至少包括12F、14F、16F、18F、20、22F、24F、26F、28F，金属弯头增强抗弯折，头部外径至少包括4mm-9mm，后接口尺寸1/4in.和3/8in.两种。</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4.单支灭菌包装，一次性使用。</w:t>
      </w:r>
    </w:p>
    <w:p>
      <w:pPr>
        <w:pStyle w:val="2"/>
        <w:rPr>
          <w:rFonts w:hint="default" w:ascii="微软雅黑" w:hAnsi="微软雅黑" w:eastAsia="微软雅黑" w:cs="微软雅黑"/>
          <w:sz w:val="24"/>
          <w:szCs w:val="24"/>
          <w:lang w:val="en-US" w:eastAsia="zh-CN"/>
        </w:rPr>
      </w:pPr>
    </w:p>
    <w:p>
      <w:pPr>
        <w:ind w:firstLine="240" w:firstLineChars="100"/>
        <w:rPr>
          <w:rFonts w:hint="default"/>
          <w:lang w:val="en-US" w:eastAsia="zh-CN"/>
        </w:rPr>
      </w:pPr>
      <w:r>
        <w:rPr>
          <w:rFonts w:hint="eastAsia" w:ascii="微软雅黑" w:hAnsi="微软雅黑" w:eastAsia="微软雅黑" w:cs="微软雅黑"/>
          <w:sz w:val="24"/>
          <w:szCs w:val="24"/>
          <w:lang w:val="en-US" w:eastAsia="zh-CN"/>
        </w:rPr>
        <w:t>注：开标现场必须提供带包装的样品。</w:t>
      </w:r>
    </w:p>
    <w:p>
      <w:pPr>
        <w:snapToGrid w:val="0"/>
        <w:spacing w:line="400" w:lineRule="exact"/>
        <w:ind w:firstLine="480" w:firstLineChars="200"/>
        <w:rPr>
          <w:rFonts w:hint="eastAsia" w:ascii="微软雅黑" w:hAnsi="微软雅黑" w:eastAsia="微软雅黑" w:cs="微软雅黑"/>
          <w:sz w:val="44"/>
        </w:rPr>
      </w:pPr>
      <w:r>
        <w:rPr>
          <w:rFonts w:hint="eastAsia" w:ascii="宋体" w:hAnsi="宋体" w:eastAsia="宋体" w:cs="宋体"/>
          <w:color w:val="000000"/>
          <w:kern w:val="0"/>
          <w:sz w:val="24"/>
          <w:szCs w:val="24"/>
          <w:lang w:val="en-US" w:eastAsia="zh-CN"/>
        </w:rPr>
        <w:br w:type="page"/>
      </w:r>
      <w:bookmarkStart w:id="104" w:name="_Toc106030882"/>
      <w:bookmarkStart w:id="105" w:name="_Toc7791"/>
      <w:bookmarkStart w:id="106" w:name="_Toc17712"/>
      <w:bookmarkStart w:id="107" w:name="_Toc76462327"/>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交货期：中标人在收到采购人通知后在7个日历日内（或者在采购人临时具体书面指定天数内）将物资运到采购人指定交货地点，需提供24小时服务。</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bookmarkStart w:id="192" w:name="_GoBack"/>
            <w:bookmarkEnd w:id="192"/>
          </w:p>
        </w:tc>
      </w:tr>
    </w:tbl>
    <w:p>
      <w:pPr>
        <w:rPr>
          <w:rFonts w:hint="eastAsia" w:ascii="微软雅黑" w:hAnsi="微软雅黑" w:eastAsia="微软雅黑" w:cs="微软雅黑"/>
          <w:b/>
          <w:sz w:val="44"/>
        </w:rPr>
      </w:pPr>
      <w:bookmarkStart w:id="108" w:name="_Toc76462332"/>
      <w:bookmarkStart w:id="109" w:name="_Toc106030887"/>
      <w:bookmarkStart w:id="110"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1"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8"/>
      <w:bookmarkEnd w:id="109"/>
      <w:bookmarkEnd w:id="110"/>
      <w:bookmarkEnd w:id="11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14958"/>
      <w:bookmarkStart w:id="113" w:name="_Toc106030888"/>
      <w:bookmarkStart w:id="114" w:name="_Toc76462333"/>
      <w:bookmarkStart w:id="115" w:name="_Toc3410"/>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2"/>
      <w:bookmarkEnd w:id="113"/>
      <w:bookmarkEnd w:id="114"/>
      <w:bookmarkEnd w:id="11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6" w:name="_Toc29068"/>
      <w:r>
        <w:rPr>
          <w:rFonts w:hint="eastAsia" w:ascii="微软雅黑" w:hAnsi="微软雅黑" w:eastAsia="微软雅黑" w:cs="微软雅黑"/>
          <w:sz w:val="24"/>
        </w:rPr>
        <w:t>二、评标方法</w:t>
      </w:r>
      <w:bookmarkEnd w:id="116"/>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7" w:name="_Toc106030889"/>
      <w:bookmarkStart w:id="118" w:name="_Toc30944"/>
      <w:bookmarkStart w:id="119" w:name="_Toc76462334"/>
      <w:bookmarkStart w:id="120" w:name="_Toc342913394"/>
      <w:bookmarkStart w:id="121" w:name="_Toc102227320"/>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2"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2"/>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3" w:name="_Toc13703"/>
      <w:bookmarkStart w:id="124" w:name="_Toc5837"/>
      <w:r>
        <w:rPr>
          <w:rFonts w:hint="eastAsia" w:ascii="微软雅黑" w:hAnsi="微软雅黑" w:eastAsia="微软雅黑" w:cs="微软雅黑"/>
          <w:kern w:val="0"/>
          <w:sz w:val="24"/>
          <w:szCs w:val="24"/>
          <w:lang w:val="en-US" w:eastAsia="zh-CN"/>
        </w:rPr>
        <w:t>本项目投标人可在投标现场进行第二次报价。</w:t>
      </w:r>
      <w:bookmarkEnd w:id="123"/>
      <w:bookmarkEnd w:id="12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23723"/>
      <w:r>
        <w:rPr>
          <w:rFonts w:hint="eastAsia" w:ascii="微软雅黑" w:hAnsi="微软雅黑" w:eastAsia="微软雅黑" w:cs="微软雅黑"/>
          <w:sz w:val="24"/>
        </w:rPr>
        <w:t>四、评审标准</w:t>
      </w:r>
      <w:bookmarkEnd w:id="117"/>
      <w:bookmarkEnd w:id="118"/>
      <w:bookmarkEnd w:id="119"/>
      <w:bookmarkEnd w:id="125"/>
    </w:p>
    <w:p>
      <w:pPr>
        <w:snapToGrid w:val="0"/>
        <w:spacing w:line="400" w:lineRule="exact"/>
        <w:ind w:firstLine="480" w:firstLineChars="200"/>
        <w:rPr>
          <w:rFonts w:hint="eastAsia" w:ascii="微软雅黑" w:hAnsi="微软雅黑" w:eastAsia="微软雅黑" w:cs="微软雅黑"/>
          <w:sz w:val="24"/>
          <w:szCs w:val="24"/>
        </w:rPr>
      </w:pPr>
      <w:bookmarkStart w:id="126" w:name="_Toc31497"/>
      <w:bookmarkStart w:id="127" w:name="_Toc106030890"/>
      <w:bookmarkStart w:id="128"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0"/>
    <w:bookmarkEnd w:id="121"/>
    <w:bookmarkEnd w:id="126"/>
    <w:bookmarkEnd w:id="127"/>
    <w:bookmarkEnd w:id="12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3878"/>
      <w:bookmarkStart w:id="130" w:name="_Toc4326"/>
      <w:r>
        <w:rPr>
          <w:rFonts w:hint="eastAsia" w:ascii="微软雅黑" w:hAnsi="微软雅黑" w:eastAsia="微软雅黑" w:cs="微软雅黑"/>
          <w:sz w:val="24"/>
        </w:rPr>
        <w:t>五、无效响应</w:t>
      </w:r>
      <w:bookmarkEnd w:id="129"/>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10687"/>
      <w:bookmarkStart w:id="132" w:name="_Toc76462336"/>
      <w:bookmarkStart w:id="133" w:name="_Toc106030891"/>
      <w:bookmarkStart w:id="134" w:name="_Toc22602"/>
      <w:bookmarkStart w:id="135" w:name="_Toc25327"/>
      <w:r>
        <w:rPr>
          <w:rFonts w:hint="eastAsia" w:ascii="微软雅黑" w:hAnsi="微软雅黑" w:eastAsia="微软雅黑" w:cs="微软雅黑"/>
          <w:sz w:val="24"/>
        </w:rPr>
        <w:t>六、</w:t>
      </w:r>
      <w:bookmarkEnd w:id="131"/>
      <w:bookmarkEnd w:id="132"/>
      <w:bookmarkEnd w:id="133"/>
      <w:r>
        <w:rPr>
          <w:rFonts w:hint="eastAsia" w:ascii="微软雅黑" w:hAnsi="微软雅黑" w:eastAsia="微软雅黑" w:cs="微软雅黑"/>
          <w:sz w:val="24"/>
        </w:rPr>
        <w:t>废标条款</w:t>
      </w:r>
      <w:bookmarkEnd w:id="134"/>
      <w:bookmarkEnd w:id="13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6" w:name="_Toc76462337"/>
      <w:bookmarkStart w:id="137" w:name="_Toc29948"/>
      <w:bookmarkStart w:id="138" w:name="_Toc106030892"/>
      <w:bookmarkStart w:id="139" w:name="_Toc7572"/>
      <w:bookmarkStart w:id="140" w:name="_Toc102227313"/>
      <w:r>
        <w:rPr>
          <w:rFonts w:hint="eastAsia" w:ascii="微软雅黑" w:hAnsi="微软雅黑" w:eastAsia="微软雅黑" w:cs="微软雅黑"/>
          <w:sz w:val="44"/>
        </w:rPr>
        <w:t>第五篇  投标人须知</w:t>
      </w:r>
      <w:bookmarkEnd w:id="136"/>
      <w:bookmarkEnd w:id="137"/>
      <w:bookmarkEnd w:id="138"/>
      <w:bookmarkEnd w:id="139"/>
      <w:bookmarkEnd w:id="14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76462338"/>
      <w:bookmarkStart w:id="142" w:name="_Toc26717"/>
      <w:bookmarkStart w:id="143" w:name="_Toc106030893"/>
      <w:bookmarkStart w:id="144" w:name="_Toc9364"/>
      <w:bookmarkStart w:id="145" w:name="_Toc342913389"/>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1"/>
      <w:bookmarkEnd w:id="142"/>
      <w:bookmarkEnd w:id="143"/>
      <w:bookmarkEnd w:id="144"/>
      <w:bookmarkEnd w:id="1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20281"/>
      <w:bookmarkStart w:id="147" w:name="_Toc106030894"/>
      <w:bookmarkStart w:id="148" w:name="_Toc76462339"/>
      <w:bookmarkStart w:id="149" w:name="_Toc342913391"/>
      <w:bookmarkStart w:id="150" w:name="_Toc15712"/>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6"/>
      <w:bookmarkEnd w:id="147"/>
      <w:bookmarkEnd w:id="148"/>
      <w:bookmarkEnd w:id="149"/>
      <w:bookmarkEnd w:id="15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1" w:name="_Toc318166429"/>
      <w:bookmarkStart w:id="152" w:name="_Toc318159780"/>
      <w:bookmarkStart w:id="153" w:name="_Toc318159160"/>
      <w:bookmarkStart w:id="154" w:name="_Toc318159349"/>
    </w:p>
    <w:bookmarkEnd w:id="151"/>
    <w:bookmarkEnd w:id="152"/>
    <w:bookmarkEnd w:id="153"/>
    <w:bookmarkEnd w:id="15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76462340"/>
      <w:bookmarkStart w:id="156" w:name="_Toc106030895"/>
      <w:bookmarkStart w:id="157" w:name="_Toc342913392"/>
      <w:bookmarkStart w:id="158" w:name="_Toc102227318"/>
      <w:bookmarkStart w:id="159" w:name="_Toc8971"/>
      <w:bookmarkStart w:id="160" w:name="_Toc179714297"/>
      <w:bookmarkStart w:id="161" w:name="_Toc26007"/>
      <w:r>
        <w:rPr>
          <w:rFonts w:hint="eastAsia" w:ascii="微软雅黑" w:hAnsi="微软雅黑" w:eastAsia="微软雅黑" w:cs="微软雅黑"/>
          <w:sz w:val="24"/>
        </w:rPr>
        <w:t>三、比选要求</w:t>
      </w:r>
      <w:bookmarkEnd w:id="155"/>
      <w:bookmarkEnd w:id="156"/>
      <w:bookmarkEnd w:id="157"/>
      <w:bookmarkEnd w:id="158"/>
      <w:bookmarkEnd w:id="159"/>
      <w:bookmarkEnd w:id="160"/>
      <w:bookmarkEnd w:id="16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2" w:name="_Toc76462341"/>
      <w:bookmarkStart w:id="163" w:name="_Toc106030896"/>
      <w:bookmarkStart w:id="164" w:name="_Toc13378"/>
      <w:bookmarkStart w:id="165" w:name="_Toc6435"/>
      <w:r>
        <w:rPr>
          <w:rFonts w:hint="eastAsia" w:ascii="微软雅黑" w:hAnsi="微软雅黑" w:eastAsia="微软雅黑" w:cs="微软雅黑"/>
          <w:sz w:val="24"/>
        </w:rPr>
        <w:t>四、成交供应商的确认和变更</w:t>
      </w:r>
      <w:bookmarkEnd w:id="162"/>
      <w:bookmarkEnd w:id="163"/>
      <w:bookmarkEnd w:id="164"/>
      <w:bookmarkEnd w:id="16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6" w:name="_Toc342913395"/>
      <w:bookmarkStart w:id="167" w:name="_Toc76462342"/>
      <w:bookmarkStart w:id="168" w:name="_Toc102227321"/>
      <w:bookmarkStart w:id="169" w:name="_Toc712"/>
      <w:bookmarkStart w:id="170" w:name="_Toc106030897"/>
      <w:bookmarkStart w:id="171" w:name="_Toc21532"/>
      <w:r>
        <w:rPr>
          <w:rFonts w:hint="eastAsia" w:ascii="微软雅黑" w:hAnsi="微软雅黑" w:eastAsia="微软雅黑" w:cs="微软雅黑"/>
          <w:sz w:val="24"/>
        </w:rPr>
        <w:t>五、成交通知</w:t>
      </w:r>
      <w:bookmarkEnd w:id="166"/>
      <w:bookmarkEnd w:id="167"/>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2" w:name="_Toc22564"/>
      <w:bookmarkStart w:id="173" w:name="_Toc21448"/>
      <w:bookmarkStart w:id="174" w:name="_Toc76462343"/>
      <w:bookmarkStart w:id="175" w:name="_Toc106030898"/>
      <w:r>
        <w:rPr>
          <w:rFonts w:hint="eastAsia" w:ascii="微软雅黑" w:hAnsi="微软雅黑" w:eastAsia="微软雅黑" w:cs="微软雅黑"/>
          <w:sz w:val="24"/>
        </w:rPr>
        <w:t>六、质疑处理</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6" w:name="_Toc28334"/>
      <w:bookmarkStart w:id="177" w:name="_Toc76462344"/>
      <w:bookmarkStart w:id="178"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9" w:name="_Toc32500"/>
      <w:r>
        <w:rPr>
          <w:rFonts w:hint="eastAsia" w:ascii="微软雅黑" w:hAnsi="微软雅黑" w:eastAsia="微软雅黑" w:cs="微软雅黑"/>
          <w:sz w:val="24"/>
        </w:rPr>
        <w:t>七、</w:t>
      </w:r>
      <w:bookmarkEnd w:id="176"/>
      <w:bookmarkEnd w:id="177"/>
      <w:bookmarkEnd w:id="178"/>
      <w:bookmarkStart w:id="180" w:name="_Toc102227322"/>
      <w:bookmarkStart w:id="181" w:name="_Toc106030901"/>
      <w:bookmarkStart w:id="182" w:name="_Toc3372"/>
      <w:bookmarkStart w:id="183" w:name="_Toc342913396"/>
      <w:bookmarkStart w:id="184" w:name="_Toc76462346"/>
      <w:bookmarkStart w:id="185" w:name="_Toc12789059"/>
      <w:bookmarkStart w:id="186" w:name="_Toc11641055"/>
      <w:r>
        <w:rPr>
          <w:rFonts w:hint="eastAsia" w:ascii="微软雅黑" w:hAnsi="微软雅黑" w:eastAsia="微软雅黑" w:cs="微软雅黑"/>
          <w:sz w:val="24"/>
        </w:rPr>
        <w:t>签订</w:t>
      </w:r>
      <w:bookmarkEnd w:id="180"/>
      <w:r>
        <w:rPr>
          <w:rFonts w:hint="eastAsia" w:ascii="微软雅黑" w:hAnsi="微软雅黑" w:eastAsia="微软雅黑" w:cs="微软雅黑"/>
          <w:sz w:val="24"/>
        </w:rPr>
        <w:t>合同</w:t>
      </w:r>
      <w:bookmarkEnd w:id="179"/>
      <w:bookmarkEnd w:id="181"/>
      <w:bookmarkEnd w:id="182"/>
      <w:bookmarkEnd w:id="183"/>
      <w:bookmarkEnd w:id="18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5"/>
      <w:bookmarkEnd w:id="186"/>
    </w:p>
    <w:p>
      <w:pPr>
        <w:pStyle w:val="4"/>
        <w:spacing w:before="200" w:after="200" w:line="240" w:lineRule="auto"/>
        <w:jc w:val="center"/>
        <w:rPr>
          <w:rFonts w:hint="eastAsia" w:ascii="微软雅黑" w:hAnsi="微软雅黑" w:eastAsia="微软雅黑" w:cs="微软雅黑"/>
          <w:sz w:val="44"/>
        </w:rPr>
      </w:pPr>
      <w:bookmarkStart w:id="187" w:name="_Hlt41879464"/>
      <w:bookmarkEnd w:id="187"/>
      <w:bookmarkStart w:id="188" w:name="_Toc6345"/>
      <w:bookmarkStart w:id="189" w:name="_Toc76462349"/>
      <w:bookmarkStart w:id="190" w:name="_Toc27984"/>
      <w:bookmarkStart w:id="191" w:name="_Toc106030905"/>
      <w:r>
        <w:rPr>
          <w:rFonts w:hint="eastAsia" w:ascii="微软雅黑" w:hAnsi="微软雅黑" w:eastAsia="微软雅黑" w:cs="微软雅黑"/>
          <w:sz w:val="44"/>
        </w:rPr>
        <w:t>第六篇  响应文件编制要求</w:t>
      </w:r>
      <w:bookmarkEnd w:id="188"/>
      <w:bookmarkEnd w:id="189"/>
      <w:bookmarkEnd w:id="190"/>
      <w:bookmarkEnd w:id="19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3C44C6D"/>
    <w:rsid w:val="14093EF5"/>
    <w:rsid w:val="140E691A"/>
    <w:rsid w:val="147A5E14"/>
    <w:rsid w:val="148D1984"/>
    <w:rsid w:val="14D11CFB"/>
    <w:rsid w:val="153901DE"/>
    <w:rsid w:val="15935DB5"/>
    <w:rsid w:val="15BB3449"/>
    <w:rsid w:val="171C1EE4"/>
    <w:rsid w:val="17324323"/>
    <w:rsid w:val="17A1211B"/>
    <w:rsid w:val="18ED7A84"/>
    <w:rsid w:val="19255AF5"/>
    <w:rsid w:val="19401112"/>
    <w:rsid w:val="19564547"/>
    <w:rsid w:val="19740A13"/>
    <w:rsid w:val="1A5915C0"/>
    <w:rsid w:val="1A7E6296"/>
    <w:rsid w:val="1B5937A3"/>
    <w:rsid w:val="1D5E284A"/>
    <w:rsid w:val="1E2C5A53"/>
    <w:rsid w:val="1F0D01CA"/>
    <w:rsid w:val="21226BB2"/>
    <w:rsid w:val="21864056"/>
    <w:rsid w:val="222348FC"/>
    <w:rsid w:val="22F860AB"/>
    <w:rsid w:val="23366F63"/>
    <w:rsid w:val="2486441F"/>
    <w:rsid w:val="24A97106"/>
    <w:rsid w:val="2550440C"/>
    <w:rsid w:val="255A2660"/>
    <w:rsid w:val="263535D3"/>
    <w:rsid w:val="281628A0"/>
    <w:rsid w:val="286153F5"/>
    <w:rsid w:val="2895673E"/>
    <w:rsid w:val="29601F8B"/>
    <w:rsid w:val="296F02CD"/>
    <w:rsid w:val="2A113B40"/>
    <w:rsid w:val="2AA01F44"/>
    <w:rsid w:val="2AAD2704"/>
    <w:rsid w:val="2C43216E"/>
    <w:rsid w:val="2CD472B8"/>
    <w:rsid w:val="2DB02B6B"/>
    <w:rsid w:val="2FD2000A"/>
    <w:rsid w:val="300C58E0"/>
    <w:rsid w:val="30355B10"/>
    <w:rsid w:val="30607DAE"/>
    <w:rsid w:val="312C1210"/>
    <w:rsid w:val="31DA5A58"/>
    <w:rsid w:val="32FD7152"/>
    <w:rsid w:val="32FE4017"/>
    <w:rsid w:val="332D1E43"/>
    <w:rsid w:val="34962D8B"/>
    <w:rsid w:val="34D74F48"/>
    <w:rsid w:val="361F2D7D"/>
    <w:rsid w:val="369C6387"/>
    <w:rsid w:val="37556B60"/>
    <w:rsid w:val="37660142"/>
    <w:rsid w:val="38985B46"/>
    <w:rsid w:val="38CD7FDC"/>
    <w:rsid w:val="39E724D1"/>
    <w:rsid w:val="3ACE5D4F"/>
    <w:rsid w:val="3B89534D"/>
    <w:rsid w:val="3C55524B"/>
    <w:rsid w:val="3CCE1388"/>
    <w:rsid w:val="3CED5AB6"/>
    <w:rsid w:val="3D117539"/>
    <w:rsid w:val="3DC14F27"/>
    <w:rsid w:val="3DDD46D4"/>
    <w:rsid w:val="3DE559F8"/>
    <w:rsid w:val="3DF6488D"/>
    <w:rsid w:val="3E2734A9"/>
    <w:rsid w:val="3E2D176B"/>
    <w:rsid w:val="3E5E05BF"/>
    <w:rsid w:val="3F1C71CA"/>
    <w:rsid w:val="3F464493"/>
    <w:rsid w:val="3F5929D1"/>
    <w:rsid w:val="3FB630C0"/>
    <w:rsid w:val="3FD67934"/>
    <w:rsid w:val="406334F2"/>
    <w:rsid w:val="409F14A1"/>
    <w:rsid w:val="415F6EA3"/>
    <w:rsid w:val="42E4764C"/>
    <w:rsid w:val="43291680"/>
    <w:rsid w:val="44256EDB"/>
    <w:rsid w:val="45277FC2"/>
    <w:rsid w:val="452C7897"/>
    <w:rsid w:val="45C410F4"/>
    <w:rsid w:val="46151D23"/>
    <w:rsid w:val="46AB67D5"/>
    <w:rsid w:val="46D026EE"/>
    <w:rsid w:val="476B30BF"/>
    <w:rsid w:val="48783FC8"/>
    <w:rsid w:val="494C6B8D"/>
    <w:rsid w:val="497B7CB3"/>
    <w:rsid w:val="4A286398"/>
    <w:rsid w:val="4A6A7EC9"/>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B905ABE"/>
    <w:rsid w:val="5CA67F0E"/>
    <w:rsid w:val="5CC4593C"/>
    <w:rsid w:val="5CE0669B"/>
    <w:rsid w:val="5DAD4E7C"/>
    <w:rsid w:val="5DC6466B"/>
    <w:rsid w:val="5ED10334"/>
    <w:rsid w:val="5F0271B4"/>
    <w:rsid w:val="60B01C37"/>
    <w:rsid w:val="60CB5C8F"/>
    <w:rsid w:val="61A33550"/>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E969BF"/>
    <w:rsid w:val="700E4B2E"/>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0</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2026-04-28T00:24:54Z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