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lang w:eastAsia="zh-CN"/>
        </w:rPr>
      </w:pPr>
      <w:r>
        <w:rPr>
          <w:rFonts w:hint="eastAsia" w:ascii="微软雅黑" w:hAnsi="微软雅黑" w:eastAsia="微软雅黑" w:cs="微软雅黑"/>
          <w:sz w:val="130"/>
          <w:szCs w:val="130"/>
          <w:lang w:eastAsia="zh-CN"/>
        </w:rPr>
        <w:t>耗材遴选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采购文件</w:t>
      </w:r>
    </w:p>
    <w:p>
      <w:pPr>
        <w:pStyle w:val="69"/>
        <w:spacing w:before="100" w:after="100" w:line="300" w:lineRule="auto"/>
        <w:jc w:val="center"/>
        <w:rPr>
          <w:rFonts w:hint="eastAsia" w:ascii="微软雅黑" w:hAnsi="微软雅黑" w:eastAsia="微软雅黑" w:cs="微软雅黑"/>
          <w:sz w:val="32"/>
        </w:rPr>
      </w:pPr>
      <w:r>
        <w:rPr>
          <w:rFonts w:hint="eastAsia" w:ascii="微软雅黑" w:hAnsi="微软雅黑" w:eastAsia="微软雅黑" w:cs="微软雅黑"/>
          <w:b w:val="0"/>
          <w:sz w:val="130"/>
          <w:szCs w:val="130"/>
        </w:rPr>
        <w:t xml:space="preserve">   </w:t>
      </w:r>
    </w:p>
    <w:p>
      <w:pPr>
        <w:pStyle w:val="70"/>
        <w:rPr>
          <w:rFonts w:hint="eastAsia" w:ascii="微软雅黑" w:hAnsi="微软雅黑" w:eastAsia="微软雅黑" w:cs="微软雅黑"/>
          <w:kern w:val="2"/>
          <w:sz w:val="44"/>
          <w:szCs w:val="44"/>
        </w:rPr>
      </w:pPr>
    </w:p>
    <w:p>
      <w:pPr>
        <w:spacing w:line="360" w:lineRule="auto"/>
        <w:ind w:firstLine="1800" w:firstLineChars="5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rPr>
        <w:t>YSB2</w:t>
      </w:r>
      <w:r>
        <w:rPr>
          <w:rFonts w:hint="eastAsia" w:ascii="微软雅黑" w:hAnsi="微软雅黑" w:eastAsia="微软雅黑" w:cs="微软雅黑"/>
          <w:sz w:val="36"/>
          <w:szCs w:val="36"/>
          <w:u w:val="single"/>
          <w:lang w:val="en-US" w:eastAsia="zh-CN"/>
        </w:rPr>
        <w:t>60200</w:t>
      </w:r>
    </w:p>
    <w:p>
      <w:pPr>
        <w:spacing w:line="360" w:lineRule="auto"/>
        <w:ind w:left="3592" w:leftChars="640" w:hanging="1800" w:hangingChars="5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rPr>
        <w:t>项目名称：</w:t>
      </w:r>
      <w:r>
        <w:rPr>
          <w:rFonts w:hint="eastAsia" w:ascii="微软雅黑" w:hAnsi="微软雅黑" w:eastAsia="微软雅黑" w:cs="微软雅黑"/>
          <w:sz w:val="36"/>
          <w:szCs w:val="36"/>
          <w:u w:val="single"/>
          <w:lang w:val="en-US" w:eastAsia="zh-CN"/>
        </w:rPr>
        <w:t>辐照生物敷料</w:t>
      </w:r>
    </w:p>
    <w:p>
      <w:pPr>
        <w:spacing w:line="500" w:lineRule="exact"/>
        <w:outlineLvl w:val="0"/>
        <w:rPr>
          <w:rFonts w:hint="eastAsia" w:ascii="微软雅黑" w:hAnsi="微软雅黑" w:eastAsia="微软雅黑" w:cs="微软雅黑"/>
          <w:sz w:val="36"/>
          <w:szCs w:val="36"/>
        </w:rPr>
      </w:pPr>
    </w:p>
    <w:p>
      <w:pPr>
        <w:pStyle w:val="2"/>
        <w:rPr>
          <w:rFonts w:hint="eastAsia"/>
        </w:rPr>
      </w:pPr>
    </w:p>
    <w:p>
      <w:pPr>
        <w:rPr>
          <w:rFonts w:hint="eastAsia"/>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5</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_Toc7678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sz w:val="24"/>
          <w:szCs w:val="24"/>
        </w:rPr>
        <w:tab/>
      </w:r>
      <w:r>
        <w:rPr>
          <w:sz w:val="24"/>
          <w:szCs w:val="24"/>
        </w:rPr>
        <w:fldChar w:fldCharType="begin"/>
      </w:r>
      <w:r>
        <w:rPr>
          <w:sz w:val="24"/>
          <w:szCs w:val="24"/>
        </w:rPr>
        <w:instrText xml:space="preserve"> PAGEREF _Toc7678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_Toc18148 </w:instrText>
      </w:r>
      <w:r>
        <w:rPr>
          <w:rFonts w:hint="eastAsia" w:ascii="微软雅黑" w:hAnsi="微软雅黑" w:eastAsia="微软雅黑" w:cs="微软雅黑"/>
          <w:sz w:val="24"/>
          <w:szCs w:val="24"/>
        </w:rPr>
        <w:fldChar w:fldCharType="separate"/>
      </w:r>
      <w:r>
        <w:rPr>
          <w:rFonts w:hint="default" w:ascii="微软雅黑" w:hAnsi="微软雅黑" w:eastAsia="微软雅黑" w:cs="微软雅黑"/>
          <w:sz w:val="24"/>
          <w:szCs w:val="24"/>
        </w:rPr>
        <w:t xml:space="preserve">一、 </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采购内容</w:t>
      </w:r>
      <w:r>
        <w:rPr>
          <w:sz w:val="24"/>
          <w:szCs w:val="24"/>
        </w:rPr>
        <w:tab/>
      </w:r>
      <w:r>
        <w:rPr>
          <w:sz w:val="24"/>
          <w:szCs w:val="24"/>
        </w:rPr>
        <w:fldChar w:fldCharType="begin"/>
      </w:r>
      <w:r>
        <w:rPr>
          <w:sz w:val="24"/>
          <w:szCs w:val="24"/>
        </w:rPr>
        <w:instrText xml:space="preserve"> PAGEREF _Toc18148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_Toc30460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二、投标人资格条件</w:t>
      </w:r>
      <w:r>
        <w:rPr>
          <w:sz w:val="24"/>
          <w:szCs w:val="24"/>
        </w:rPr>
        <w:tab/>
      </w:r>
      <w:r>
        <w:rPr>
          <w:sz w:val="24"/>
          <w:szCs w:val="24"/>
        </w:rPr>
        <w:fldChar w:fldCharType="begin"/>
      </w:r>
      <w:r>
        <w:rPr>
          <w:sz w:val="24"/>
          <w:szCs w:val="24"/>
        </w:rPr>
        <w:instrText xml:space="preserve"> PAGEREF _Toc30460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_Toc5002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三、比选有关说明</w:t>
      </w:r>
      <w:r>
        <w:rPr>
          <w:sz w:val="24"/>
          <w:szCs w:val="24"/>
        </w:rPr>
        <w:tab/>
      </w:r>
      <w:r>
        <w:rPr>
          <w:sz w:val="24"/>
          <w:szCs w:val="24"/>
        </w:rPr>
        <w:fldChar w:fldCharType="begin"/>
      </w:r>
      <w:r>
        <w:rPr>
          <w:sz w:val="24"/>
          <w:szCs w:val="24"/>
        </w:rPr>
        <w:instrText xml:space="preserve"> PAGEREF _Toc5002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_Toc28629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sz w:val="24"/>
          <w:szCs w:val="24"/>
        </w:rPr>
        <w:tab/>
      </w:r>
      <w:r>
        <w:rPr>
          <w:sz w:val="24"/>
          <w:szCs w:val="24"/>
        </w:rPr>
        <w:fldChar w:fldCharType="begin"/>
      </w:r>
      <w:r>
        <w:rPr>
          <w:sz w:val="24"/>
          <w:szCs w:val="24"/>
        </w:rPr>
        <w:instrText xml:space="preserve"> PAGEREF _Toc28629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_Toc23490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五、其它</w:t>
      </w:r>
      <w:r>
        <w:rPr>
          <w:sz w:val="24"/>
          <w:szCs w:val="24"/>
        </w:rPr>
        <w:tab/>
      </w:r>
      <w:r>
        <w:rPr>
          <w:sz w:val="24"/>
          <w:szCs w:val="24"/>
        </w:rPr>
        <w:fldChar w:fldCharType="begin"/>
      </w:r>
      <w:r>
        <w:rPr>
          <w:sz w:val="24"/>
          <w:szCs w:val="24"/>
        </w:rPr>
        <w:instrText xml:space="preserve"> PAGEREF _Toc23490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_Toc20454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六、联系方式</w:t>
      </w:r>
      <w:r>
        <w:rPr>
          <w:sz w:val="24"/>
          <w:szCs w:val="24"/>
        </w:rPr>
        <w:tab/>
      </w:r>
      <w:r>
        <w:rPr>
          <w:sz w:val="24"/>
          <w:szCs w:val="24"/>
        </w:rPr>
        <w:fldChar w:fldCharType="begin"/>
      </w:r>
      <w:r>
        <w:rPr>
          <w:sz w:val="24"/>
          <w:szCs w:val="24"/>
        </w:rPr>
        <w:instrText xml:space="preserve"> PAGEREF _Toc20454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38"/>
        <w:tabs>
          <w:tab w:val="right" w:leader="dot" w:pos="9412"/>
        </w:tabs>
        <w:rPr>
          <w:sz w:val="24"/>
          <w:szCs w:val="24"/>
        </w:rPr>
      </w:pP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_Toc20802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第二篇 项目技术（质量）需求</w:t>
      </w:r>
      <w:r>
        <w:rPr>
          <w:sz w:val="24"/>
          <w:szCs w:val="24"/>
        </w:rPr>
        <w:tab/>
      </w:r>
      <w:r>
        <w:rPr>
          <w:sz w:val="24"/>
          <w:szCs w:val="24"/>
        </w:rPr>
        <w:fldChar w:fldCharType="begin"/>
      </w:r>
      <w:r>
        <w:rPr>
          <w:sz w:val="24"/>
          <w:szCs w:val="24"/>
        </w:rPr>
        <w:instrText xml:space="preserve"> PAGEREF _Toc20802 \h </w:instrText>
      </w:r>
      <w:r>
        <w:rPr>
          <w:sz w:val="24"/>
          <w:szCs w:val="24"/>
        </w:rPr>
        <w:fldChar w:fldCharType="separate"/>
      </w:r>
      <w:r>
        <w:rPr>
          <w:sz w:val="24"/>
          <w:szCs w:val="24"/>
        </w:rPr>
        <w:t>- 5 -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_Toc17712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sz w:val="24"/>
          <w:szCs w:val="24"/>
        </w:rPr>
        <w:tab/>
      </w:r>
      <w:r>
        <w:rPr>
          <w:sz w:val="24"/>
          <w:szCs w:val="24"/>
        </w:rPr>
        <w:fldChar w:fldCharType="begin"/>
      </w:r>
      <w:r>
        <w:rPr>
          <w:sz w:val="24"/>
          <w:szCs w:val="24"/>
        </w:rPr>
        <w:instrText xml:space="preserve"> PAGEREF _Toc17712 \h </w:instrText>
      </w:r>
      <w:r>
        <w:rPr>
          <w:sz w:val="24"/>
          <w:szCs w:val="24"/>
        </w:rPr>
        <w:fldChar w:fldCharType="separate"/>
      </w:r>
      <w:r>
        <w:rPr>
          <w:sz w:val="24"/>
          <w:szCs w:val="24"/>
        </w:rPr>
        <w:t>- 6 -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_Toc14419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第四篇  </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采购程序及方法、评审标准、无效响应和采购终止</w:t>
      </w:r>
      <w:r>
        <w:rPr>
          <w:sz w:val="24"/>
          <w:szCs w:val="24"/>
        </w:rPr>
        <w:tab/>
      </w:r>
      <w:r>
        <w:rPr>
          <w:sz w:val="24"/>
          <w:szCs w:val="24"/>
        </w:rPr>
        <w:fldChar w:fldCharType="begin"/>
      </w:r>
      <w:r>
        <w:rPr>
          <w:sz w:val="24"/>
          <w:szCs w:val="24"/>
        </w:rPr>
        <w:instrText xml:space="preserve"> PAGEREF _Toc14419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_Toc3410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采购程序</w:t>
      </w:r>
      <w:r>
        <w:rPr>
          <w:sz w:val="24"/>
          <w:szCs w:val="24"/>
        </w:rPr>
        <w:tab/>
      </w:r>
      <w:r>
        <w:rPr>
          <w:sz w:val="24"/>
          <w:szCs w:val="24"/>
        </w:rPr>
        <w:fldChar w:fldCharType="begin"/>
      </w:r>
      <w:r>
        <w:rPr>
          <w:sz w:val="24"/>
          <w:szCs w:val="24"/>
        </w:rPr>
        <w:instrText xml:space="preserve"> PAGEREF _Toc3410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_Toc29068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二、评标方法</w:t>
      </w:r>
      <w:r>
        <w:rPr>
          <w:sz w:val="24"/>
          <w:szCs w:val="24"/>
        </w:rPr>
        <w:tab/>
      </w:r>
      <w:r>
        <w:rPr>
          <w:sz w:val="24"/>
          <w:szCs w:val="24"/>
        </w:rPr>
        <w:fldChar w:fldCharType="begin"/>
      </w:r>
      <w:r>
        <w:rPr>
          <w:sz w:val="24"/>
          <w:szCs w:val="24"/>
        </w:rPr>
        <w:instrText xml:space="preserve"> PAGEREF _Toc29068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_Toc4078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三、报价方式</w:t>
      </w:r>
      <w:r>
        <w:rPr>
          <w:sz w:val="24"/>
          <w:szCs w:val="24"/>
        </w:rPr>
        <w:tab/>
      </w:r>
      <w:r>
        <w:rPr>
          <w:sz w:val="24"/>
          <w:szCs w:val="24"/>
        </w:rPr>
        <w:fldChar w:fldCharType="begin"/>
      </w:r>
      <w:r>
        <w:rPr>
          <w:sz w:val="24"/>
          <w:szCs w:val="24"/>
        </w:rPr>
        <w:instrText xml:space="preserve"> PAGEREF _Toc4078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_Toc13703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bCs/>
          <w:sz w:val="24"/>
          <w:szCs w:val="24"/>
        </w:rPr>
        <w:t>本项目投标人可在投标现场进行第二次报价。</w:t>
      </w:r>
      <w:r>
        <w:rPr>
          <w:sz w:val="24"/>
          <w:szCs w:val="24"/>
        </w:rPr>
        <w:tab/>
      </w:r>
      <w:r>
        <w:rPr>
          <w:sz w:val="24"/>
          <w:szCs w:val="24"/>
        </w:rPr>
        <w:fldChar w:fldCharType="begin"/>
      </w:r>
      <w:r>
        <w:rPr>
          <w:sz w:val="24"/>
          <w:szCs w:val="24"/>
        </w:rPr>
        <w:instrText xml:space="preserve"> PAGEREF _Toc13703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_Toc23723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四、评审标准</w:t>
      </w:r>
      <w:r>
        <w:rPr>
          <w:sz w:val="24"/>
          <w:szCs w:val="24"/>
        </w:rPr>
        <w:tab/>
      </w:r>
      <w:r>
        <w:rPr>
          <w:sz w:val="24"/>
          <w:szCs w:val="24"/>
        </w:rPr>
        <w:fldChar w:fldCharType="begin"/>
      </w:r>
      <w:r>
        <w:rPr>
          <w:sz w:val="24"/>
          <w:szCs w:val="24"/>
        </w:rPr>
        <w:instrText xml:space="preserve"> PAGEREF _Toc23723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_Toc4326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五、无效响应</w:t>
      </w:r>
      <w:r>
        <w:rPr>
          <w:sz w:val="24"/>
          <w:szCs w:val="24"/>
        </w:rPr>
        <w:tab/>
      </w:r>
      <w:r>
        <w:rPr>
          <w:sz w:val="24"/>
          <w:szCs w:val="24"/>
        </w:rPr>
        <w:fldChar w:fldCharType="begin"/>
      </w:r>
      <w:r>
        <w:rPr>
          <w:sz w:val="24"/>
          <w:szCs w:val="24"/>
        </w:rPr>
        <w:instrText xml:space="preserve"> PAGEREF _Toc4326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_Toc25327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六、废标条款</w:t>
      </w:r>
      <w:r>
        <w:rPr>
          <w:sz w:val="24"/>
          <w:szCs w:val="24"/>
        </w:rPr>
        <w:tab/>
      </w:r>
      <w:r>
        <w:rPr>
          <w:sz w:val="24"/>
          <w:szCs w:val="24"/>
        </w:rPr>
        <w:fldChar w:fldCharType="begin"/>
      </w:r>
      <w:r>
        <w:rPr>
          <w:sz w:val="24"/>
          <w:szCs w:val="24"/>
        </w:rPr>
        <w:instrText xml:space="preserve"> PAGEREF _Toc25327 \h </w:instrText>
      </w:r>
      <w:r>
        <w:rPr>
          <w:sz w:val="24"/>
          <w:szCs w:val="24"/>
        </w:rPr>
        <w:fldChar w:fldCharType="separate"/>
      </w:r>
      <w:r>
        <w:rPr>
          <w:sz w:val="24"/>
          <w:szCs w:val="24"/>
        </w:rPr>
        <w:t>- 9 -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_Toc7572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第五篇  投标人须知</w:t>
      </w:r>
      <w:r>
        <w:rPr>
          <w:sz w:val="24"/>
          <w:szCs w:val="24"/>
        </w:rPr>
        <w:tab/>
      </w:r>
      <w:r>
        <w:rPr>
          <w:sz w:val="24"/>
          <w:szCs w:val="24"/>
        </w:rPr>
        <w:fldChar w:fldCharType="begin"/>
      </w:r>
      <w:r>
        <w:rPr>
          <w:sz w:val="24"/>
          <w:szCs w:val="24"/>
        </w:rPr>
        <w:instrText xml:space="preserve"> PAGEREF _Toc7572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_Toc9364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费用</w:t>
      </w:r>
      <w:r>
        <w:rPr>
          <w:sz w:val="24"/>
          <w:szCs w:val="24"/>
        </w:rPr>
        <w:tab/>
      </w:r>
      <w:r>
        <w:rPr>
          <w:sz w:val="24"/>
          <w:szCs w:val="24"/>
        </w:rPr>
        <w:fldChar w:fldCharType="begin"/>
      </w:r>
      <w:r>
        <w:rPr>
          <w:sz w:val="24"/>
          <w:szCs w:val="24"/>
        </w:rPr>
        <w:instrText xml:space="preserve"> PAGEREF _Toc9364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_Toc20281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w:t>
      </w:r>
      <w:r>
        <w:rPr>
          <w:sz w:val="24"/>
          <w:szCs w:val="24"/>
        </w:rPr>
        <w:tab/>
      </w:r>
      <w:r>
        <w:rPr>
          <w:sz w:val="24"/>
          <w:szCs w:val="24"/>
        </w:rPr>
        <w:fldChar w:fldCharType="begin"/>
      </w:r>
      <w:r>
        <w:rPr>
          <w:sz w:val="24"/>
          <w:szCs w:val="24"/>
        </w:rPr>
        <w:instrText xml:space="preserve"> PAGEREF _Toc20281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_Toc8971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三、比选要求</w:t>
      </w:r>
      <w:r>
        <w:rPr>
          <w:sz w:val="24"/>
          <w:szCs w:val="24"/>
        </w:rPr>
        <w:tab/>
      </w:r>
      <w:r>
        <w:rPr>
          <w:sz w:val="24"/>
          <w:szCs w:val="24"/>
        </w:rPr>
        <w:fldChar w:fldCharType="begin"/>
      </w:r>
      <w:r>
        <w:rPr>
          <w:sz w:val="24"/>
          <w:szCs w:val="24"/>
        </w:rPr>
        <w:instrText xml:space="preserve"> PAGEREF _Toc8971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_Toc13378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四、成交供应商的确认和变更</w:t>
      </w:r>
      <w:r>
        <w:rPr>
          <w:sz w:val="24"/>
          <w:szCs w:val="24"/>
        </w:rPr>
        <w:tab/>
      </w:r>
      <w:r>
        <w:rPr>
          <w:sz w:val="24"/>
          <w:szCs w:val="24"/>
        </w:rPr>
        <w:fldChar w:fldCharType="begin"/>
      </w:r>
      <w:r>
        <w:rPr>
          <w:sz w:val="24"/>
          <w:szCs w:val="24"/>
        </w:rPr>
        <w:instrText xml:space="preserve"> PAGEREF _Toc13378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_Toc712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sz w:val="24"/>
          <w:szCs w:val="24"/>
        </w:rPr>
        <w:tab/>
      </w:r>
      <w:r>
        <w:rPr>
          <w:sz w:val="24"/>
          <w:szCs w:val="24"/>
        </w:rPr>
        <w:fldChar w:fldCharType="begin"/>
      </w:r>
      <w:r>
        <w:rPr>
          <w:sz w:val="24"/>
          <w:szCs w:val="24"/>
        </w:rPr>
        <w:instrText xml:space="preserve"> PAGEREF _Toc712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_Toc22564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六、质疑处理</w:t>
      </w:r>
      <w:r>
        <w:rPr>
          <w:sz w:val="24"/>
          <w:szCs w:val="24"/>
        </w:rPr>
        <w:tab/>
      </w:r>
      <w:r>
        <w:rPr>
          <w:sz w:val="24"/>
          <w:szCs w:val="24"/>
        </w:rPr>
        <w:fldChar w:fldCharType="begin"/>
      </w:r>
      <w:r>
        <w:rPr>
          <w:sz w:val="24"/>
          <w:szCs w:val="24"/>
        </w:rPr>
        <w:instrText xml:space="preserve"> PAGEREF _Toc22564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_Toc32500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sz w:val="24"/>
          <w:szCs w:val="24"/>
        </w:rPr>
        <w:tab/>
      </w:r>
      <w:r>
        <w:rPr>
          <w:sz w:val="24"/>
          <w:szCs w:val="24"/>
        </w:rPr>
        <w:fldChar w:fldCharType="begin"/>
      </w:r>
      <w:r>
        <w:rPr>
          <w:sz w:val="24"/>
          <w:szCs w:val="24"/>
        </w:rPr>
        <w:instrText xml:space="preserve"> PAGEREF _Toc32500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_Toc6345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第六篇  响应文件编制要求</w:t>
      </w:r>
      <w:r>
        <w:rPr>
          <w:sz w:val="24"/>
          <w:szCs w:val="24"/>
        </w:rPr>
        <w:tab/>
      </w:r>
      <w:r>
        <w:rPr>
          <w:sz w:val="24"/>
          <w:szCs w:val="24"/>
        </w:rPr>
        <w:fldChar w:fldCharType="begin"/>
      </w:r>
      <w:r>
        <w:rPr>
          <w:sz w:val="24"/>
          <w:szCs w:val="24"/>
        </w:rPr>
        <w:instrText xml:space="preserve"> PAGEREF _Toc6345 \h </w:instrText>
      </w:r>
      <w:r>
        <w:rPr>
          <w:sz w:val="24"/>
          <w:szCs w:val="24"/>
        </w:rPr>
        <w:fldChar w:fldCharType="separate"/>
      </w:r>
      <w:r>
        <w:rPr>
          <w:sz w:val="24"/>
          <w:szCs w:val="24"/>
        </w:rPr>
        <w:t>- 13 -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_Toc22447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sz w:val="24"/>
          <w:szCs w:val="24"/>
        </w:rPr>
        <w:tab/>
      </w:r>
      <w:r>
        <w:rPr>
          <w:sz w:val="24"/>
          <w:szCs w:val="24"/>
        </w:rPr>
        <w:fldChar w:fldCharType="begin"/>
      </w:r>
      <w:r>
        <w:rPr>
          <w:sz w:val="24"/>
          <w:szCs w:val="24"/>
        </w:rPr>
        <w:instrText xml:space="preserve"> PAGEREF _Toc22447 \h </w:instrText>
      </w:r>
      <w:r>
        <w:rPr>
          <w:sz w:val="24"/>
          <w:szCs w:val="24"/>
        </w:rPr>
        <w:fldChar w:fldCharType="separate"/>
      </w:r>
      <w:r>
        <w:rPr>
          <w:sz w:val="24"/>
          <w:szCs w:val="24"/>
        </w:rPr>
        <w:t>- 15 -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_Toc4162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sz w:val="24"/>
          <w:szCs w:val="24"/>
        </w:rPr>
        <w:tab/>
      </w:r>
      <w:r>
        <w:rPr>
          <w:sz w:val="24"/>
          <w:szCs w:val="24"/>
        </w:rPr>
        <w:fldChar w:fldCharType="begin"/>
      </w:r>
      <w:r>
        <w:rPr>
          <w:sz w:val="24"/>
          <w:szCs w:val="24"/>
        </w:rPr>
        <w:instrText xml:space="preserve"> PAGEREF _Toc4162 \h </w:instrText>
      </w:r>
      <w:r>
        <w:rPr>
          <w:sz w:val="24"/>
          <w:szCs w:val="24"/>
        </w:rPr>
        <w:fldChar w:fldCharType="separate"/>
      </w:r>
      <w:r>
        <w:rPr>
          <w:sz w:val="24"/>
          <w:szCs w:val="24"/>
        </w:rPr>
        <w:t>- 17 -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_Toc30571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sz w:val="24"/>
          <w:szCs w:val="24"/>
        </w:rPr>
        <w:tab/>
      </w:r>
      <w:r>
        <w:rPr>
          <w:sz w:val="24"/>
          <w:szCs w:val="24"/>
        </w:rPr>
        <w:fldChar w:fldCharType="begin"/>
      </w:r>
      <w:r>
        <w:rPr>
          <w:sz w:val="24"/>
          <w:szCs w:val="24"/>
        </w:rPr>
        <w:instrText xml:space="preserve"> PAGEREF _Toc30571 \h </w:instrText>
      </w:r>
      <w:r>
        <w:rPr>
          <w:sz w:val="24"/>
          <w:szCs w:val="24"/>
        </w:rPr>
        <w:fldChar w:fldCharType="separate"/>
      </w:r>
      <w:r>
        <w:rPr>
          <w:sz w:val="24"/>
          <w:szCs w:val="24"/>
        </w:rPr>
        <w:t>- 19 -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_Toc32054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sz w:val="24"/>
          <w:szCs w:val="24"/>
        </w:rPr>
        <w:tab/>
      </w:r>
      <w:r>
        <w:rPr>
          <w:sz w:val="24"/>
          <w:szCs w:val="24"/>
        </w:rPr>
        <w:fldChar w:fldCharType="begin"/>
      </w:r>
      <w:r>
        <w:rPr>
          <w:sz w:val="24"/>
          <w:szCs w:val="24"/>
        </w:rPr>
        <w:instrText xml:space="preserve"> PAGEREF _Toc32054 \h </w:instrText>
      </w:r>
      <w:r>
        <w:rPr>
          <w:sz w:val="24"/>
          <w:szCs w:val="24"/>
        </w:rPr>
        <w:fldChar w:fldCharType="separate"/>
      </w:r>
      <w:r>
        <w:rPr>
          <w:sz w:val="24"/>
          <w:szCs w:val="24"/>
        </w:rPr>
        <w:t>- 21 -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_Toc12335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sz w:val="24"/>
          <w:szCs w:val="24"/>
        </w:rPr>
        <w:tab/>
      </w:r>
      <w:r>
        <w:rPr>
          <w:sz w:val="24"/>
          <w:szCs w:val="24"/>
        </w:rPr>
        <w:fldChar w:fldCharType="begin"/>
      </w:r>
      <w:r>
        <w:rPr>
          <w:sz w:val="24"/>
          <w:szCs w:val="24"/>
        </w:rPr>
        <w:instrText xml:space="preserve"> PAGEREF _Toc12335 \h </w:instrText>
      </w:r>
      <w:r>
        <w:rPr>
          <w:sz w:val="24"/>
          <w:szCs w:val="24"/>
        </w:rPr>
        <w:fldChar w:fldCharType="separate"/>
      </w:r>
      <w:r>
        <w:rPr>
          <w:sz w:val="24"/>
          <w:szCs w:val="24"/>
        </w:rPr>
        <w:t>- 27 -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 w:val="24"/>
          <w:szCs w:val="24"/>
        </w:rPr>
        <w:fldChar w:fldCharType="end"/>
      </w:r>
    </w:p>
    <w:p>
      <w:pPr>
        <w:pStyle w:val="4"/>
        <w:spacing w:before="200" w:after="200" w:line="240" w:lineRule="auto"/>
        <w:jc w:val="center"/>
        <w:rPr>
          <w:rFonts w:hint="eastAsia" w:ascii="微软雅黑" w:hAnsi="微软雅黑" w:eastAsia="微软雅黑" w:cs="微软雅黑"/>
          <w:sz w:val="44"/>
        </w:rPr>
      </w:pPr>
      <w:bookmarkStart w:id="0" w:name="_Toc106030870"/>
      <w:bookmarkStart w:id="1" w:name="_Toc7678"/>
      <w:bookmarkStart w:id="2" w:name="_Toc12789052"/>
      <w:bookmarkStart w:id="3" w:name="_Toc11641050"/>
      <w:bookmarkStart w:id="4" w:name="_Toc76462316"/>
      <w:bookmarkStart w:id="5" w:name="_Toc24037"/>
      <w:r>
        <w:rPr>
          <w:rFonts w:hint="eastAsia" w:ascii="微软雅黑" w:hAnsi="微软雅黑" w:eastAsia="微软雅黑" w:cs="微软雅黑"/>
          <w:sz w:val="44"/>
        </w:rPr>
        <w:t>第一篇  采购邀请书</w:t>
      </w:r>
      <w:bookmarkEnd w:id="0"/>
      <w:bookmarkEnd w:id="1"/>
      <w:bookmarkEnd w:id="2"/>
      <w:bookmarkEnd w:id="3"/>
      <w:bookmarkEnd w:id="4"/>
      <w:bookmarkEnd w:id="5"/>
    </w:p>
    <w:p>
      <w:pPr>
        <w:spacing w:line="360" w:lineRule="auto"/>
        <w:ind w:firstLine="480" w:firstLineChars="200"/>
        <w:outlineLvl w:val="0"/>
        <w:rPr>
          <w:rFonts w:hint="eastAsia" w:ascii="微软雅黑" w:hAnsi="微软雅黑" w:eastAsia="微软雅黑" w:cs="微软雅黑"/>
          <w:sz w:val="24"/>
          <w:szCs w:val="24"/>
        </w:rPr>
      </w:pPr>
      <w:r>
        <w:rPr>
          <w:rFonts w:hint="eastAsia" w:ascii="微软雅黑" w:hAnsi="微软雅黑" w:eastAsia="微软雅黑" w:cs="微软雅黑"/>
          <w:sz w:val="24"/>
          <w:szCs w:val="24"/>
        </w:rPr>
        <w:t>重庆医科大学附属儿童医院对</w:t>
      </w:r>
      <w:r>
        <w:rPr>
          <w:rFonts w:hint="eastAsia" w:ascii="微软雅黑" w:hAnsi="微软雅黑" w:eastAsia="微软雅黑" w:cs="微软雅黑"/>
          <w:sz w:val="24"/>
          <w:szCs w:val="24"/>
          <w:u w:val="single"/>
          <w:lang w:val="en-US" w:eastAsia="zh-CN"/>
        </w:rPr>
        <w:t>辐照生物敷料</w:t>
      </w:r>
      <w:r>
        <w:rPr>
          <w:rFonts w:hint="eastAsia" w:ascii="微软雅黑" w:hAnsi="微软雅黑" w:eastAsia="微软雅黑" w:cs="微软雅黑"/>
          <w:sz w:val="24"/>
          <w:szCs w:val="24"/>
        </w:rPr>
        <w:t>项目进行</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采购。欢迎有资格的投标人前来参与。</w:t>
      </w:r>
    </w:p>
    <w:p>
      <w:pPr>
        <w:pStyle w:val="4"/>
        <w:numPr>
          <w:ilvl w:val="0"/>
          <w:numId w:val="14"/>
        </w:numPr>
        <w:adjustRightInd w:val="0"/>
        <w:snapToGrid w:val="0"/>
        <w:spacing w:before="0" w:after="0" w:line="400" w:lineRule="exact"/>
        <w:rPr>
          <w:rFonts w:hint="eastAsia" w:ascii="微软雅黑" w:hAnsi="微软雅黑" w:eastAsia="微软雅黑" w:cs="微软雅黑"/>
          <w:sz w:val="24"/>
        </w:rPr>
      </w:pPr>
      <w:bookmarkStart w:id="6" w:name="_Toc76462317"/>
      <w:bookmarkStart w:id="7" w:name="_Toc18148"/>
      <w:bookmarkStart w:id="8" w:name="_Toc106030871"/>
      <w:bookmarkStart w:id="9" w:name="_Toc313893526"/>
      <w:bookmarkStart w:id="10" w:name="_Toc317775175"/>
      <w:bookmarkStart w:id="11" w:name="_Toc3856"/>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采购内容</w:t>
      </w:r>
      <w:bookmarkEnd w:id="6"/>
      <w:bookmarkEnd w:id="7"/>
      <w:bookmarkEnd w:id="8"/>
      <w:bookmarkEnd w:id="9"/>
      <w:bookmarkEnd w:id="10"/>
      <w:bookmarkEnd w:id="11"/>
    </w:p>
    <w:tbl>
      <w:tblPr>
        <w:tblStyle w:val="58"/>
        <w:tblW w:w="42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2911"/>
        <w:gridCol w:w="1486"/>
        <w:gridCol w:w="2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6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12" w:name="_Toc106030872"/>
            <w:bookmarkStart w:id="13" w:name="_Toc76462318"/>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811"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92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1299" w:type="pct"/>
            <w:tcBorders>
              <w:top w:val="single" w:color="auto" w:sz="4" w:space="0"/>
              <w:left w:val="single" w:color="auto" w:sz="4" w:space="0"/>
              <w:right w:val="single" w:color="auto" w:sz="4" w:space="0"/>
            </w:tcBorders>
            <w:vAlign w:val="center"/>
          </w:tcPr>
          <w:p>
            <w:pPr>
              <w:widowControl/>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中标单位数量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64"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kern w:val="0"/>
                <w:sz w:val="18"/>
                <w:szCs w:val="18"/>
                <w:lang w:val="en-US" w:eastAsia="zh-CN"/>
              </w:rPr>
            </w:pPr>
            <w:r>
              <w:rPr>
                <w:rFonts w:hint="eastAsia" w:ascii="微软雅黑" w:hAnsi="微软雅黑" w:eastAsia="微软雅黑" w:cs="微软雅黑"/>
                <w:b w:val="0"/>
                <w:bCs/>
                <w:color w:val="333333"/>
                <w:kern w:val="0"/>
                <w:sz w:val="18"/>
                <w:szCs w:val="18"/>
                <w:lang w:val="en-US" w:eastAsia="zh-CN"/>
              </w:rPr>
              <w:t>YSB260200</w:t>
            </w:r>
          </w:p>
        </w:tc>
        <w:tc>
          <w:tcPr>
            <w:tcW w:w="181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18"/>
                <w:szCs w:val="18"/>
                <w:lang w:eastAsia="zh-CN"/>
              </w:rPr>
            </w:pPr>
            <w:r>
              <w:rPr>
                <w:rFonts w:hint="eastAsia" w:ascii="微软雅黑" w:hAnsi="微软雅黑" w:eastAsia="微软雅黑" w:cs="微软雅黑"/>
                <w:b w:val="0"/>
                <w:bCs/>
                <w:color w:val="333333"/>
                <w:kern w:val="0"/>
                <w:sz w:val="18"/>
                <w:szCs w:val="18"/>
                <w:lang w:val="en-US" w:eastAsia="zh-CN"/>
              </w:rPr>
              <w:t>辐照生物敷料</w:t>
            </w:r>
          </w:p>
        </w:tc>
        <w:tc>
          <w:tcPr>
            <w:tcW w:w="92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18"/>
                <w:szCs w:val="18"/>
              </w:rPr>
            </w:pPr>
            <w:r>
              <w:rPr>
                <w:rFonts w:hint="eastAsia" w:ascii="微软雅黑" w:hAnsi="微软雅黑" w:eastAsia="微软雅黑" w:cs="微软雅黑"/>
                <w:b w:val="0"/>
                <w:bCs/>
                <w:color w:val="333333"/>
                <w:kern w:val="0"/>
                <w:sz w:val="18"/>
                <w:szCs w:val="18"/>
                <w:lang w:val="en-US" w:eastAsia="zh-CN"/>
              </w:rPr>
              <w:t>2000</w:t>
            </w:r>
          </w:p>
        </w:tc>
        <w:tc>
          <w:tcPr>
            <w:tcW w:w="129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18"/>
                <w:szCs w:val="18"/>
                <w:lang w:val="en-US" w:eastAsia="zh-CN"/>
              </w:rPr>
            </w:pPr>
            <w:r>
              <w:rPr>
                <w:rFonts w:hint="eastAsia" w:ascii="微软雅黑" w:hAnsi="微软雅黑" w:eastAsia="微软雅黑" w:cs="微软雅黑"/>
                <w:b w:val="0"/>
                <w:bCs/>
                <w:color w:val="333333"/>
                <w:kern w:val="0"/>
                <w:sz w:val="18"/>
                <w:szCs w:val="18"/>
                <w:lang w:val="en-US" w:eastAsia="zh-CN"/>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30460"/>
      <w:r>
        <w:rPr>
          <w:rFonts w:hint="eastAsia" w:ascii="微软雅黑" w:hAnsi="微软雅黑" w:eastAsia="微软雅黑" w:cs="微软雅黑"/>
          <w:sz w:val="24"/>
        </w:rPr>
        <w:t>二、</w:t>
      </w:r>
      <w:bookmarkEnd w:id="12"/>
      <w:bookmarkEnd w:id="13"/>
      <w:bookmarkEnd w:id="16"/>
      <w:bookmarkStart w:id="18" w:name="_Toc76462319"/>
      <w:bookmarkStart w:id="19" w:name="_Toc106030873"/>
      <w:bookmarkStart w:id="20" w:name="_Toc4480"/>
      <w:r>
        <w:rPr>
          <w:rFonts w:hint="eastAsia" w:ascii="微软雅黑" w:hAnsi="微软雅黑" w:eastAsia="微软雅黑" w:cs="微软雅黑"/>
          <w:sz w:val="24"/>
        </w:rPr>
        <w:t>投标人资格条件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bookmarkStart w:id="21" w:name="_Toc76462320"/>
      <w:bookmarkStart w:id="22" w:name="_Toc27954"/>
      <w:bookmarkStart w:id="23" w:name="_Toc106030874"/>
    </w:p>
    <w:p>
      <w:pPr>
        <w:spacing w:line="400" w:lineRule="exact"/>
        <w:ind w:firstLine="480" w:firstLineChars="200"/>
        <w:rPr>
          <w:rFonts w:hint="eastAsia" w:ascii="微软雅黑" w:hAnsi="微软雅黑" w:eastAsia="微软雅黑" w:cs="微软雅黑"/>
          <w:sz w:val="24"/>
          <w:szCs w:val="24"/>
        </w:rPr>
      </w:pPr>
      <w:bookmarkStart w:id="24" w:name="_Toc5002"/>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投标人为所投标产品制造商或经销商。若为经销商投标，须具备投标产品制造商或制造商中国境内代表机构认可的经销资格；</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投标人医疗器械经营许可证；</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生产企业的医疗器械生产企业许可证和生产目录表；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所投产品属三类医疗器械的，须具备有效期内《医疗器械经营企业许可证》或《医疗器械经营许可证》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所提供产品属二类医疗器械的，须具备有效期内《医疗器械经营企业许可证》或《第二类医疗器械经营备案凭证》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6</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所提供产品属一类医疗器械的，须具有所提供产品《第一类医疗器械备案凭证》及《第一类医疗器械备案信息表》</w:t>
      </w:r>
      <w:r>
        <w:rPr>
          <w:rFonts w:hint="eastAsia" w:ascii="微软雅黑" w:hAnsi="微软雅黑" w:eastAsia="微软雅黑" w:cs="微软雅黑"/>
          <w:sz w:val="24"/>
          <w:szCs w:val="24"/>
          <w:lang w:val="en-US" w:eastAsia="zh-CN"/>
        </w:rPr>
        <w:t>及产品备案证明</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7.投标人须提供在有效期内的注册证，若投标日注册证有效期少于3个月，须提供国家药品监督管理局接受变更注册证的回执及其他能证明正在变更注册证的文件；</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8.投标人须提供投标产品的说明书。</w:t>
      </w:r>
    </w:p>
    <w:p>
      <w:pPr>
        <w:pStyle w:val="4"/>
        <w:adjustRightInd w:val="0"/>
        <w:snapToGrid w:val="0"/>
        <w:spacing w:before="0" w:after="0" w:line="400" w:lineRule="exact"/>
        <w:ind w:firstLine="480" w:firstLineChars="200"/>
        <w:rPr>
          <w:rFonts w:hint="eastAsia" w:ascii="微软雅黑" w:hAnsi="微软雅黑" w:eastAsia="微软雅黑" w:cs="微软雅黑"/>
          <w:sz w:val="24"/>
          <w:lang w:eastAsia="zh-CN"/>
        </w:rPr>
      </w:pPr>
      <w:r>
        <w:rPr>
          <w:rFonts w:hint="eastAsia" w:ascii="微软雅黑" w:hAnsi="微软雅黑" w:eastAsia="微软雅黑" w:cs="微软雅黑"/>
          <w:sz w:val="24"/>
          <w:lang w:eastAsia="zh-CN"/>
        </w:rPr>
        <w:t>三、比选有关说明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采购的投标人，请在重庆医科大学附属儿童医院电子招投标平台下载本项目</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采购文件以及其他所有项目资料，无论投标人下载与否，均视为已知晓所有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采购实质性要求内容。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106034625"/>
      <w:bookmarkStart w:id="26" w:name="_Toc525047161"/>
      <w:bookmarkStart w:id="27" w:name="_Toc6178"/>
      <w:bookmarkStart w:id="28" w:name="_Toc65660334"/>
      <w:bookmarkStart w:id="29" w:name="_Toc11956"/>
      <w:bookmarkStart w:id="30" w:name="_Toc521053053"/>
      <w:bookmarkStart w:id="31" w:name="_Toc28629"/>
      <w:bookmarkStart w:id="32" w:name="_Toc12841"/>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1.投标人应足额交纳保证金（保证金金额详见本篇，一、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（二）保证金退还方式</w:t>
      </w:r>
    </w:p>
    <w:p>
      <w:pPr>
        <w:snapToGrid w:val="0"/>
        <w:spacing w:line="400" w:lineRule="exact"/>
        <w:ind w:firstLine="480" w:firstLineChars="200"/>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1.未成交供应商的保证金，在中标通知书发放后</w:t>
      </w:r>
      <w:r>
        <w:rPr>
          <w:rFonts w:hint="eastAsia" w:ascii="微软雅黑" w:hAnsi="微软雅黑" w:eastAsia="微软雅黑" w:cs="微软雅黑"/>
          <w:color w:val="auto"/>
          <w:sz w:val="24"/>
          <w:szCs w:val="24"/>
          <w:u w:val="single"/>
          <w:lang w:val="en-US" w:eastAsia="zh-CN"/>
        </w:rPr>
        <w:t>60</w:t>
      </w:r>
      <w:r>
        <w:rPr>
          <w:rFonts w:hint="eastAsia" w:ascii="微软雅黑" w:hAnsi="微软雅黑" w:eastAsia="微软雅黑" w:cs="微软雅黑"/>
          <w:color w:val="auto"/>
          <w:sz w:val="24"/>
          <w:szCs w:val="24"/>
          <w:u w:val="single"/>
        </w:rPr>
        <w:t>个工作日内退还至项目报名时所填写指定的投标单位对公账户。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u w:val="single"/>
        </w:rPr>
        <w:t>2.成交供应商的保证金，将在与我院完成签订本项目合同并提交</w:t>
      </w:r>
      <w:r>
        <w:rPr>
          <w:rFonts w:hint="eastAsia" w:ascii="微软雅黑" w:hAnsi="微软雅黑" w:eastAsia="微软雅黑" w:cs="微软雅黑"/>
          <w:color w:val="auto"/>
          <w:sz w:val="24"/>
          <w:szCs w:val="24"/>
          <w:u w:val="single"/>
          <w:lang w:eastAsia="zh-CN"/>
        </w:rPr>
        <w:t>采购管理处</w:t>
      </w:r>
      <w:r>
        <w:rPr>
          <w:rFonts w:hint="eastAsia" w:ascii="微软雅黑" w:hAnsi="微软雅黑" w:eastAsia="微软雅黑" w:cs="微软雅黑"/>
          <w:color w:val="auto"/>
          <w:sz w:val="24"/>
          <w:szCs w:val="24"/>
          <w:u w:val="single"/>
        </w:rPr>
        <w:t>（将合同扫描文件发送至zbb63632469@qq.com）之后</w:t>
      </w:r>
      <w:r>
        <w:rPr>
          <w:rFonts w:hint="eastAsia" w:ascii="微软雅黑" w:hAnsi="微软雅黑" w:eastAsia="微软雅黑" w:cs="微软雅黑"/>
          <w:color w:val="auto"/>
          <w:sz w:val="24"/>
          <w:szCs w:val="24"/>
          <w:u w:val="single"/>
          <w:lang w:val="en-US" w:eastAsia="zh-CN"/>
        </w:rPr>
        <w:t>60</w:t>
      </w:r>
      <w:r>
        <w:rPr>
          <w:rFonts w:hint="eastAsia" w:ascii="微软雅黑" w:hAnsi="微软雅黑" w:eastAsia="微软雅黑" w:cs="微软雅黑"/>
          <w:color w:val="auto"/>
          <w:sz w:val="24"/>
          <w:szCs w:val="24"/>
          <w:u w:val="single"/>
        </w:rPr>
        <w:t>个工作日内，无息退还至项目报名时所填写的投标单位对公账户。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65660335"/>
      <w:bookmarkStart w:id="34" w:name="_Toc2945"/>
      <w:bookmarkStart w:id="35" w:name="_Toc106034626"/>
      <w:bookmarkStart w:id="36" w:name="_Toc4355"/>
      <w:bookmarkStart w:id="37" w:name="_Toc521053054"/>
      <w:bookmarkStart w:id="38" w:name="_Toc525047162"/>
      <w:bookmarkStart w:id="39" w:name="_Toc1546"/>
      <w:bookmarkStart w:id="40" w:name="_Toc23490"/>
      <w:r>
        <w:rPr>
          <w:rFonts w:hint="eastAsia" w:ascii="微软雅黑" w:hAnsi="微软雅黑" w:eastAsia="微软雅黑" w:cs="微软雅黑"/>
          <w:sz w:val="24"/>
        </w:rPr>
        <w:t>五、</w:t>
      </w:r>
      <w:bookmarkEnd w:id="33"/>
      <w:bookmarkEnd w:id="34"/>
      <w:bookmarkEnd w:id="35"/>
      <w:bookmarkEnd w:id="36"/>
      <w:bookmarkEnd w:id="37"/>
      <w:bookmarkEnd w:id="38"/>
      <w:bookmarkStart w:id="41" w:name="_Toc521053055"/>
      <w:bookmarkStart w:id="42" w:name="_Toc106034627"/>
      <w:bookmarkStart w:id="43" w:name="_Toc65660336"/>
      <w:bookmarkStart w:id="44" w:name="_Toc525047163"/>
      <w:bookmarkStart w:id="45" w:name="_Toc6563"/>
      <w:bookmarkStart w:id="46" w:name="_Toc16269"/>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所作出的一切书面通知、修改、补充说明、答疑等内容，都是</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采购文件有任何实质性疑问，应当以书面形式向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提出质疑，并须将该质疑文件纸质版（须加盖提出质疑单位的公章确认）在投标截止时间前送达重庆医科大学附属儿童医院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，否则即视为完全放弃对本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采购文件的全部内容。如发现缺页或附件不全，应及时提出，以便补齐。如有疑问，请在投标截止日前向招标单位提出，超过此时间规定，招标单位不再受理对于</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525047164"/>
      <w:bookmarkStart w:id="48" w:name="_Toc65660337"/>
      <w:bookmarkStart w:id="49" w:name="_Toc106034628"/>
      <w:bookmarkStart w:id="50" w:name="_Toc10415"/>
      <w:bookmarkStart w:id="51" w:name="_Toc521053056"/>
      <w:bookmarkStart w:id="52" w:name="_Toc24901"/>
      <w:bookmarkStart w:id="53" w:name="_Toc1733"/>
      <w:bookmarkStart w:id="54" w:name="_Toc20454"/>
      <w:r>
        <w:rPr>
          <w:rFonts w:hint="eastAsia" w:ascii="微软雅黑" w:hAnsi="微软雅黑" w:eastAsia="微软雅黑" w:cs="微软雅黑"/>
          <w:sz w:val="24"/>
        </w:rPr>
        <w:t>六、联系方式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val="en-US"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邮  箱：zbb63632469@qq.com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304" w:bottom="1134" w:left="1304" w:header="964" w:footer="992" w:gutter="0"/>
          <w:pgNumType w:fmt="numberInDash"/>
          <w:cols w:space="720" w:num="1"/>
          <w:docGrid w:linePitch="312" w:charSpace="0"/>
        </w:sectPr>
      </w:pPr>
    </w:p>
    <w:p>
      <w:pPr>
        <w:spacing w:line="400" w:lineRule="exact"/>
        <w:rPr>
          <w:rFonts w:hint="eastAsia" w:ascii="微软雅黑" w:hAnsi="微软雅黑" w:eastAsia="微软雅黑" w:cs="微软雅黑"/>
          <w:sz w:val="24"/>
          <w:szCs w:val="24"/>
        </w:rPr>
      </w:pPr>
      <w:bookmarkStart w:id="55" w:name="_Toc12789058"/>
    </w:p>
    <w:p>
      <w:pPr>
        <w:pStyle w:val="3"/>
        <w:tabs>
          <w:tab w:val="left" w:pos="3360"/>
        </w:tabs>
        <w:spacing w:line="360" w:lineRule="auto"/>
        <w:jc w:val="center"/>
        <w:rPr>
          <w:rFonts w:hint="eastAsia" w:ascii="微软雅黑" w:hAnsi="微软雅黑" w:eastAsia="微软雅黑" w:cs="微软雅黑"/>
          <w:b/>
          <w:sz w:val="44"/>
        </w:rPr>
      </w:pPr>
      <w:bookmarkStart w:id="56" w:name="_Toc725"/>
      <w:bookmarkStart w:id="57" w:name="_Toc12959"/>
      <w:bookmarkStart w:id="58" w:name="_Toc25639"/>
      <w:bookmarkStart w:id="59" w:name="_Toc1492"/>
      <w:bookmarkStart w:id="60" w:name="_Toc23143"/>
      <w:bookmarkStart w:id="61" w:name="_Toc1625"/>
      <w:bookmarkStart w:id="62" w:name="_Toc11017"/>
      <w:bookmarkStart w:id="63" w:name="_Toc26176"/>
      <w:bookmarkStart w:id="64" w:name="_Toc8649"/>
      <w:bookmarkStart w:id="65" w:name="_Toc5461"/>
      <w:bookmarkStart w:id="66" w:name="_Toc75793504"/>
      <w:bookmarkStart w:id="67" w:name="_Toc19886"/>
      <w:bookmarkStart w:id="68" w:name="_Toc32686"/>
      <w:bookmarkStart w:id="69" w:name="_Toc2070"/>
      <w:bookmarkStart w:id="70" w:name="_Toc2422"/>
      <w:bookmarkStart w:id="71" w:name="_Toc20802"/>
      <w:bookmarkStart w:id="72" w:name="_Toc106030380"/>
      <w:r>
        <w:rPr>
          <w:rFonts w:hint="eastAsia" w:ascii="微软雅黑" w:hAnsi="微软雅黑" w:eastAsia="微软雅黑" w:cs="微软雅黑"/>
          <w:b/>
          <w:sz w:val="44"/>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微软雅黑" w:hAnsi="微软雅黑" w:eastAsia="微软雅黑" w:cs="微软雅黑"/>
          <w:b/>
          <w:sz w:val="44"/>
        </w:rPr>
        <w:t>项目技术（质量）需求</w:t>
      </w:r>
      <w:bookmarkEnd w:id="71"/>
      <w:bookmarkEnd w:id="72"/>
    </w:p>
    <w:p>
      <w:pPr>
        <w:ind w:firstLine="480" w:firstLineChars="200"/>
        <w:rPr>
          <w:rFonts w:hint="eastAsia" w:ascii="微软雅黑" w:hAnsi="微软雅黑" w:eastAsia="微软雅黑" w:cs="微软雅黑"/>
          <w:b/>
          <w:bCs/>
          <w:sz w:val="24"/>
          <w:szCs w:val="24"/>
        </w:rPr>
      </w:pPr>
      <w:bookmarkStart w:id="73" w:name="_Toc8370"/>
      <w:bookmarkStart w:id="74" w:name="_Toc29985"/>
      <w:bookmarkStart w:id="75" w:name="_Toc75793505"/>
      <w:bookmarkStart w:id="76" w:name="_Toc4913"/>
      <w:bookmarkStart w:id="77" w:name="_Toc11703"/>
      <w:bookmarkStart w:id="78" w:name="_Toc20979"/>
      <w:bookmarkStart w:id="79" w:name="_Toc23504"/>
      <w:bookmarkStart w:id="80" w:name="_Toc4531"/>
      <w:bookmarkStart w:id="81" w:name="_Toc22910"/>
      <w:bookmarkStart w:id="82" w:name="_Toc23656"/>
      <w:bookmarkStart w:id="83" w:name="_Toc9261"/>
      <w:bookmarkStart w:id="84" w:name="_Toc106030381"/>
      <w:bookmarkStart w:id="85" w:name="_Toc4519"/>
      <w:bookmarkStart w:id="86" w:name="_Toc7027"/>
      <w:bookmarkStart w:id="87" w:name="_Toc19238"/>
      <w:r>
        <w:rPr>
          <w:rFonts w:hint="eastAsia" w:ascii="微软雅黑" w:hAnsi="微软雅黑" w:eastAsia="微软雅黑" w:cs="微软雅黑"/>
          <w:b/>
          <w:bCs/>
          <w:sz w:val="24"/>
          <w:szCs w:val="24"/>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4474"/>
        <w:gridCol w:w="1905"/>
        <w:gridCol w:w="1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4474"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1905"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数量</w:t>
            </w:r>
          </w:p>
        </w:tc>
        <w:tc>
          <w:tcPr>
            <w:tcW w:w="1275" w:type="dxa"/>
            <w:vAlign w:val="center"/>
          </w:tcPr>
          <w:p>
            <w:pPr>
              <w:jc w:val="center"/>
              <w:rPr>
                <w:rFonts w:hint="eastAsia" w:ascii="微软雅黑" w:hAnsi="微软雅黑" w:eastAsia="微软雅黑" w:cs="微软雅黑"/>
                <w:b/>
                <w:sz w:val="24"/>
                <w:szCs w:val="24"/>
                <w:lang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846" w:type="dxa"/>
            <w:vAlign w:val="center"/>
          </w:tcPr>
          <w:p>
            <w:pPr>
              <w:pStyle w:val="23"/>
              <w:spacing w:line="240" w:lineRule="auto"/>
              <w:ind w:lef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b w:val="0"/>
                <w:bCs/>
                <w:color w:val="333333"/>
                <w:kern w:val="0"/>
                <w:sz w:val="21"/>
                <w:szCs w:val="21"/>
                <w:lang w:val="en-US" w:eastAsia="zh-CN" w:bidi="ar-SA"/>
              </w:rPr>
              <w:t>1</w:t>
            </w:r>
          </w:p>
        </w:tc>
        <w:tc>
          <w:tcPr>
            <w:tcW w:w="4474"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辐照生物敷料</w:t>
            </w:r>
          </w:p>
        </w:tc>
        <w:tc>
          <w:tcPr>
            <w:tcW w:w="1905"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按实结算</w:t>
            </w:r>
          </w:p>
        </w:tc>
        <w:tc>
          <w:tcPr>
            <w:tcW w:w="1275" w:type="dxa"/>
            <w:vAlign w:val="center"/>
          </w:tcPr>
          <w:p>
            <w:pPr>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eastAsia="zh-CN"/>
              </w:rPr>
              <w:t>合同期</w:t>
            </w:r>
            <w:r>
              <w:rPr>
                <w:rFonts w:hint="eastAsia" w:ascii="微软雅黑" w:hAnsi="微软雅黑" w:eastAsia="微软雅黑" w:cs="微软雅黑"/>
                <w:sz w:val="21"/>
                <w:szCs w:val="21"/>
                <w:lang w:val="en-US" w:eastAsia="zh-CN"/>
              </w:rPr>
              <w:t>3年</w:t>
            </w:r>
          </w:p>
        </w:tc>
      </w:tr>
    </w:tbl>
    <w:p>
      <w:pPr>
        <w:numPr>
          <w:ilvl w:val="0"/>
          <w:numId w:val="14"/>
        </w:numPr>
        <w:ind w:left="1200" w:leftChars="0" w:hanging="720" w:firstLineChars="0"/>
        <w:rPr>
          <w:rFonts w:hint="eastAsia" w:ascii="微软雅黑" w:hAnsi="微软雅黑" w:eastAsia="微软雅黑" w:cs="微软雅黑"/>
          <w:b/>
          <w:bCs/>
          <w:sz w:val="24"/>
          <w:szCs w:val="24"/>
        </w:rPr>
      </w:pPr>
      <w:bookmarkStart w:id="88" w:name="_Toc5751"/>
      <w:bookmarkStart w:id="89" w:name="_Toc7792"/>
      <w:bookmarkStart w:id="90" w:name="_Toc23975"/>
      <w:bookmarkStart w:id="91" w:name="_Toc32262"/>
      <w:bookmarkStart w:id="92" w:name="_Toc10143"/>
      <w:bookmarkStart w:id="93" w:name="_Toc28205"/>
      <w:bookmarkStart w:id="94" w:name="_Toc18903"/>
      <w:bookmarkStart w:id="95" w:name="_Toc106030382"/>
      <w:bookmarkStart w:id="96" w:name="_Toc26453"/>
      <w:bookmarkStart w:id="97" w:name="_Toc75793506"/>
      <w:bookmarkStart w:id="98" w:name="_Toc15696"/>
      <w:bookmarkStart w:id="99" w:name="_Toc695"/>
      <w:bookmarkStart w:id="100" w:name="_Toc21817"/>
      <w:bookmarkStart w:id="101" w:name="_Toc27067"/>
      <w:bookmarkStart w:id="102" w:name="_Toc18800"/>
      <w:bookmarkStart w:id="103" w:name="_Toc12568"/>
      <w:r>
        <w:rPr>
          <w:rFonts w:hint="eastAsia" w:ascii="微软雅黑" w:hAnsi="微软雅黑" w:eastAsia="微软雅黑" w:cs="微软雅黑"/>
          <w:b/>
          <w:bCs/>
          <w:sz w:val="24"/>
          <w:szCs w:val="24"/>
        </w:rPr>
        <w:t>项目技术需求</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辐照生物敷料</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该产品用于浅2度、深2度及其混合度烧伤创面和削痂、切痂创面区及供皮区覆盖。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2.原材料为</w:t>
      </w:r>
      <w:r>
        <w:rPr>
          <w:rFonts w:hint="eastAsia" w:ascii="微软雅黑" w:hAnsi="微软雅黑" w:eastAsia="微软雅黑" w:cs="微软雅黑"/>
          <w:sz w:val="24"/>
          <w:szCs w:val="24"/>
        </w:rPr>
        <w:t>猪皮表皮层和真皮层</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须具备抗感染能力，采用冻融脱细胞微孔辐照技术制备。</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3.厚度在0.5mm-1.0mm之间，</w:t>
      </w:r>
      <w:r>
        <w:rPr>
          <w:rFonts w:hint="eastAsia" w:ascii="微软雅黑" w:hAnsi="微软雅黑" w:eastAsia="微软雅黑" w:cs="微软雅黑"/>
          <w:sz w:val="24"/>
          <w:szCs w:val="24"/>
        </w:rPr>
        <w:t>规格</w:t>
      </w:r>
      <w:r>
        <w:rPr>
          <w:rFonts w:hint="eastAsia" w:ascii="微软雅黑" w:hAnsi="微软雅黑" w:eastAsia="微软雅黑" w:cs="微软雅黑"/>
          <w:sz w:val="24"/>
          <w:szCs w:val="24"/>
          <w:lang w:val="en-US" w:eastAsia="zh-CN"/>
        </w:rPr>
        <w:t>至少包含</w:t>
      </w:r>
      <w:r>
        <w:rPr>
          <w:rFonts w:hint="eastAsia" w:ascii="微软雅黑" w:hAnsi="微软雅黑" w:eastAsia="微软雅黑" w:cs="微软雅黑"/>
          <w:sz w:val="24"/>
          <w:szCs w:val="24"/>
        </w:rPr>
        <w:t>100平方厘米</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200平方厘米</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400平方厘米</w:t>
      </w:r>
      <w:r>
        <w:rPr>
          <w:rFonts w:hint="eastAsia" w:ascii="微软雅黑" w:hAnsi="微软雅黑" w:eastAsia="微软雅黑" w:cs="微软雅黑"/>
          <w:sz w:val="24"/>
          <w:szCs w:val="24"/>
          <w:lang w:val="en-US" w:eastAsia="zh-CN"/>
        </w:rPr>
        <w:t>等。</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w:t>
      </w:r>
      <w:r>
        <w:rPr>
          <w:rFonts w:hint="eastAsia" w:ascii="微软雅黑" w:hAnsi="微软雅黑" w:eastAsia="微软雅黑" w:cs="微软雅黑"/>
          <w:sz w:val="24"/>
          <w:szCs w:val="24"/>
        </w:rPr>
        <w:t>单件包装</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辐照灭菌。</w:t>
      </w:r>
    </w:p>
    <w:p>
      <w:pPr>
        <w:snapToGrid w:val="0"/>
        <w:spacing w:line="400" w:lineRule="exact"/>
        <w:ind w:firstLine="480" w:firstLineChars="200"/>
        <w:rPr>
          <w:rFonts w:hint="eastAsia" w:ascii="微软雅黑" w:hAnsi="微软雅黑" w:eastAsia="微软雅黑" w:cs="微软雅黑"/>
          <w:sz w:val="24"/>
          <w:szCs w:val="24"/>
          <w:lang w:val="en-US" w:eastAsia="zh-CN"/>
        </w:rPr>
      </w:pPr>
    </w:p>
    <w:p>
      <w:pPr>
        <w:snapToGrid w:val="0"/>
        <w:spacing w:line="400" w:lineRule="exact"/>
        <w:ind w:firstLine="480" w:firstLineChars="200"/>
        <w:rPr>
          <w:rFonts w:hint="eastAsia" w:ascii="微软雅黑" w:hAnsi="微软雅黑" w:eastAsia="微软雅黑" w:cs="微软雅黑"/>
          <w:sz w:val="44"/>
        </w:rPr>
      </w:pPr>
      <w:r>
        <w:rPr>
          <w:rFonts w:hint="eastAsia" w:ascii="微软雅黑" w:hAnsi="微软雅黑" w:eastAsia="微软雅黑" w:cs="微软雅黑"/>
          <w:sz w:val="24"/>
          <w:szCs w:val="24"/>
          <w:lang w:val="en-US" w:eastAsia="zh-CN"/>
        </w:rPr>
        <w:t>注：开标现场必须提供带包装的样品。</w:t>
      </w:r>
      <w:r>
        <w:rPr>
          <w:rFonts w:hint="eastAsia" w:ascii="宋体" w:hAnsi="宋体" w:eastAsia="宋体" w:cs="宋体"/>
          <w:color w:val="000000"/>
          <w:kern w:val="0"/>
          <w:sz w:val="24"/>
          <w:szCs w:val="24"/>
          <w:lang w:val="en-US" w:eastAsia="zh-CN"/>
        </w:rPr>
        <w:br w:type="page"/>
      </w:r>
      <w:bookmarkStart w:id="104" w:name="_Toc106030882"/>
      <w:bookmarkStart w:id="105" w:name="_Toc17712"/>
      <w:bookmarkStart w:id="106" w:name="_Toc7791"/>
      <w:bookmarkStart w:id="107" w:name="_Toc76462327"/>
      <w:r>
        <w:rPr>
          <w:rFonts w:hint="eastAsia" w:ascii="宋体" w:hAnsi="宋体" w:eastAsia="宋体" w:cs="宋体"/>
          <w:color w:val="000000"/>
          <w:kern w:val="0"/>
          <w:sz w:val="24"/>
          <w:szCs w:val="24"/>
          <w:lang w:val="en-US" w:eastAsia="zh-CN"/>
        </w:rPr>
        <w:t xml:space="preserve">                    </w:t>
      </w:r>
      <w:r>
        <w:rPr>
          <w:rFonts w:hint="eastAsia" w:ascii="微软雅黑" w:hAnsi="微软雅黑" w:eastAsia="微软雅黑" w:cs="微软雅黑"/>
          <w:sz w:val="44"/>
        </w:rPr>
        <w:t xml:space="preserve">第三篇  </w:t>
      </w:r>
      <w:bookmarkEnd w:id="55"/>
      <w:r>
        <w:rPr>
          <w:rFonts w:hint="eastAsia" w:ascii="微软雅黑" w:hAnsi="微软雅黑" w:eastAsia="微软雅黑" w:cs="微软雅黑"/>
          <w:sz w:val="44"/>
        </w:rPr>
        <w:t>项目商务需求</w:t>
      </w:r>
      <w:bookmarkEnd w:id="104"/>
      <w:bookmarkEnd w:id="105"/>
      <w:bookmarkEnd w:id="106"/>
      <w:bookmarkEnd w:id="107"/>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sz w:val="24"/>
                <w:szCs w:val="24"/>
              </w:rPr>
            </w:pPr>
            <w:r>
              <w:rPr>
                <w:rFonts w:hint="eastAsia" w:ascii="微软雅黑" w:hAnsi="微软雅黑" w:eastAsia="微软雅黑" w:cs="微软雅黑"/>
                <w:b/>
                <w:bCs/>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合同、</w:t>
            </w:r>
            <w:r>
              <w:rPr>
                <w:rFonts w:hint="eastAsia" w:ascii="微软雅黑" w:hAnsi="微软雅黑" w:eastAsia="微软雅黑" w:cs="微软雅黑"/>
                <w:b/>
                <w:bCs/>
                <w:sz w:val="24"/>
                <w:szCs w:val="24"/>
              </w:rPr>
              <w:t>交货时间、交货地点及验收方式</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交货期：中标人在收到采购人通知后在7个日历日内（或者在采购人临时具体书面指定天数内）将物资运到采购人指定交货地点，需提供24小时服务。</w:t>
            </w:r>
          </w:p>
          <w:p>
            <w:pPr>
              <w:pStyle w:val="2"/>
              <w:keepNext w:val="0"/>
              <w:keepLines w:val="0"/>
              <w:pageBreakBefore w:val="0"/>
              <w:kinsoku/>
              <w:wordWrap/>
              <w:overflowPunct/>
              <w:topLinePunct w:val="0"/>
              <w:autoSpaceDE/>
              <w:autoSpaceDN/>
              <w:bidi w:val="0"/>
              <w:spacing w:after="0" w:afterLines="0"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交货地点：重庆医科大学附属儿童医院设备处。</w:t>
            </w:r>
          </w:p>
          <w:p>
            <w:pPr>
              <w:pStyle w:val="242"/>
              <w:keepNext w:val="0"/>
              <w:keepLines w:val="0"/>
              <w:pageBreakBefore w:val="0"/>
              <w:numPr>
                <w:ilvl w:val="0"/>
                <w:numId w:val="0"/>
              </w:numPr>
              <w:kinsoku/>
              <w:wordWrap/>
              <w:overflowPunct/>
              <w:topLinePunct w:val="0"/>
              <w:autoSpaceDE/>
              <w:autoSpaceDN/>
              <w:bidi w:val="0"/>
              <w:spacing w:after="0" w:line="240" w:lineRule="auto"/>
              <w:ind w:leftChars="0"/>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验收方式：现场抽样开箱验收。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质量保证及售后服务</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1.中标后若出现断供或发生Ⅱ级不良事件，自动取消该产品的供货资格；</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2.售后及时(24小时到现场提供解决方案)，收到供应宝订单须3日之内响应订单并及时配送；</w:t>
            </w:r>
          </w:p>
          <w:p>
            <w:pPr>
              <w:pStyle w:val="2"/>
              <w:keepNext w:val="0"/>
              <w:keepLines w:val="0"/>
              <w:pageBreakBefore w:val="0"/>
              <w:kinsoku/>
              <w:wordWrap/>
              <w:overflowPunct/>
              <w:topLinePunct w:val="0"/>
              <w:autoSpaceDE/>
              <w:autoSpaceDN/>
              <w:bidi w:val="0"/>
              <w:spacing w:after="0" w:afterLines="0"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3.免费提供本试剂校准及验证等配套服务。</w:t>
            </w:r>
            <w:bookmarkStart w:id="192" w:name="_GoBack"/>
            <w:bookmarkEnd w:id="192"/>
            <w:r>
              <w:rPr>
                <w:rFonts w:hint="eastAsia" w:ascii="微软雅黑" w:hAnsi="微软雅黑" w:eastAsia="微软雅黑" w:cs="微软雅黑"/>
                <w:kern w:val="2"/>
                <w:sz w:val="21"/>
                <w:szCs w:val="21"/>
                <w:lang w:val="en-US" w:eastAsia="zh-CN" w:bidi="ar-SA"/>
              </w:rPr>
              <w:t>（如果有）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报价要求</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default"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1.该项目可在投标现场进行二次报价。</w:t>
            </w:r>
          </w:p>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2.该项目耗材报价须对线上及备案的单价分别报价，因成交供应商自身原因造成漏报、少报皆由其自行承担责任，采购人不再补偿。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付款方式</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每月结算一次，成交供应商每月向采购人开具上月采购金额发票和经采购方确认的结算凭证，采购人收到发票和结算凭证后2个月内以转账方式向成交供应商支付。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培训要求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投标人对其提供产品的使用和操作应尽培训义务。投标人应提供对采购人的基本免费培训，能保证使用人员能正常操作。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附件、图纸及包装要求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所有产品按照制造商规定的产品包装和随机标准附件为准。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lang w:val="en-US" w:eastAsia="zh-CN"/>
              </w:rPr>
              <w:t>知识产权</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其他</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1.投标人必须在响应文件中对以上条款和服务承诺明确列出，承诺内容必须达到本篇及协商文件其他条款的要求。</w:t>
            </w:r>
          </w:p>
          <w:p>
            <w:pPr>
              <w:pStyle w:val="144"/>
              <w:widowControl/>
              <w:adjustRightInd w:val="0"/>
              <w:snapToGrid w:val="0"/>
              <w:spacing w:line="400" w:lineRule="exact"/>
              <w:jc w:val="left"/>
              <w:rPr>
                <w:rFonts w:hint="eastAsia"/>
                <w:lang w:val="en-US" w:eastAsia="zh-CN"/>
              </w:rPr>
            </w:pPr>
            <w:r>
              <w:rPr>
                <w:rFonts w:hint="eastAsia" w:ascii="微软雅黑" w:hAnsi="微软雅黑" w:eastAsia="微软雅黑" w:cs="微软雅黑"/>
                <w:kern w:val="2"/>
                <w:sz w:val="21"/>
                <w:szCs w:val="21"/>
                <w:lang w:val="en-US" w:eastAsia="zh-CN" w:bidi="ar-SA"/>
              </w:rPr>
              <w:t>2.其他未尽事宜由供需双方在采购合同中详细约定。</w:t>
            </w:r>
          </w:p>
        </w:tc>
      </w:tr>
    </w:tbl>
    <w:p>
      <w:pPr>
        <w:rPr>
          <w:rFonts w:hint="eastAsia" w:ascii="微软雅黑" w:hAnsi="微软雅黑" w:eastAsia="微软雅黑" w:cs="微软雅黑"/>
          <w:b/>
          <w:sz w:val="44"/>
        </w:rPr>
      </w:pPr>
      <w:bookmarkStart w:id="108" w:name="_Toc76462332"/>
      <w:bookmarkStart w:id="109" w:name="_Toc106030887"/>
      <w:bookmarkStart w:id="110" w:name="_Toc6692"/>
      <w:r>
        <w:rPr>
          <w:rFonts w:hint="eastAsia" w:ascii="微软雅黑" w:hAnsi="微软雅黑" w:eastAsia="微软雅黑" w:cs="微软雅黑"/>
          <w:b/>
          <w:sz w:val="44"/>
        </w:rPr>
        <w:br w:type="page"/>
      </w:r>
    </w:p>
    <w:p>
      <w:pPr>
        <w:pStyle w:val="4"/>
        <w:spacing w:before="200" w:after="200" w:line="240" w:lineRule="auto"/>
        <w:jc w:val="center"/>
        <w:rPr>
          <w:rFonts w:hint="eastAsia" w:ascii="微软雅黑" w:hAnsi="微软雅黑" w:eastAsia="微软雅黑" w:cs="微软雅黑"/>
          <w:sz w:val="44"/>
        </w:rPr>
      </w:pPr>
      <w:bookmarkStart w:id="111" w:name="_Toc14419"/>
      <w:r>
        <w:rPr>
          <w:rFonts w:hint="eastAsia" w:ascii="微软雅黑" w:hAnsi="微软雅黑" w:eastAsia="微软雅黑" w:cs="微软雅黑"/>
          <w:sz w:val="44"/>
        </w:rPr>
        <w:t xml:space="preserve">第四篇  </w:t>
      </w:r>
      <w:r>
        <w:rPr>
          <w:rFonts w:hint="eastAsia" w:ascii="微软雅黑" w:hAnsi="微软雅黑" w:eastAsia="微软雅黑" w:cs="微软雅黑"/>
          <w:sz w:val="44"/>
          <w:lang w:eastAsia="zh-CN"/>
        </w:rPr>
        <w:t>耗材遴选</w:t>
      </w:r>
      <w:r>
        <w:rPr>
          <w:rFonts w:hint="eastAsia" w:ascii="微软雅黑" w:hAnsi="微软雅黑" w:eastAsia="微软雅黑" w:cs="微软雅黑"/>
          <w:sz w:val="44"/>
        </w:rPr>
        <w:t>采购程序及方法、评审标准、无效响应和采购终止</w:t>
      </w:r>
      <w:bookmarkEnd w:id="108"/>
      <w:bookmarkEnd w:id="109"/>
      <w:bookmarkEnd w:id="110"/>
      <w:bookmarkEnd w:id="111"/>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2" w:name="_Toc14958"/>
      <w:bookmarkStart w:id="113" w:name="_Toc76462333"/>
      <w:bookmarkStart w:id="114" w:name="_Toc3410"/>
      <w:bookmarkStart w:id="115" w:name="_Toc106030888"/>
      <w:r>
        <w:rPr>
          <w:rFonts w:hint="eastAsia" w:ascii="微软雅黑" w:hAnsi="微软雅黑" w:eastAsia="微软雅黑" w:cs="微软雅黑"/>
          <w:sz w:val="24"/>
        </w:rPr>
        <w:t>一、</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采购程序</w:t>
      </w:r>
      <w:bookmarkEnd w:id="112"/>
      <w:bookmarkEnd w:id="113"/>
      <w:bookmarkEnd w:id="114"/>
      <w:bookmarkEnd w:id="115"/>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w:t>
      </w:r>
      <w:r>
        <w:rPr>
          <w:rFonts w:hint="eastAsia" w:ascii="微软雅黑" w:hAnsi="微软雅黑" w:eastAsia="微软雅黑" w:cs="微软雅黑"/>
          <w:kern w:val="0"/>
          <w:sz w:val="24"/>
          <w:szCs w:val="24"/>
          <w:lang w:eastAsia="zh-CN"/>
        </w:rPr>
        <w:t>耗材遴选</w:t>
      </w:r>
      <w:r>
        <w:rPr>
          <w:rFonts w:hint="eastAsia" w:ascii="微软雅黑" w:hAnsi="微软雅黑" w:eastAsia="微软雅黑" w:cs="微软雅黑"/>
          <w:kern w:val="0"/>
          <w:sz w:val="24"/>
          <w:szCs w:val="24"/>
        </w:rPr>
        <w:t>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7" w:type="dxa"/>
            <w:vMerge w:val="restart"/>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（一）</w:t>
            </w:r>
          </w:p>
        </w:tc>
        <w:tc>
          <w:tcPr>
            <w:tcW w:w="891" w:type="dxa"/>
            <w:vMerge w:val="restart"/>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《中华人民共和国政府采购法》第二十二条规定</w:t>
            </w: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1.具有独立承担民事责任的能力</w:t>
            </w:r>
          </w:p>
        </w:tc>
        <w:tc>
          <w:tcPr>
            <w:tcW w:w="510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1.投标人法人营业执照（副本）或事业单位法人证书（副本）或个体工商户营业执照或有效的自然人身份证明或社会团体法人登记证书（提供复印件）。 </w:t>
            </w:r>
          </w:p>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lang w:val="zh-CN"/>
              </w:rPr>
              <w:t>2.</w:t>
            </w:r>
            <w:r>
              <w:rPr>
                <w:rFonts w:hint="eastAsia" w:ascii="微软雅黑" w:hAnsi="微软雅黑" w:eastAsia="微软雅黑" w:cs="微软雅黑"/>
                <w:szCs w:val="21"/>
              </w:rPr>
              <w:t>具有良好的商业信誉和健全的财务会计制度</w:t>
            </w:r>
          </w:p>
        </w:tc>
        <w:tc>
          <w:tcPr>
            <w:tcW w:w="5105" w:type="dxa"/>
            <w:vMerge w:val="restart"/>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3.具有履行合同所必需的设备和专业技术能力</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4.有依法缴纳税收和社会保障金的良好记录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rPr>
              <w:t>5.参加政府采购活动前三年内，在经营活动中没有重大违法记录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6.法律、行政法规规定的其他条件</w:t>
            </w:r>
          </w:p>
        </w:tc>
        <w:tc>
          <w:tcPr>
            <w:tcW w:w="5105" w:type="dxa"/>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7.本项目的特定资格要求</w:t>
            </w:r>
          </w:p>
        </w:tc>
        <w:tc>
          <w:tcPr>
            <w:tcW w:w="510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按“第一篇</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、投标人资格要求（</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（二）</w:t>
            </w:r>
          </w:p>
        </w:tc>
        <w:tc>
          <w:tcPr>
            <w:tcW w:w="891"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保证金</w:t>
            </w:r>
          </w:p>
        </w:tc>
        <w:tc>
          <w:tcPr>
            <w:tcW w:w="2815" w:type="dxa"/>
          </w:tcPr>
          <w:p>
            <w:pPr>
              <w:pStyle w:val="144"/>
              <w:spacing w:line="400" w:lineRule="exact"/>
              <w:ind w:firstLine="420" w:firstLineChars="200"/>
              <w:rPr>
                <w:rFonts w:hint="eastAsia" w:ascii="微软雅黑" w:hAnsi="微软雅黑" w:eastAsia="微软雅黑" w:cs="微软雅黑"/>
                <w:szCs w:val="21"/>
              </w:rPr>
            </w:pPr>
          </w:p>
        </w:tc>
        <w:tc>
          <w:tcPr>
            <w:tcW w:w="5105"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按照比选文件要求足额交纳保证金。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（三）</w:t>
            </w:r>
          </w:p>
        </w:tc>
        <w:tc>
          <w:tcPr>
            <w:tcW w:w="891"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IP地址</w:t>
            </w:r>
          </w:p>
        </w:tc>
        <w:tc>
          <w:tcPr>
            <w:tcW w:w="2815" w:type="dxa"/>
          </w:tcPr>
          <w:p>
            <w:pPr>
              <w:pStyle w:val="144"/>
              <w:spacing w:line="400" w:lineRule="exact"/>
              <w:ind w:firstLine="420" w:firstLineChars="200"/>
              <w:rPr>
                <w:rFonts w:hint="eastAsia" w:ascii="微软雅黑" w:hAnsi="微软雅黑" w:eastAsia="微软雅黑" w:cs="微软雅黑"/>
                <w:szCs w:val="21"/>
              </w:rPr>
            </w:pPr>
          </w:p>
        </w:tc>
        <w:tc>
          <w:tcPr>
            <w:tcW w:w="5105"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6" w:name="_Toc29068"/>
      <w:r>
        <w:rPr>
          <w:rFonts w:hint="eastAsia" w:ascii="微软雅黑" w:hAnsi="微软雅黑" w:eastAsia="微软雅黑" w:cs="微软雅黑"/>
          <w:sz w:val="24"/>
        </w:rPr>
        <w:t>二、评标方法</w:t>
      </w:r>
      <w:bookmarkEnd w:id="116"/>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bookmarkStart w:id="117" w:name="_Toc76462334"/>
      <w:bookmarkStart w:id="118" w:name="_Toc30944"/>
      <w:bookmarkStart w:id="119" w:name="_Toc106030889"/>
      <w:bookmarkStart w:id="120" w:name="_Toc102227320"/>
      <w:bookmarkStart w:id="121" w:name="_Toc342913394"/>
      <w:r>
        <w:rPr>
          <w:rFonts w:hint="eastAsia" w:ascii="微软雅黑" w:hAnsi="微软雅黑" w:eastAsia="微软雅黑" w:cs="微软雅黑"/>
          <w:kern w:val="0"/>
          <w:sz w:val="24"/>
          <w:szCs w:val="24"/>
          <w:lang w:val="en-US" w:eastAsia="zh-CN"/>
        </w:rPr>
        <w:t>1.评审小组选取满足参数及性能要求的品牌定为入围品牌。</w:t>
      </w:r>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r>
        <w:rPr>
          <w:rFonts w:hint="eastAsia" w:ascii="微软雅黑" w:hAnsi="微软雅黑" w:eastAsia="微软雅黑" w:cs="微软雅黑"/>
          <w:kern w:val="0"/>
          <w:sz w:val="24"/>
          <w:szCs w:val="24"/>
          <w:lang w:val="en-US" w:eastAsia="zh-CN"/>
        </w:rPr>
        <w:t>2.对入围品牌进行价格谈判并排序，同等条件下，低价中标。</w:t>
      </w:r>
      <w:bookmarkStart w:id="122" w:name="_Toc4078"/>
    </w:p>
    <w:p>
      <w:pPr>
        <w:pStyle w:val="4"/>
        <w:adjustRightInd w:val="0"/>
        <w:snapToGrid w:val="0"/>
        <w:spacing w:before="0" w:after="0"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三、报价方式</w:t>
      </w:r>
      <w:bookmarkEnd w:id="122"/>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bookmarkStart w:id="123" w:name="_Toc5837"/>
      <w:bookmarkStart w:id="124" w:name="_Toc13703"/>
      <w:r>
        <w:rPr>
          <w:rFonts w:hint="eastAsia" w:ascii="微软雅黑" w:hAnsi="微软雅黑" w:eastAsia="微软雅黑" w:cs="微软雅黑"/>
          <w:kern w:val="0"/>
          <w:sz w:val="24"/>
          <w:szCs w:val="24"/>
          <w:lang w:val="en-US" w:eastAsia="zh-CN"/>
        </w:rPr>
        <w:t>本项目投标人可在投标现场进行第二次报价。</w:t>
      </w:r>
      <w:bookmarkEnd w:id="123"/>
      <w:bookmarkEnd w:id="124"/>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5" w:name="_Toc23723"/>
      <w:r>
        <w:rPr>
          <w:rFonts w:hint="eastAsia" w:ascii="微软雅黑" w:hAnsi="微软雅黑" w:eastAsia="微软雅黑" w:cs="微软雅黑"/>
          <w:sz w:val="24"/>
        </w:rPr>
        <w:t>四、评审标准</w:t>
      </w:r>
      <w:bookmarkEnd w:id="117"/>
      <w:bookmarkEnd w:id="118"/>
      <w:bookmarkEnd w:id="119"/>
      <w:bookmarkEnd w:id="125"/>
    </w:p>
    <w:p>
      <w:pPr>
        <w:snapToGrid w:val="0"/>
        <w:spacing w:line="400" w:lineRule="exact"/>
        <w:ind w:firstLine="480" w:firstLineChars="200"/>
        <w:rPr>
          <w:rFonts w:hint="eastAsia" w:ascii="微软雅黑" w:hAnsi="微软雅黑" w:eastAsia="微软雅黑" w:cs="微软雅黑"/>
          <w:sz w:val="24"/>
          <w:szCs w:val="24"/>
        </w:rPr>
      </w:pPr>
      <w:bookmarkStart w:id="126" w:name="_Toc106030890"/>
      <w:bookmarkStart w:id="127" w:name="_Toc76462335"/>
      <w:bookmarkStart w:id="128" w:name="_Toc31497"/>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120"/>
    <w:bookmarkEnd w:id="121"/>
    <w:bookmarkEnd w:id="126"/>
    <w:bookmarkEnd w:id="127"/>
    <w:bookmarkEnd w:id="128"/>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9" w:name="_Toc3878"/>
      <w:bookmarkStart w:id="130" w:name="_Toc4326"/>
      <w:r>
        <w:rPr>
          <w:rFonts w:hint="eastAsia" w:ascii="微软雅黑" w:hAnsi="微软雅黑" w:eastAsia="微软雅黑" w:cs="微软雅黑"/>
          <w:sz w:val="24"/>
        </w:rPr>
        <w:t>五、无效响应</w:t>
      </w:r>
      <w:bookmarkEnd w:id="129"/>
      <w:bookmarkEnd w:id="130"/>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（二）投标人的法定代表人（或其授权代表）或自然人未在采购人规定时间内到达开标现场进行签到及提交纸质响应文件的；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（三）投标人所提交的响应文件不按“第六篇响应文件编制要求”要求签署或盖章；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（四）投标人的最后报价超过采购预算或最高限价的；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（五）法定代表人为同一个人的两个及两个以上法人，母公司、全资子公司及其控股公司，在同一包采购中同时参与比选；</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（六）单位负责人为同一人或者存在直接控股、管理关系的不同投标人，参加同一合同项下的采购活动的；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（七）为采购项目提供整体设计、规范编制或者项目管理、监理、检测等服务的投标人，再参加该采购项目的其他采购活动；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（八）投标人</w:t>
      </w:r>
      <w:r>
        <w:rPr>
          <w:rFonts w:hint="eastAsia" w:ascii="微软雅黑" w:hAnsi="微软雅黑" w:eastAsia="微软雅黑" w:cs="微软雅黑"/>
          <w:sz w:val="24"/>
          <w:szCs w:val="24"/>
          <w:lang w:val="en-US" w:eastAsia="zh-CN"/>
        </w:rPr>
        <w:t>响应文件</w:t>
      </w:r>
      <w:r>
        <w:rPr>
          <w:rFonts w:hint="eastAsia" w:ascii="微软雅黑" w:hAnsi="微软雅黑" w:eastAsia="微软雅黑" w:cs="微软雅黑"/>
          <w:sz w:val="24"/>
          <w:szCs w:val="24"/>
        </w:rPr>
        <w:t>有效期不满足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（九）投标人响应文件内容有与国家现行法律法规相违背的内容，或附有采购人无法接受的条件；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（十）法律、法规和遴选文件规定的其他无效情形。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1" w:name="_Toc10687"/>
      <w:bookmarkStart w:id="132" w:name="_Toc76462336"/>
      <w:bookmarkStart w:id="133" w:name="_Toc106030891"/>
      <w:bookmarkStart w:id="134" w:name="_Toc22602"/>
      <w:bookmarkStart w:id="135" w:name="_Toc25327"/>
      <w:r>
        <w:rPr>
          <w:rFonts w:hint="eastAsia" w:ascii="微软雅黑" w:hAnsi="微软雅黑" w:eastAsia="微软雅黑" w:cs="微软雅黑"/>
          <w:sz w:val="24"/>
        </w:rPr>
        <w:t>六、</w:t>
      </w:r>
      <w:bookmarkEnd w:id="131"/>
      <w:bookmarkEnd w:id="132"/>
      <w:bookmarkEnd w:id="133"/>
      <w:r>
        <w:rPr>
          <w:rFonts w:hint="eastAsia" w:ascii="微软雅黑" w:hAnsi="微软雅黑" w:eastAsia="微软雅黑" w:cs="微软雅黑"/>
          <w:sz w:val="24"/>
        </w:rPr>
        <w:t>废标条款</w:t>
      </w:r>
      <w:bookmarkEnd w:id="134"/>
      <w:bookmarkEnd w:id="135"/>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（三）符合</w:t>
      </w:r>
      <w:r>
        <w:rPr>
          <w:rFonts w:hint="eastAsia" w:ascii="微软雅黑" w:hAnsi="微软雅黑" w:eastAsia="微软雅黑" w:cs="微软雅黑"/>
          <w:sz w:val="24"/>
          <w:szCs w:val="24"/>
          <w:lang w:val="en-US" w:eastAsia="zh-CN"/>
        </w:rPr>
        <w:t>遴选入围</w:t>
      </w:r>
      <w:r>
        <w:rPr>
          <w:rFonts w:hint="eastAsia" w:ascii="微软雅黑" w:hAnsi="微软雅黑" w:eastAsia="微软雅黑" w:cs="微软雅黑"/>
          <w:sz w:val="24"/>
          <w:szCs w:val="24"/>
        </w:rPr>
        <w:t>要求</w:t>
      </w:r>
      <w:r>
        <w:rPr>
          <w:rFonts w:hint="eastAsia" w:ascii="微软雅黑" w:hAnsi="微软雅黑" w:eastAsia="微软雅黑" w:cs="微软雅黑"/>
          <w:sz w:val="24"/>
          <w:szCs w:val="24"/>
          <w:lang w:val="en-US" w:eastAsia="zh-CN"/>
        </w:rPr>
        <w:t>的投标人不足两家的</w:t>
      </w:r>
      <w:r>
        <w:rPr>
          <w:rFonts w:hint="eastAsia" w:ascii="微软雅黑" w:hAnsi="微软雅黑" w:eastAsia="微软雅黑" w:cs="微软雅黑"/>
          <w:sz w:val="24"/>
          <w:szCs w:val="24"/>
        </w:rPr>
        <w:t>；（挂网公示次数大于等于3次的除外）</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sz w:val="44"/>
        </w:rPr>
      </w:pPr>
      <w:bookmarkStart w:id="136" w:name="_Toc29948"/>
      <w:bookmarkStart w:id="137" w:name="_Toc7572"/>
      <w:bookmarkStart w:id="138" w:name="_Toc76462337"/>
      <w:bookmarkStart w:id="139" w:name="_Toc106030892"/>
      <w:bookmarkStart w:id="140" w:name="_Toc102227313"/>
      <w:r>
        <w:rPr>
          <w:rFonts w:hint="eastAsia" w:ascii="微软雅黑" w:hAnsi="微软雅黑" w:eastAsia="微软雅黑" w:cs="微软雅黑"/>
          <w:sz w:val="44"/>
        </w:rPr>
        <w:t>第五篇  投标人须知</w:t>
      </w:r>
      <w:bookmarkEnd w:id="136"/>
      <w:bookmarkEnd w:id="137"/>
      <w:bookmarkEnd w:id="138"/>
      <w:bookmarkEnd w:id="139"/>
      <w:bookmarkEnd w:id="140"/>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1" w:name="_Toc342913389"/>
      <w:bookmarkStart w:id="142" w:name="_Toc26717"/>
      <w:bookmarkStart w:id="143" w:name="_Toc106030893"/>
      <w:bookmarkStart w:id="144" w:name="_Toc9364"/>
      <w:bookmarkStart w:id="145" w:name="_Toc76462338"/>
      <w:r>
        <w:rPr>
          <w:rFonts w:hint="eastAsia" w:ascii="微软雅黑" w:hAnsi="微软雅黑" w:eastAsia="微软雅黑" w:cs="微软雅黑"/>
          <w:sz w:val="24"/>
        </w:rPr>
        <w:t>一、</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费用</w:t>
      </w:r>
      <w:bookmarkEnd w:id="141"/>
      <w:bookmarkEnd w:id="142"/>
      <w:bookmarkEnd w:id="143"/>
      <w:bookmarkEnd w:id="144"/>
      <w:bookmarkEnd w:id="145"/>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6" w:name="_Toc15712"/>
      <w:bookmarkStart w:id="147" w:name="_Toc106030894"/>
      <w:bookmarkStart w:id="148" w:name="_Toc76462339"/>
      <w:bookmarkStart w:id="149" w:name="_Toc20281"/>
      <w:bookmarkStart w:id="150" w:name="_Toc342913391"/>
      <w:r>
        <w:rPr>
          <w:rFonts w:hint="eastAsia" w:ascii="微软雅黑" w:hAnsi="微软雅黑" w:eastAsia="微软雅黑" w:cs="微软雅黑"/>
          <w:sz w:val="24"/>
        </w:rPr>
        <w:t>二、</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w:t>
      </w:r>
      <w:bookmarkEnd w:id="146"/>
      <w:bookmarkEnd w:id="147"/>
      <w:bookmarkEnd w:id="148"/>
      <w:bookmarkEnd w:id="149"/>
      <w:bookmarkEnd w:id="150"/>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采购文件由采购邀请书、项目服务需求、投标人须知、项目商务需求、比选程序及方法、评审标准、无效响应和采购终止、投标人须知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响应文件编制要求六部分组成。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投标人如对</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采购文件有疑问，必须以书面形式在提交响应文件截止时间2个工作日前向采购人要求澄清，采购人可视具体情况做出处理或答复。如投标人未提出疑问，视为完全理解并同意本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采购文件。一经进入比选程序，即视为投标人已详细阅读全部文件资料，完全理解</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采购文件所有条款内容并同意放弃对这方面有不明白及误解的权利。</w:t>
      </w:r>
      <w:bookmarkStart w:id="151" w:name="_Toc318159349"/>
      <w:bookmarkStart w:id="152" w:name="_Toc318166429"/>
      <w:bookmarkStart w:id="153" w:name="_Toc318159780"/>
      <w:bookmarkStart w:id="154" w:name="_Toc318159160"/>
    </w:p>
    <w:bookmarkEnd w:id="151"/>
    <w:bookmarkEnd w:id="152"/>
    <w:bookmarkEnd w:id="153"/>
    <w:bookmarkEnd w:id="154"/>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5" w:name="_Toc102227318"/>
      <w:bookmarkStart w:id="156" w:name="_Toc26007"/>
      <w:bookmarkStart w:id="157" w:name="_Toc179714297"/>
      <w:bookmarkStart w:id="158" w:name="_Toc8971"/>
      <w:bookmarkStart w:id="159" w:name="_Toc76462340"/>
      <w:bookmarkStart w:id="160" w:name="_Toc342913392"/>
      <w:bookmarkStart w:id="161" w:name="_Toc106030895"/>
      <w:r>
        <w:rPr>
          <w:rFonts w:hint="eastAsia" w:ascii="微软雅黑" w:hAnsi="微软雅黑" w:eastAsia="微软雅黑" w:cs="微软雅黑"/>
          <w:sz w:val="24"/>
        </w:rPr>
        <w:t>三、比选要求</w:t>
      </w:r>
      <w:bookmarkEnd w:id="155"/>
      <w:bookmarkEnd w:id="156"/>
      <w:bookmarkEnd w:id="157"/>
      <w:bookmarkEnd w:id="158"/>
      <w:bookmarkEnd w:id="159"/>
      <w:bookmarkEnd w:id="160"/>
      <w:bookmarkEnd w:id="16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1.投标人应当按照</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采购文件的要求编制响应文件，并对</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rPr>
        <w:t>比选小组</w:t>
      </w:r>
      <w:r>
        <w:rPr>
          <w:rFonts w:hint="eastAsia" w:ascii="微软雅黑" w:hAnsi="微软雅黑" w:eastAsia="微软雅黑" w:cs="微软雅黑"/>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（四）提交响应文件的份数和签署</w:t>
      </w:r>
    </w:p>
    <w:p>
      <w:pPr>
        <w:snapToGrid w:val="0"/>
        <w:spacing w:line="400" w:lineRule="exact"/>
        <w:ind w:firstLine="480" w:firstLineChars="20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b w:val="0"/>
          <w:bCs w:val="0"/>
          <w:color w:val="auto"/>
          <w:sz w:val="24"/>
          <w:szCs w:val="24"/>
          <w:u w:val="single"/>
        </w:rPr>
        <w:t>1.响应文件一式</w:t>
      </w:r>
      <w:r>
        <w:rPr>
          <w:rFonts w:hint="eastAsia" w:ascii="微软雅黑" w:hAnsi="微软雅黑" w:eastAsia="微软雅黑" w:cs="微软雅黑"/>
          <w:b w:val="0"/>
          <w:bCs w:val="0"/>
          <w:color w:val="auto"/>
          <w:sz w:val="24"/>
          <w:szCs w:val="24"/>
          <w:u w:val="single"/>
          <w:lang w:eastAsia="zh-CN"/>
        </w:rPr>
        <w:t>七</w:t>
      </w:r>
      <w:r>
        <w:rPr>
          <w:rFonts w:hint="eastAsia" w:ascii="微软雅黑" w:hAnsi="微软雅黑" w:eastAsia="微软雅黑" w:cs="微软雅黑"/>
          <w:b w:val="0"/>
          <w:bCs w:val="0"/>
          <w:color w:val="auto"/>
          <w:sz w:val="24"/>
          <w:szCs w:val="24"/>
          <w:u w:val="single"/>
        </w:rPr>
        <w:t>份，其中正本一份，副本</w:t>
      </w:r>
      <w:r>
        <w:rPr>
          <w:rFonts w:hint="eastAsia" w:ascii="微软雅黑" w:hAnsi="微软雅黑" w:eastAsia="微软雅黑" w:cs="微软雅黑"/>
          <w:b w:val="0"/>
          <w:bCs w:val="0"/>
          <w:color w:val="auto"/>
          <w:sz w:val="24"/>
          <w:szCs w:val="24"/>
          <w:u w:val="single"/>
          <w:lang w:eastAsia="zh-CN"/>
        </w:rPr>
        <w:t>六</w:t>
      </w:r>
      <w:r>
        <w:rPr>
          <w:rFonts w:hint="eastAsia" w:ascii="微软雅黑" w:hAnsi="微软雅黑" w:eastAsia="微软雅黑" w:cs="微软雅黑"/>
          <w:b w:val="0"/>
          <w:bCs w:val="0"/>
          <w:color w:val="auto"/>
          <w:sz w:val="24"/>
          <w:szCs w:val="24"/>
          <w:u w:val="single"/>
        </w:rPr>
        <w:t>份，电子文档一份（</w:t>
      </w:r>
      <w:r>
        <w:rPr>
          <w:rFonts w:hint="eastAsia" w:ascii="微软雅黑" w:hAnsi="微软雅黑" w:eastAsia="微软雅黑" w:cs="微软雅黑"/>
          <w:b w:val="0"/>
          <w:bCs w:val="0"/>
          <w:color w:val="auto"/>
          <w:sz w:val="24"/>
          <w:szCs w:val="24"/>
          <w:u w:val="single"/>
          <w:lang w:val="en-US" w:eastAsia="zh-CN"/>
        </w:rPr>
        <w:t>电子文档为完整的响应文件正本PDF版，须上传至</w:t>
      </w:r>
      <w:r>
        <w:rPr>
          <w:rFonts w:hint="eastAsia" w:ascii="微软雅黑" w:hAnsi="微软雅黑" w:eastAsia="微软雅黑" w:cs="微软雅黑"/>
          <w:b w:val="0"/>
          <w:bCs w:val="0"/>
          <w:color w:val="auto"/>
          <w:sz w:val="24"/>
          <w:szCs w:val="24"/>
          <w:u w:val="single"/>
        </w:rPr>
        <w:t>电子招投标平台）</w:t>
      </w:r>
      <w:r>
        <w:rPr>
          <w:rFonts w:hint="eastAsia" w:ascii="微软雅黑" w:hAnsi="微软雅黑" w:eastAsia="微软雅黑" w:cs="微软雅黑"/>
          <w:color w:val="auto"/>
          <w:sz w:val="24"/>
          <w:szCs w:val="24"/>
        </w:rPr>
        <w:t>；副本可为正本的复印件，应与正本一致，如出现不一致情况以正本为准。</w:t>
      </w:r>
      <w:r>
        <w:rPr>
          <w:rFonts w:hint="eastAsia" w:ascii="微软雅黑" w:hAnsi="微软雅黑" w:eastAsia="微软雅黑" w:cs="微软雅黑"/>
          <w:color w:val="auto"/>
          <w:sz w:val="24"/>
          <w:szCs w:val="24"/>
          <w:u w:val="single"/>
          <w:lang w:val="en-US" w:eastAsia="zh-CN"/>
        </w:rPr>
        <w:t>若电子文档与纸质响应文件内容存在实质性偏差，视为未报名成功。</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采购文件“第六篇响应文件编制要求”要求签署或盖章。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（五）响应文件的递交</w:t>
      </w:r>
    </w:p>
    <w:p>
      <w:pPr>
        <w:pStyle w:val="31"/>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rPr>
        <w:t>比选</w:t>
      </w:r>
      <w:r>
        <w:rPr>
          <w:rFonts w:hint="eastAsia" w:ascii="微软雅黑" w:hAnsi="微软雅黑" w:eastAsia="微软雅黑" w:cs="微软雅黑"/>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（六）投标人参与人员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2" w:name="_Toc76462341"/>
      <w:bookmarkStart w:id="163" w:name="_Toc13378"/>
      <w:bookmarkStart w:id="164" w:name="_Toc106030896"/>
      <w:bookmarkStart w:id="165" w:name="_Toc6435"/>
      <w:r>
        <w:rPr>
          <w:rFonts w:hint="eastAsia" w:ascii="微软雅黑" w:hAnsi="微软雅黑" w:eastAsia="微软雅黑" w:cs="微软雅黑"/>
          <w:sz w:val="24"/>
        </w:rPr>
        <w:t>四、成交供应商的确认和变更</w:t>
      </w:r>
      <w:bookmarkEnd w:id="162"/>
      <w:bookmarkEnd w:id="163"/>
      <w:bookmarkEnd w:id="164"/>
      <w:bookmarkEnd w:id="165"/>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（一）成交供应商的确认</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采购人从评审报告提出的成交候选投标人中，按照排序由高到低的原则确定成交供应商。</w:t>
      </w:r>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（二）成交供应商的变更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sz w:val="24"/>
        </w:rPr>
        <w:t>成交供应商拒绝与采购人签订合同的，采购人可以按照评标报告推荐的成交候选投标人顺序，确定排名下一位的候选人为成交供应商，也可以重新开展采购活动。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6" w:name="_Toc342913395"/>
      <w:bookmarkStart w:id="167" w:name="_Toc106030897"/>
      <w:bookmarkStart w:id="168" w:name="_Toc712"/>
      <w:bookmarkStart w:id="169" w:name="_Toc21532"/>
      <w:bookmarkStart w:id="170" w:name="_Toc76462342"/>
      <w:bookmarkStart w:id="171" w:name="_Toc102227321"/>
      <w:r>
        <w:rPr>
          <w:rFonts w:hint="eastAsia" w:ascii="微软雅黑" w:hAnsi="微软雅黑" w:eastAsia="微软雅黑" w:cs="微软雅黑"/>
          <w:sz w:val="24"/>
        </w:rPr>
        <w:t>五、成交通知</w:t>
      </w:r>
      <w:bookmarkEnd w:id="166"/>
      <w:bookmarkEnd w:id="167"/>
      <w:bookmarkEnd w:id="168"/>
      <w:bookmarkEnd w:id="169"/>
      <w:bookmarkEnd w:id="170"/>
      <w:bookmarkEnd w:id="17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（一）成交供应商确定后，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72" w:name="_Toc106030898"/>
      <w:bookmarkStart w:id="173" w:name="_Toc22564"/>
      <w:bookmarkStart w:id="174" w:name="_Toc76462343"/>
      <w:bookmarkStart w:id="175" w:name="_Toc21448"/>
      <w:r>
        <w:rPr>
          <w:rFonts w:hint="eastAsia" w:ascii="微软雅黑" w:hAnsi="微软雅黑" w:eastAsia="微软雅黑" w:cs="微软雅黑"/>
          <w:sz w:val="24"/>
        </w:rPr>
        <w:t>六、质疑处理</w:t>
      </w:r>
      <w:bookmarkEnd w:id="172"/>
      <w:bookmarkEnd w:id="173"/>
      <w:bookmarkEnd w:id="174"/>
      <w:bookmarkEnd w:id="175"/>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投标人认为采购文件、采购过程和成交结果使自己的权益收到伤害的，可向采购人以书面形式</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纸质文件</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提出质疑</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（一）质疑时限、内容</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1.质疑时限</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1.1对采购文件的质疑。</w:t>
      </w:r>
      <w:r>
        <w:rPr>
          <w:rFonts w:hint="eastAsia" w:ascii="微软雅黑" w:hAnsi="微软雅黑" w:eastAsia="微软雅黑" w:cs="微软雅黑"/>
          <w:sz w:val="24"/>
          <w:szCs w:val="24"/>
        </w:rPr>
        <w:t>投标人如对本比选文件有任何实质性疑问，应当以书面形式向采购人提出质疑，并须将该质疑文件纸质版（须加盖提出质疑单位的公章确认）在投标截至时间之前送达采购人</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2.1投标人的姓名或者名称、地址、邮编、联系人及联系电话；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（二）质疑答复</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采购人应当在收到投标人的书面质疑后7个工作日内作出答复，并以书面形式通知质疑投标人和其他有关投标人。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（三）投标人应在质疑期内一次性提出针对同一采购程序环节的质疑。</w:t>
      </w:r>
      <w:bookmarkStart w:id="176" w:name="_Toc28334"/>
      <w:bookmarkStart w:id="177" w:name="_Toc106030899"/>
      <w:bookmarkStart w:id="178" w:name="_Toc76462344"/>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sz w:val="24"/>
        </w:rPr>
      </w:pPr>
      <w:bookmarkStart w:id="179" w:name="_Toc32500"/>
      <w:r>
        <w:rPr>
          <w:rFonts w:hint="eastAsia" w:ascii="微软雅黑" w:hAnsi="微软雅黑" w:eastAsia="微软雅黑" w:cs="微软雅黑"/>
          <w:sz w:val="24"/>
        </w:rPr>
        <w:t>七、</w:t>
      </w:r>
      <w:bookmarkEnd w:id="176"/>
      <w:bookmarkEnd w:id="177"/>
      <w:bookmarkEnd w:id="178"/>
      <w:bookmarkStart w:id="180" w:name="_Toc102227322"/>
      <w:bookmarkStart w:id="181" w:name="_Toc342913396"/>
      <w:bookmarkStart w:id="182" w:name="_Toc106030901"/>
      <w:bookmarkStart w:id="183" w:name="_Toc3372"/>
      <w:bookmarkStart w:id="184" w:name="_Toc76462346"/>
      <w:bookmarkStart w:id="185" w:name="_Toc11641055"/>
      <w:bookmarkStart w:id="186" w:name="_Toc12789059"/>
      <w:r>
        <w:rPr>
          <w:rFonts w:hint="eastAsia" w:ascii="微软雅黑" w:hAnsi="微软雅黑" w:eastAsia="微软雅黑" w:cs="微软雅黑"/>
          <w:sz w:val="24"/>
        </w:rPr>
        <w:t>签订</w:t>
      </w:r>
      <w:bookmarkEnd w:id="180"/>
      <w:r>
        <w:rPr>
          <w:rFonts w:hint="eastAsia" w:ascii="微软雅黑" w:hAnsi="微软雅黑" w:eastAsia="微软雅黑" w:cs="微软雅黑"/>
          <w:sz w:val="24"/>
        </w:rPr>
        <w:t>合同</w:t>
      </w:r>
      <w:bookmarkEnd w:id="179"/>
      <w:bookmarkEnd w:id="181"/>
      <w:bookmarkEnd w:id="182"/>
      <w:bookmarkEnd w:id="183"/>
      <w:bookmarkEnd w:id="184"/>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（一）中标人应于收到中标通知书之日起5个工作日内，按照中标项目的</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采购文件与响应文件递交采购合同。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（二）中标人未在规定时间内递交合同或放弃中标资格，则</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将有充分的理由废除授标，将中标人纳入</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失信投标人名单并扣除该项目的投标保证金，两年之内不得参与</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（四）中标人应当按照合同约定履行义务，完成中标项目，不得将中标项目转让(转包)或分包给他人。</w:t>
      </w:r>
      <w:bookmarkEnd w:id="185"/>
      <w:bookmarkEnd w:id="186"/>
    </w:p>
    <w:p>
      <w:pPr>
        <w:pStyle w:val="4"/>
        <w:spacing w:before="200" w:after="200" w:line="240" w:lineRule="auto"/>
        <w:jc w:val="center"/>
        <w:rPr>
          <w:rFonts w:hint="eastAsia" w:ascii="微软雅黑" w:hAnsi="微软雅黑" w:eastAsia="微软雅黑" w:cs="微软雅黑"/>
          <w:sz w:val="44"/>
        </w:rPr>
      </w:pPr>
      <w:bookmarkStart w:id="187" w:name="_Hlt41879464"/>
      <w:bookmarkEnd w:id="187"/>
      <w:bookmarkStart w:id="188" w:name="_Toc106030905"/>
      <w:bookmarkStart w:id="189" w:name="_Toc6345"/>
      <w:bookmarkStart w:id="190" w:name="_Toc27984"/>
      <w:bookmarkStart w:id="191" w:name="_Toc76462349"/>
      <w:r>
        <w:rPr>
          <w:rFonts w:hint="eastAsia" w:ascii="微软雅黑" w:hAnsi="微软雅黑" w:eastAsia="微软雅黑" w:cs="微软雅黑"/>
          <w:sz w:val="44"/>
        </w:rPr>
        <w:t>第六篇  响应文件编制要求</w:t>
      </w:r>
      <w:bookmarkEnd w:id="188"/>
      <w:bookmarkEnd w:id="189"/>
      <w:bookmarkEnd w:id="190"/>
      <w:bookmarkEnd w:id="19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（一）耗材专用报价表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（二）开标现场最终报价表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二、技术部分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（一）技术响应偏离表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（二）其它优惠服务承诺（格式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w:t>
      </w:r>
    </w:p>
    <w:p>
      <w:pPr>
        <w:snapToGrid w:val="0"/>
        <w:spacing w:line="360" w:lineRule="auto"/>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360" w:lineRule="auto"/>
        <w:ind w:firstLine="560" w:firstLineChars="200"/>
        <w:jc w:val="center"/>
        <w:outlineLvl w:val="0"/>
        <w:rPr>
          <w:rFonts w:hint="eastAsia" w:ascii="微软雅黑" w:hAnsi="微软雅黑" w:eastAsia="微软雅黑" w:cs="微软雅黑"/>
        </w:rPr>
      </w:pPr>
    </w:p>
    <w:sectPr>
      <w:headerReference r:id="rId11" w:type="default"/>
      <w:footerReference r:id="rId12"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w:t>
    </w:r>
    <w:r>
      <w:rPr>
        <w:rFonts w:hint="eastAsia"/>
        <w:lang w:val="en-US" w:eastAsia="zh-CN"/>
      </w:rPr>
      <w:t>采购</w:t>
    </w:r>
    <w:r>
      <w:rPr>
        <w:rFonts w:hint="eastAsia"/>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8"/>
  </w:num>
  <w:num w:numId="2">
    <w:abstractNumId w:val="3"/>
  </w:num>
  <w:num w:numId="3">
    <w:abstractNumId w:val="9"/>
  </w:num>
  <w:num w:numId="4">
    <w:abstractNumId w:val="12"/>
  </w:num>
  <w:num w:numId="5">
    <w:abstractNumId w:val="0"/>
  </w:num>
  <w:num w:numId="6">
    <w:abstractNumId w:val="6"/>
  </w:num>
  <w:num w:numId="7">
    <w:abstractNumId w:val="11"/>
  </w:num>
  <w:num w:numId="8">
    <w:abstractNumId w:val="1"/>
  </w:num>
  <w:num w:numId="9">
    <w:abstractNumId w:val="2"/>
  </w:num>
  <w:num w:numId="10">
    <w:abstractNumId w:val="5"/>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2D29"/>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64"/>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6175"/>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641DE"/>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06E3"/>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4242"/>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404F"/>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0"/>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4D04"/>
    <w:rsid w:val="00617986"/>
    <w:rsid w:val="006256CA"/>
    <w:rsid w:val="00627729"/>
    <w:rsid w:val="00627F21"/>
    <w:rsid w:val="0063025A"/>
    <w:rsid w:val="0063604F"/>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0A64"/>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356A"/>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A2C"/>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394384B"/>
    <w:rsid w:val="043B13F3"/>
    <w:rsid w:val="04EC2E74"/>
    <w:rsid w:val="0501052E"/>
    <w:rsid w:val="05B83278"/>
    <w:rsid w:val="067530C0"/>
    <w:rsid w:val="079B568B"/>
    <w:rsid w:val="07F103E0"/>
    <w:rsid w:val="08257811"/>
    <w:rsid w:val="092E6FC0"/>
    <w:rsid w:val="0A010D6F"/>
    <w:rsid w:val="0A204D04"/>
    <w:rsid w:val="0A362FD0"/>
    <w:rsid w:val="0A9D4FA8"/>
    <w:rsid w:val="0AED6133"/>
    <w:rsid w:val="0BB87E47"/>
    <w:rsid w:val="0C994BB4"/>
    <w:rsid w:val="0CF75B4D"/>
    <w:rsid w:val="0D0C7689"/>
    <w:rsid w:val="0D1F249B"/>
    <w:rsid w:val="0D26388C"/>
    <w:rsid w:val="0D2D45FA"/>
    <w:rsid w:val="0D9D537B"/>
    <w:rsid w:val="0DAE5F1C"/>
    <w:rsid w:val="0F4F0F37"/>
    <w:rsid w:val="1009316D"/>
    <w:rsid w:val="112E1BB3"/>
    <w:rsid w:val="115C3EAF"/>
    <w:rsid w:val="11E97BB4"/>
    <w:rsid w:val="12D87969"/>
    <w:rsid w:val="13C44C6D"/>
    <w:rsid w:val="14093EF5"/>
    <w:rsid w:val="140E691A"/>
    <w:rsid w:val="147A5E14"/>
    <w:rsid w:val="148D1984"/>
    <w:rsid w:val="14D11CFB"/>
    <w:rsid w:val="153901DE"/>
    <w:rsid w:val="15935DB5"/>
    <w:rsid w:val="159B4F18"/>
    <w:rsid w:val="15BB3449"/>
    <w:rsid w:val="171C1EE4"/>
    <w:rsid w:val="17324323"/>
    <w:rsid w:val="17A1211B"/>
    <w:rsid w:val="18ED7A84"/>
    <w:rsid w:val="19255AF5"/>
    <w:rsid w:val="19401112"/>
    <w:rsid w:val="19564547"/>
    <w:rsid w:val="19740A13"/>
    <w:rsid w:val="19B34031"/>
    <w:rsid w:val="1A5915C0"/>
    <w:rsid w:val="1A7E6296"/>
    <w:rsid w:val="1B5937A3"/>
    <w:rsid w:val="1E2C5A53"/>
    <w:rsid w:val="1E2F0F85"/>
    <w:rsid w:val="1F0D01CA"/>
    <w:rsid w:val="21226BB2"/>
    <w:rsid w:val="21864056"/>
    <w:rsid w:val="222348FC"/>
    <w:rsid w:val="22F860AB"/>
    <w:rsid w:val="23366F63"/>
    <w:rsid w:val="2486441F"/>
    <w:rsid w:val="24A97106"/>
    <w:rsid w:val="2550440C"/>
    <w:rsid w:val="255A2660"/>
    <w:rsid w:val="263535D3"/>
    <w:rsid w:val="281D2511"/>
    <w:rsid w:val="286153F5"/>
    <w:rsid w:val="2895673E"/>
    <w:rsid w:val="29601F8B"/>
    <w:rsid w:val="296F02CD"/>
    <w:rsid w:val="2A113B40"/>
    <w:rsid w:val="2AA01F44"/>
    <w:rsid w:val="2C43216E"/>
    <w:rsid w:val="2CD472B8"/>
    <w:rsid w:val="2DB02B6B"/>
    <w:rsid w:val="2EB27897"/>
    <w:rsid w:val="2FD2000A"/>
    <w:rsid w:val="300C58E0"/>
    <w:rsid w:val="30607DAE"/>
    <w:rsid w:val="312C1210"/>
    <w:rsid w:val="31DA5A58"/>
    <w:rsid w:val="32FD7152"/>
    <w:rsid w:val="32FE4017"/>
    <w:rsid w:val="332D1E43"/>
    <w:rsid w:val="34962D8B"/>
    <w:rsid w:val="34D74F48"/>
    <w:rsid w:val="361F2D7D"/>
    <w:rsid w:val="369C6387"/>
    <w:rsid w:val="37556B60"/>
    <w:rsid w:val="37660142"/>
    <w:rsid w:val="38985B46"/>
    <w:rsid w:val="38CD7FDC"/>
    <w:rsid w:val="3ACE5D4F"/>
    <w:rsid w:val="3B89534D"/>
    <w:rsid w:val="3C55524B"/>
    <w:rsid w:val="3CCE1388"/>
    <w:rsid w:val="3CED5AB6"/>
    <w:rsid w:val="3D117539"/>
    <w:rsid w:val="3DC14F27"/>
    <w:rsid w:val="3DDD46D4"/>
    <w:rsid w:val="3DE559F8"/>
    <w:rsid w:val="3DF6488D"/>
    <w:rsid w:val="3E2734A9"/>
    <w:rsid w:val="3E2D176B"/>
    <w:rsid w:val="3E5E05BF"/>
    <w:rsid w:val="3F1C71CA"/>
    <w:rsid w:val="3F464493"/>
    <w:rsid w:val="3F5929D1"/>
    <w:rsid w:val="3FB630C0"/>
    <w:rsid w:val="3FD67934"/>
    <w:rsid w:val="406334F2"/>
    <w:rsid w:val="409F14A1"/>
    <w:rsid w:val="415F6EA3"/>
    <w:rsid w:val="42E4764C"/>
    <w:rsid w:val="43291680"/>
    <w:rsid w:val="44256EDB"/>
    <w:rsid w:val="45277FC2"/>
    <w:rsid w:val="452C7897"/>
    <w:rsid w:val="45C410F4"/>
    <w:rsid w:val="46151D23"/>
    <w:rsid w:val="46AB67D5"/>
    <w:rsid w:val="46D026EE"/>
    <w:rsid w:val="476B30BF"/>
    <w:rsid w:val="48783FC8"/>
    <w:rsid w:val="494C6B8D"/>
    <w:rsid w:val="497B7CB3"/>
    <w:rsid w:val="4A286398"/>
    <w:rsid w:val="4A8845CE"/>
    <w:rsid w:val="4B2D12E0"/>
    <w:rsid w:val="4BEB6B31"/>
    <w:rsid w:val="4D1D2982"/>
    <w:rsid w:val="4D607118"/>
    <w:rsid w:val="4DD36371"/>
    <w:rsid w:val="4E854372"/>
    <w:rsid w:val="4EEC1F3B"/>
    <w:rsid w:val="4F070047"/>
    <w:rsid w:val="4F3C244F"/>
    <w:rsid w:val="4FCD30B4"/>
    <w:rsid w:val="5115115D"/>
    <w:rsid w:val="521E4A24"/>
    <w:rsid w:val="52306CBC"/>
    <w:rsid w:val="5232269F"/>
    <w:rsid w:val="52A64E78"/>
    <w:rsid w:val="52D92ACB"/>
    <w:rsid w:val="53B4776F"/>
    <w:rsid w:val="53B7194F"/>
    <w:rsid w:val="53DF1E3A"/>
    <w:rsid w:val="540F25CE"/>
    <w:rsid w:val="545B425C"/>
    <w:rsid w:val="558E730F"/>
    <w:rsid w:val="56583A35"/>
    <w:rsid w:val="573C43EC"/>
    <w:rsid w:val="57857077"/>
    <w:rsid w:val="57F70492"/>
    <w:rsid w:val="58513831"/>
    <w:rsid w:val="58B9495B"/>
    <w:rsid w:val="58BB5504"/>
    <w:rsid w:val="58EA1C45"/>
    <w:rsid w:val="59E545C2"/>
    <w:rsid w:val="5B905ABE"/>
    <w:rsid w:val="5CA67F0E"/>
    <w:rsid w:val="5CC4593C"/>
    <w:rsid w:val="5CE0669B"/>
    <w:rsid w:val="5DAD4E7C"/>
    <w:rsid w:val="5DC6466B"/>
    <w:rsid w:val="5ED10334"/>
    <w:rsid w:val="5F0271B4"/>
    <w:rsid w:val="602A4F50"/>
    <w:rsid w:val="60B01C37"/>
    <w:rsid w:val="60CB5C8F"/>
    <w:rsid w:val="61A33550"/>
    <w:rsid w:val="62164EC7"/>
    <w:rsid w:val="633157F8"/>
    <w:rsid w:val="648E3C9A"/>
    <w:rsid w:val="64DA4767"/>
    <w:rsid w:val="65170F5B"/>
    <w:rsid w:val="65215328"/>
    <w:rsid w:val="658B38AE"/>
    <w:rsid w:val="660232D5"/>
    <w:rsid w:val="663C214A"/>
    <w:rsid w:val="665B2E8B"/>
    <w:rsid w:val="670A099E"/>
    <w:rsid w:val="688B0082"/>
    <w:rsid w:val="68BD663A"/>
    <w:rsid w:val="692F74C0"/>
    <w:rsid w:val="696405DD"/>
    <w:rsid w:val="69BE2355"/>
    <w:rsid w:val="6B75107A"/>
    <w:rsid w:val="6BFE1706"/>
    <w:rsid w:val="6C55768A"/>
    <w:rsid w:val="6D5236ED"/>
    <w:rsid w:val="6E123B42"/>
    <w:rsid w:val="6E2B5D12"/>
    <w:rsid w:val="6FE969BF"/>
    <w:rsid w:val="701245F9"/>
    <w:rsid w:val="71175C34"/>
    <w:rsid w:val="71A31538"/>
    <w:rsid w:val="74D70DF7"/>
    <w:rsid w:val="74DA5656"/>
    <w:rsid w:val="75043B07"/>
    <w:rsid w:val="750950F5"/>
    <w:rsid w:val="750D16CF"/>
    <w:rsid w:val="756D34CF"/>
    <w:rsid w:val="763F7532"/>
    <w:rsid w:val="773622B4"/>
    <w:rsid w:val="77D50611"/>
    <w:rsid w:val="78334D0D"/>
    <w:rsid w:val="789F3DA6"/>
    <w:rsid w:val="78A52377"/>
    <w:rsid w:val="79036C35"/>
    <w:rsid w:val="79082185"/>
    <w:rsid w:val="792921E9"/>
    <w:rsid w:val="796075AF"/>
    <w:rsid w:val="79FB3E99"/>
    <w:rsid w:val="7A1536DC"/>
    <w:rsid w:val="7A6F77AB"/>
    <w:rsid w:val="7ABA3FBA"/>
    <w:rsid w:val="7AC76420"/>
    <w:rsid w:val="7B5B7497"/>
    <w:rsid w:val="7BEF5F10"/>
    <w:rsid w:val="7D9563F1"/>
    <w:rsid w:val="7DF569B3"/>
    <w:rsid w:val="7EB03BCE"/>
    <w:rsid w:val="7EDF2436"/>
    <w:rsid w:val="7EE54B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tabs>
        <w:tab w:val="left" w:pos="1134"/>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2"/>
      </w:numPr>
      <w:adjustRightInd w:val="0"/>
      <w:snapToGrid w:val="0"/>
      <w:spacing w:line="360" w:lineRule="auto"/>
    </w:pPr>
    <w:rPr>
      <w:sz w:val="24"/>
    </w:rPr>
  </w:style>
  <w:style w:type="paragraph" w:styleId="23">
    <w:name w:val="Body Text Indent"/>
    <w:basedOn w:val="1"/>
    <w:next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3"/>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basedOn w:val="60"/>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4"/>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5"/>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5"/>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6"/>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7"/>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8"/>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9"/>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10"/>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27</Pages>
  <Words>2042</Words>
  <Characters>11644</Characters>
  <Lines>97</Lines>
  <Paragraphs>27</Paragraphs>
  <TotalTime>2</TotalTime>
  <ScaleCrop>false</ScaleCrop>
  <LinksUpToDate>false</LinksUpToDate>
  <CharactersWithSpaces>13659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2024-10-15T03:18:00Z</dcterms:created>
  <dc:creator>周媛媛</dc:creator>
  <cp:lastModifiedBy>李薛龙</cp:lastModifiedBy>
  <cp:lastPrinted>2015-03-25T02:14:00Z</cp:lastPrinted>
  <dcterms:modified xsi:type="dcterms:W3CDTF">2026-05-14T02:17:48Z</dcterms:modified>
  <dc:title>竞争性谈判文件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3CA2D64E2BE64F45B7FB39423EA8C96C</vt:lpwstr>
  </property>
</Properties>
</file>