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jc w:val="center"/>
        <w:rPr>
          <w:rFonts w:hint="eastAsia" w:ascii="微软雅黑" w:hAnsi="微软雅黑" w:eastAsia="微软雅黑" w:cs="微软雅黑"/>
        </w:rPr>
      </w:pPr>
    </w:p>
    <w:p>
      <w:pPr>
        <w:spacing w:line="1600" w:lineRule="exact"/>
        <w:jc w:val="center"/>
        <w:outlineLvl w:val="0"/>
        <w:rPr>
          <w:rFonts w:hint="eastAsia" w:ascii="微软雅黑" w:hAnsi="微软雅黑" w:eastAsia="微软雅黑" w:cs="微软雅黑"/>
          <w:sz w:val="100"/>
        </w:rPr>
      </w:pPr>
    </w:p>
    <w:p>
      <w:pPr>
        <w:spacing w:line="1600" w:lineRule="exact"/>
        <w:jc w:val="center"/>
        <w:outlineLvl w:val="0"/>
        <w:rPr>
          <w:rFonts w:hint="eastAsia" w:ascii="微软雅黑" w:hAnsi="微软雅黑" w:eastAsia="微软雅黑" w:cs="微软雅黑"/>
          <w:sz w:val="130"/>
          <w:szCs w:val="130"/>
          <w:lang w:eastAsia="zh-CN"/>
        </w:rPr>
      </w:pPr>
      <w:r>
        <w:rPr>
          <w:rFonts w:hint="eastAsia" w:ascii="微软雅黑" w:hAnsi="微软雅黑" w:eastAsia="微软雅黑" w:cs="微软雅黑"/>
          <w:sz w:val="130"/>
          <w:szCs w:val="130"/>
          <w:lang w:eastAsia="zh-CN"/>
        </w:rPr>
        <w:t>耗材遴选</w:t>
      </w:r>
    </w:p>
    <w:p>
      <w:pPr>
        <w:spacing w:line="1600" w:lineRule="exact"/>
        <w:jc w:val="center"/>
        <w:outlineLvl w:val="0"/>
        <w:rPr>
          <w:rFonts w:hint="eastAsia" w:ascii="微软雅黑" w:hAnsi="微软雅黑" w:eastAsia="微软雅黑" w:cs="微软雅黑"/>
          <w:sz w:val="130"/>
          <w:szCs w:val="130"/>
        </w:rPr>
      </w:pPr>
      <w:r>
        <w:rPr>
          <w:rFonts w:hint="eastAsia" w:ascii="微软雅黑" w:hAnsi="微软雅黑" w:eastAsia="微软雅黑" w:cs="微软雅黑"/>
          <w:sz w:val="130"/>
          <w:szCs w:val="130"/>
        </w:rPr>
        <w:t>采购文件</w:t>
      </w:r>
    </w:p>
    <w:p>
      <w:pPr>
        <w:pStyle w:val="69"/>
        <w:spacing w:before="100" w:after="100" w:line="300" w:lineRule="auto"/>
        <w:jc w:val="center"/>
        <w:rPr>
          <w:rFonts w:hint="eastAsia" w:ascii="微软雅黑" w:hAnsi="微软雅黑" w:eastAsia="微软雅黑" w:cs="微软雅黑"/>
          <w:sz w:val="32"/>
        </w:rPr>
      </w:pPr>
      <w:r>
        <w:rPr>
          <w:rFonts w:hint="eastAsia" w:ascii="微软雅黑" w:hAnsi="微软雅黑" w:eastAsia="微软雅黑" w:cs="微软雅黑"/>
          <w:b w:val="0"/>
          <w:sz w:val="130"/>
          <w:szCs w:val="130"/>
        </w:rPr>
        <w:t xml:space="preserve">   </w:t>
      </w:r>
    </w:p>
    <w:p>
      <w:pPr>
        <w:pStyle w:val="70"/>
        <w:rPr>
          <w:rFonts w:hint="eastAsia" w:ascii="微软雅黑" w:hAnsi="微软雅黑" w:eastAsia="微软雅黑" w:cs="微软雅黑"/>
          <w:kern w:val="2"/>
          <w:sz w:val="44"/>
          <w:szCs w:val="44"/>
        </w:rPr>
      </w:pPr>
    </w:p>
    <w:p>
      <w:pPr>
        <w:spacing w:line="360" w:lineRule="auto"/>
        <w:ind w:firstLine="1800" w:firstLineChars="500"/>
        <w:outlineLvl w:val="0"/>
        <w:rPr>
          <w:rFonts w:hint="default" w:ascii="微软雅黑" w:hAnsi="微软雅黑" w:eastAsia="微软雅黑" w:cs="微软雅黑"/>
          <w:sz w:val="36"/>
          <w:szCs w:val="36"/>
          <w:u w:val="single"/>
          <w:lang w:val="en-US" w:eastAsia="zh-CN"/>
        </w:rPr>
      </w:pPr>
      <w:r>
        <w:rPr>
          <w:rFonts w:hint="eastAsia" w:ascii="微软雅黑" w:hAnsi="微软雅黑" w:eastAsia="微软雅黑" w:cs="微软雅黑"/>
          <w:sz w:val="36"/>
          <w:szCs w:val="36"/>
        </w:rPr>
        <w:t>项目编号：</w:t>
      </w:r>
      <w:r>
        <w:rPr>
          <w:rFonts w:hint="eastAsia" w:ascii="微软雅黑" w:hAnsi="微软雅黑" w:eastAsia="微软雅黑" w:cs="微软雅黑"/>
          <w:sz w:val="36"/>
          <w:szCs w:val="36"/>
          <w:u w:val="single"/>
        </w:rPr>
        <w:t>YSB2</w:t>
      </w:r>
      <w:r>
        <w:rPr>
          <w:rFonts w:hint="eastAsia" w:ascii="微软雅黑" w:hAnsi="微软雅黑" w:eastAsia="微软雅黑" w:cs="微软雅黑"/>
          <w:sz w:val="36"/>
          <w:szCs w:val="36"/>
          <w:u w:val="single"/>
          <w:lang w:val="en-US" w:eastAsia="zh-CN"/>
        </w:rPr>
        <w:t>60224</w:t>
      </w:r>
    </w:p>
    <w:p>
      <w:pPr>
        <w:spacing w:line="360" w:lineRule="auto"/>
        <w:ind w:left="3592" w:leftChars="640" w:hanging="1800" w:hangingChars="500"/>
        <w:outlineLvl w:val="0"/>
        <w:rPr>
          <w:rFonts w:hint="default" w:ascii="微软雅黑" w:hAnsi="微软雅黑" w:eastAsia="微软雅黑" w:cs="微软雅黑"/>
          <w:sz w:val="36"/>
          <w:szCs w:val="36"/>
          <w:u w:val="single"/>
          <w:lang w:val="en-US" w:eastAsia="zh-CN"/>
        </w:rPr>
      </w:pPr>
      <w:r>
        <w:rPr>
          <w:rFonts w:hint="eastAsia" w:ascii="微软雅黑" w:hAnsi="微软雅黑" w:eastAsia="微软雅黑" w:cs="微软雅黑"/>
          <w:sz w:val="36"/>
          <w:szCs w:val="36"/>
        </w:rPr>
        <w:t>项目名称：</w:t>
      </w:r>
      <w:r>
        <w:rPr>
          <w:rFonts w:hint="eastAsia" w:ascii="微软雅黑" w:hAnsi="微软雅黑" w:eastAsia="微软雅黑" w:cs="微软雅黑"/>
          <w:sz w:val="36"/>
          <w:szCs w:val="36"/>
          <w:u w:val="single"/>
          <w:lang w:val="en-US" w:eastAsia="zh-CN"/>
        </w:rPr>
        <w:t>一次性使用介入手术辅助包</w:t>
      </w:r>
    </w:p>
    <w:p>
      <w:pPr>
        <w:spacing w:line="500" w:lineRule="exact"/>
        <w:outlineLvl w:val="0"/>
        <w:rPr>
          <w:rFonts w:hint="eastAsia" w:ascii="微软雅黑" w:hAnsi="微软雅黑" w:eastAsia="微软雅黑" w:cs="微软雅黑"/>
          <w:sz w:val="36"/>
          <w:szCs w:val="36"/>
        </w:rPr>
      </w:pPr>
    </w:p>
    <w:p>
      <w:pPr>
        <w:pStyle w:val="2"/>
        <w:rPr>
          <w:rFonts w:hint="eastAsia"/>
        </w:rPr>
      </w:pPr>
    </w:p>
    <w:p>
      <w:pPr>
        <w:rPr>
          <w:rFonts w:hint="eastAsia"/>
        </w:rPr>
      </w:pPr>
    </w:p>
    <w:p>
      <w:pPr>
        <w:spacing w:line="500" w:lineRule="exact"/>
        <w:jc w:val="center"/>
        <w:outlineLvl w:val="0"/>
        <w:rPr>
          <w:rFonts w:hint="eastAsia" w:ascii="微软雅黑" w:hAnsi="微软雅黑" w:eastAsia="微软雅黑" w:cs="微软雅黑"/>
          <w:sz w:val="36"/>
          <w:szCs w:val="36"/>
        </w:rPr>
      </w:pPr>
    </w:p>
    <w:p>
      <w:pPr>
        <w:spacing w:line="500" w:lineRule="exact"/>
        <w:jc w:val="center"/>
        <w:outlineLvl w:val="0"/>
        <w:rPr>
          <w:rFonts w:hint="eastAsia" w:ascii="微软雅黑" w:hAnsi="微软雅黑" w:eastAsia="微软雅黑" w:cs="微软雅黑"/>
          <w:sz w:val="36"/>
          <w:szCs w:val="36"/>
        </w:rPr>
      </w:pPr>
      <w:r>
        <w:rPr>
          <w:rFonts w:hint="eastAsia" w:ascii="微软雅黑" w:hAnsi="微软雅黑" w:eastAsia="微软雅黑" w:cs="微软雅黑"/>
          <w:sz w:val="36"/>
          <w:szCs w:val="36"/>
        </w:rPr>
        <w:t>重庆医科大学附属儿童医院</w:t>
      </w:r>
    </w:p>
    <w:p>
      <w:pPr>
        <w:spacing w:line="720" w:lineRule="exact"/>
        <w:jc w:val="center"/>
        <w:outlineLvl w:val="0"/>
        <w:rPr>
          <w:rFonts w:hint="eastAsia" w:ascii="微软雅黑" w:hAnsi="微软雅黑" w:eastAsia="微软雅黑" w:cs="微软雅黑"/>
          <w:sz w:val="48"/>
          <w:szCs w:val="32"/>
        </w:rPr>
      </w:pPr>
      <w:r>
        <w:rPr>
          <w:rFonts w:hint="eastAsia" w:ascii="微软雅黑" w:hAnsi="微软雅黑" w:eastAsia="微软雅黑" w:cs="微软雅黑"/>
          <w:sz w:val="36"/>
          <w:szCs w:val="36"/>
        </w:rPr>
        <w:t>202</w:t>
      </w:r>
      <w:r>
        <w:rPr>
          <w:rFonts w:hint="eastAsia" w:ascii="微软雅黑" w:hAnsi="微软雅黑" w:eastAsia="微软雅黑" w:cs="微软雅黑"/>
          <w:sz w:val="36"/>
          <w:szCs w:val="36"/>
          <w:lang w:val="en-US" w:eastAsia="zh-CN"/>
        </w:rPr>
        <w:t>6</w:t>
      </w:r>
      <w:r>
        <w:rPr>
          <w:rFonts w:hint="eastAsia" w:ascii="微软雅黑" w:hAnsi="微软雅黑" w:eastAsia="微软雅黑" w:cs="微软雅黑"/>
          <w:sz w:val="36"/>
          <w:szCs w:val="36"/>
        </w:rPr>
        <w:t>年</w:t>
      </w:r>
      <w:r>
        <w:rPr>
          <w:rFonts w:hint="eastAsia" w:ascii="微软雅黑" w:hAnsi="微软雅黑" w:eastAsia="微软雅黑" w:cs="微软雅黑"/>
          <w:sz w:val="36"/>
          <w:szCs w:val="36"/>
          <w:lang w:val="en-US" w:eastAsia="zh-CN"/>
        </w:rPr>
        <w:t>5</w:t>
      </w:r>
      <w:r>
        <w:rPr>
          <w:rFonts w:hint="eastAsia" w:ascii="微软雅黑" w:hAnsi="微软雅黑" w:eastAsia="微软雅黑" w:cs="微软雅黑"/>
          <w:sz w:val="36"/>
          <w:szCs w:val="36"/>
        </w:rPr>
        <w:t>月</w:t>
      </w:r>
    </w:p>
    <w:p>
      <w:pPr>
        <w:spacing w:line="720" w:lineRule="exact"/>
        <w:jc w:val="center"/>
        <w:outlineLvl w:val="0"/>
        <w:rPr>
          <w:rFonts w:hint="eastAsia" w:ascii="微软雅黑" w:hAnsi="微软雅黑" w:eastAsia="微软雅黑" w:cs="微软雅黑"/>
          <w:sz w:val="48"/>
          <w:szCs w:val="32"/>
        </w:rPr>
        <w:sectPr>
          <w:headerReference r:id="rId4" w:type="first"/>
          <w:footerReference r:id="rId7" w:type="first"/>
          <w:headerReference r:id="rId3" w:type="default"/>
          <w:footerReference r:id="rId5" w:type="default"/>
          <w:footerReference r:id="rId6" w:type="even"/>
          <w:pgSz w:w="11907" w:h="16840"/>
          <w:pgMar w:top="1134" w:right="1191" w:bottom="1134" w:left="1304" w:header="851" w:footer="992" w:gutter="0"/>
          <w:pgNumType w:fmt="numberInDash" w:start="1"/>
          <w:cols w:space="720" w:num="1"/>
          <w:titlePg/>
          <w:docGrid w:linePitch="381" w:charSpace="-5735"/>
        </w:sectPr>
      </w:pPr>
    </w:p>
    <w:p>
      <w:pPr>
        <w:spacing w:line="480" w:lineRule="exact"/>
        <w:jc w:val="center"/>
        <w:outlineLvl w:val="0"/>
        <w:rPr>
          <w:rFonts w:hint="eastAsia" w:ascii="微软雅黑" w:hAnsi="微软雅黑" w:eastAsia="微软雅黑" w:cs="微软雅黑"/>
          <w:sz w:val="44"/>
          <w:szCs w:val="28"/>
        </w:rPr>
      </w:pPr>
      <w:r>
        <w:rPr>
          <w:rFonts w:hint="eastAsia" w:ascii="微软雅黑" w:hAnsi="微软雅黑" w:eastAsia="微软雅黑" w:cs="微软雅黑"/>
          <w:sz w:val="44"/>
          <w:szCs w:val="28"/>
        </w:rPr>
        <w:t>目   录</w:t>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TOC \o "1-3" \h \z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_Toc7678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第一篇  采购邀请书</w:t>
      </w:r>
      <w:r>
        <w:rPr>
          <w:sz w:val="24"/>
          <w:szCs w:val="24"/>
        </w:rPr>
        <w:tab/>
      </w:r>
      <w:r>
        <w:rPr>
          <w:sz w:val="24"/>
          <w:szCs w:val="24"/>
        </w:rPr>
        <w:fldChar w:fldCharType="begin"/>
      </w:r>
      <w:r>
        <w:rPr>
          <w:sz w:val="24"/>
          <w:szCs w:val="24"/>
        </w:rPr>
        <w:instrText xml:space="preserve"> PAGEREF _Toc7678 \h </w:instrText>
      </w:r>
      <w:r>
        <w:rPr>
          <w:sz w:val="24"/>
          <w:szCs w:val="24"/>
        </w:rPr>
        <w:fldChar w:fldCharType="separate"/>
      </w:r>
      <w:r>
        <w:rPr>
          <w:sz w:val="24"/>
          <w:szCs w:val="24"/>
        </w:rPr>
        <w:t>- 3 -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_Toc18148 </w:instrText>
      </w:r>
      <w:r>
        <w:rPr>
          <w:rFonts w:hint="eastAsia" w:ascii="微软雅黑" w:hAnsi="微软雅黑" w:eastAsia="微软雅黑" w:cs="微软雅黑"/>
          <w:sz w:val="24"/>
          <w:szCs w:val="24"/>
        </w:rPr>
        <w:fldChar w:fldCharType="separate"/>
      </w:r>
      <w:r>
        <w:rPr>
          <w:rFonts w:hint="default" w:ascii="微软雅黑" w:hAnsi="微软雅黑" w:eastAsia="微软雅黑" w:cs="微软雅黑"/>
          <w:sz w:val="24"/>
          <w:szCs w:val="24"/>
        </w:rPr>
        <w:t xml:space="preserve">一、 </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采购内容</w:t>
      </w:r>
      <w:r>
        <w:rPr>
          <w:sz w:val="24"/>
          <w:szCs w:val="24"/>
        </w:rPr>
        <w:tab/>
      </w:r>
      <w:r>
        <w:rPr>
          <w:sz w:val="24"/>
          <w:szCs w:val="24"/>
        </w:rPr>
        <w:fldChar w:fldCharType="begin"/>
      </w:r>
      <w:r>
        <w:rPr>
          <w:sz w:val="24"/>
          <w:szCs w:val="24"/>
        </w:rPr>
        <w:instrText xml:space="preserve"> PAGEREF _Toc18148 \h </w:instrText>
      </w:r>
      <w:r>
        <w:rPr>
          <w:sz w:val="24"/>
          <w:szCs w:val="24"/>
        </w:rPr>
        <w:fldChar w:fldCharType="separate"/>
      </w:r>
      <w:r>
        <w:rPr>
          <w:sz w:val="24"/>
          <w:szCs w:val="24"/>
        </w:rPr>
        <w:t>- 3 -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_Toc30460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二、投标人资格条件</w:t>
      </w:r>
      <w:r>
        <w:rPr>
          <w:sz w:val="24"/>
          <w:szCs w:val="24"/>
        </w:rPr>
        <w:tab/>
      </w:r>
      <w:r>
        <w:rPr>
          <w:sz w:val="24"/>
          <w:szCs w:val="24"/>
        </w:rPr>
        <w:fldChar w:fldCharType="begin"/>
      </w:r>
      <w:r>
        <w:rPr>
          <w:sz w:val="24"/>
          <w:szCs w:val="24"/>
        </w:rPr>
        <w:instrText xml:space="preserve"> PAGEREF _Toc30460 \h </w:instrText>
      </w:r>
      <w:r>
        <w:rPr>
          <w:sz w:val="24"/>
          <w:szCs w:val="24"/>
        </w:rPr>
        <w:fldChar w:fldCharType="separate"/>
      </w:r>
      <w:r>
        <w:rPr>
          <w:sz w:val="24"/>
          <w:szCs w:val="24"/>
        </w:rPr>
        <w:t>- 3 -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_Toc5002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三、比选有关说明</w:t>
      </w:r>
      <w:r>
        <w:rPr>
          <w:sz w:val="24"/>
          <w:szCs w:val="24"/>
        </w:rPr>
        <w:tab/>
      </w:r>
      <w:r>
        <w:rPr>
          <w:sz w:val="24"/>
          <w:szCs w:val="24"/>
        </w:rPr>
        <w:fldChar w:fldCharType="begin"/>
      </w:r>
      <w:r>
        <w:rPr>
          <w:sz w:val="24"/>
          <w:szCs w:val="24"/>
        </w:rPr>
        <w:instrText xml:space="preserve"> PAGEREF _Toc5002 \h </w:instrText>
      </w:r>
      <w:r>
        <w:rPr>
          <w:sz w:val="24"/>
          <w:szCs w:val="24"/>
        </w:rPr>
        <w:fldChar w:fldCharType="separate"/>
      </w:r>
      <w:r>
        <w:rPr>
          <w:sz w:val="24"/>
          <w:szCs w:val="24"/>
        </w:rPr>
        <w:t>- 3 -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_Toc28629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四、保证金</w:t>
      </w:r>
      <w:r>
        <w:rPr>
          <w:sz w:val="24"/>
          <w:szCs w:val="24"/>
        </w:rPr>
        <w:tab/>
      </w:r>
      <w:r>
        <w:rPr>
          <w:sz w:val="24"/>
          <w:szCs w:val="24"/>
        </w:rPr>
        <w:fldChar w:fldCharType="begin"/>
      </w:r>
      <w:r>
        <w:rPr>
          <w:sz w:val="24"/>
          <w:szCs w:val="24"/>
        </w:rPr>
        <w:instrText xml:space="preserve"> PAGEREF _Toc28629 \h </w:instrText>
      </w:r>
      <w:r>
        <w:rPr>
          <w:sz w:val="24"/>
          <w:szCs w:val="24"/>
        </w:rPr>
        <w:fldChar w:fldCharType="separate"/>
      </w:r>
      <w:r>
        <w:rPr>
          <w:sz w:val="24"/>
          <w:szCs w:val="24"/>
        </w:rPr>
        <w:t>- 4 -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_Toc23490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五、其它</w:t>
      </w:r>
      <w:r>
        <w:rPr>
          <w:sz w:val="24"/>
          <w:szCs w:val="24"/>
        </w:rPr>
        <w:tab/>
      </w:r>
      <w:r>
        <w:rPr>
          <w:sz w:val="24"/>
          <w:szCs w:val="24"/>
        </w:rPr>
        <w:fldChar w:fldCharType="begin"/>
      </w:r>
      <w:r>
        <w:rPr>
          <w:sz w:val="24"/>
          <w:szCs w:val="24"/>
        </w:rPr>
        <w:instrText xml:space="preserve"> PAGEREF _Toc23490 \h </w:instrText>
      </w:r>
      <w:r>
        <w:rPr>
          <w:sz w:val="24"/>
          <w:szCs w:val="24"/>
        </w:rPr>
        <w:fldChar w:fldCharType="separate"/>
      </w:r>
      <w:r>
        <w:rPr>
          <w:sz w:val="24"/>
          <w:szCs w:val="24"/>
        </w:rPr>
        <w:t>- 4 -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_Toc20454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六、联系方式</w:t>
      </w:r>
      <w:r>
        <w:rPr>
          <w:sz w:val="24"/>
          <w:szCs w:val="24"/>
        </w:rPr>
        <w:tab/>
      </w:r>
      <w:r>
        <w:rPr>
          <w:sz w:val="24"/>
          <w:szCs w:val="24"/>
        </w:rPr>
        <w:fldChar w:fldCharType="begin"/>
      </w:r>
      <w:r>
        <w:rPr>
          <w:sz w:val="24"/>
          <w:szCs w:val="24"/>
        </w:rPr>
        <w:instrText xml:space="preserve"> PAGEREF _Toc20454 \h </w:instrText>
      </w:r>
      <w:r>
        <w:rPr>
          <w:sz w:val="24"/>
          <w:szCs w:val="24"/>
        </w:rPr>
        <w:fldChar w:fldCharType="separate"/>
      </w:r>
      <w:r>
        <w:rPr>
          <w:sz w:val="24"/>
          <w:szCs w:val="24"/>
        </w:rPr>
        <w:t>- 4 -</w:t>
      </w:r>
      <w:r>
        <w:rPr>
          <w:sz w:val="24"/>
          <w:szCs w:val="24"/>
        </w:rPr>
        <w:fldChar w:fldCharType="end"/>
      </w:r>
      <w:r>
        <w:rPr>
          <w:rFonts w:hint="eastAsia" w:ascii="微软雅黑" w:hAnsi="微软雅黑" w:eastAsia="微软雅黑" w:cs="微软雅黑"/>
          <w:sz w:val="24"/>
          <w:szCs w:val="24"/>
        </w:rPr>
        <w:fldChar w:fldCharType="end"/>
      </w:r>
    </w:p>
    <w:p>
      <w:pPr>
        <w:pStyle w:val="38"/>
        <w:tabs>
          <w:tab w:val="right" w:leader="dot" w:pos="9412"/>
        </w:tabs>
        <w:rPr>
          <w:sz w:val="24"/>
          <w:szCs w:val="24"/>
        </w:rPr>
      </w:pPr>
      <w:r>
        <w:rPr>
          <w:rFonts w:hint="eastAsia" w:ascii="微软雅黑" w:hAnsi="微软雅黑" w:eastAsia="微软雅黑" w:cs="微软雅黑"/>
          <w:sz w:val="24"/>
          <w:szCs w:val="24"/>
          <w:lang w:val="en-US" w:eastAsia="zh-CN"/>
        </w:rPr>
        <w:t xml:space="preserve">    </w:t>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_Toc20802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第二篇 项目技术（质量）需求</w:t>
      </w:r>
      <w:r>
        <w:rPr>
          <w:sz w:val="24"/>
          <w:szCs w:val="24"/>
        </w:rPr>
        <w:tab/>
      </w:r>
      <w:r>
        <w:rPr>
          <w:sz w:val="24"/>
          <w:szCs w:val="24"/>
        </w:rPr>
        <w:fldChar w:fldCharType="begin"/>
      </w:r>
      <w:r>
        <w:rPr>
          <w:sz w:val="24"/>
          <w:szCs w:val="24"/>
        </w:rPr>
        <w:instrText xml:space="preserve"> PAGEREF _Toc20802 \h </w:instrText>
      </w:r>
      <w:r>
        <w:rPr>
          <w:sz w:val="24"/>
          <w:szCs w:val="24"/>
        </w:rPr>
        <w:fldChar w:fldCharType="separate"/>
      </w:r>
      <w:r>
        <w:rPr>
          <w:sz w:val="24"/>
          <w:szCs w:val="24"/>
        </w:rPr>
        <w:t>- 5 -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_Toc17712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第三篇  项目商务需求</w:t>
      </w:r>
      <w:r>
        <w:rPr>
          <w:sz w:val="24"/>
          <w:szCs w:val="24"/>
        </w:rPr>
        <w:tab/>
      </w:r>
      <w:r>
        <w:rPr>
          <w:sz w:val="24"/>
          <w:szCs w:val="24"/>
        </w:rPr>
        <w:fldChar w:fldCharType="begin"/>
      </w:r>
      <w:r>
        <w:rPr>
          <w:sz w:val="24"/>
          <w:szCs w:val="24"/>
        </w:rPr>
        <w:instrText xml:space="preserve"> PAGEREF _Toc17712 \h </w:instrText>
      </w:r>
      <w:r>
        <w:rPr>
          <w:sz w:val="24"/>
          <w:szCs w:val="24"/>
        </w:rPr>
        <w:fldChar w:fldCharType="separate"/>
      </w:r>
      <w:r>
        <w:rPr>
          <w:sz w:val="24"/>
          <w:szCs w:val="24"/>
        </w:rPr>
        <w:t>- 6 -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_Toc14419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xml:space="preserve">第四篇  </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采购程序及方法、评审标准、无效响应和采购终止</w:t>
      </w:r>
      <w:r>
        <w:rPr>
          <w:sz w:val="24"/>
          <w:szCs w:val="24"/>
        </w:rPr>
        <w:tab/>
      </w:r>
      <w:r>
        <w:rPr>
          <w:sz w:val="24"/>
          <w:szCs w:val="24"/>
        </w:rPr>
        <w:fldChar w:fldCharType="begin"/>
      </w:r>
      <w:r>
        <w:rPr>
          <w:sz w:val="24"/>
          <w:szCs w:val="24"/>
        </w:rPr>
        <w:instrText xml:space="preserve"> PAGEREF _Toc14419 \h </w:instrText>
      </w:r>
      <w:r>
        <w:rPr>
          <w:sz w:val="24"/>
          <w:szCs w:val="24"/>
        </w:rPr>
        <w:fldChar w:fldCharType="separate"/>
      </w:r>
      <w:r>
        <w:rPr>
          <w:sz w:val="24"/>
          <w:szCs w:val="24"/>
        </w:rPr>
        <w:t>- 7 -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_Toc3410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采购程序</w:t>
      </w:r>
      <w:r>
        <w:rPr>
          <w:sz w:val="24"/>
          <w:szCs w:val="24"/>
        </w:rPr>
        <w:tab/>
      </w:r>
      <w:r>
        <w:rPr>
          <w:sz w:val="24"/>
          <w:szCs w:val="24"/>
        </w:rPr>
        <w:fldChar w:fldCharType="begin"/>
      </w:r>
      <w:r>
        <w:rPr>
          <w:sz w:val="24"/>
          <w:szCs w:val="24"/>
        </w:rPr>
        <w:instrText xml:space="preserve"> PAGEREF _Toc3410 \h </w:instrText>
      </w:r>
      <w:r>
        <w:rPr>
          <w:sz w:val="24"/>
          <w:szCs w:val="24"/>
        </w:rPr>
        <w:fldChar w:fldCharType="separate"/>
      </w:r>
      <w:r>
        <w:rPr>
          <w:sz w:val="24"/>
          <w:szCs w:val="24"/>
        </w:rPr>
        <w:t>- 7 -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_Toc29068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二、评标方法</w:t>
      </w:r>
      <w:r>
        <w:rPr>
          <w:sz w:val="24"/>
          <w:szCs w:val="24"/>
        </w:rPr>
        <w:tab/>
      </w:r>
      <w:r>
        <w:rPr>
          <w:sz w:val="24"/>
          <w:szCs w:val="24"/>
        </w:rPr>
        <w:fldChar w:fldCharType="begin"/>
      </w:r>
      <w:r>
        <w:rPr>
          <w:sz w:val="24"/>
          <w:szCs w:val="24"/>
        </w:rPr>
        <w:instrText xml:space="preserve"> PAGEREF _Toc29068 \h </w:instrText>
      </w:r>
      <w:r>
        <w:rPr>
          <w:sz w:val="24"/>
          <w:szCs w:val="24"/>
        </w:rPr>
        <w:fldChar w:fldCharType="separate"/>
      </w:r>
      <w:r>
        <w:rPr>
          <w:sz w:val="24"/>
          <w:szCs w:val="24"/>
        </w:rPr>
        <w:t>- 8 -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_Toc4078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三、报价方式</w:t>
      </w:r>
      <w:r>
        <w:rPr>
          <w:sz w:val="24"/>
          <w:szCs w:val="24"/>
        </w:rPr>
        <w:tab/>
      </w:r>
      <w:r>
        <w:rPr>
          <w:sz w:val="24"/>
          <w:szCs w:val="24"/>
        </w:rPr>
        <w:fldChar w:fldCharType="begin"/>
      </w:r>
      <w:r>
        <w:rPr>
          <w:sz w:val="24"/>
          <w:szCs w:val="24"/>
        </w:rPr>
        <w:instrText xml:space="preserve"> PAGEREF _Toc4078 \h </w:instrText>
      </w:r>
      <w:r>
        <w:rPr>
          <w:sz w:val="24"/>
          <w:szCs w:val="24"/>
        </w:rPr>
        <w:fldChar w:fldCharType="separate"/>
      </w:r>
      <w:r>
        <w:rPr>
          <w:sz w:val="24"/>
          <w:szCs w:val="24"/>
        </w:rPr>
        <w:t>- 8 -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_Toc13703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bCs/>
          <w:sz w:val="24"/>
          <w:szCs w:val="24"/>
        </w:rPr>
        <w:t>本项目投标人可在投标现场进行第二次报价。</w:t>
      </w:r>
      <w:r>
        <w:rPr>
          <w:sz w:val="24"/>
          <w:szCs w:val="24"/>
        </w:rPr>
        <w:tab/>
      </w:r>
      <w:r>
        <w:rPr>
          <w:sz w:val="24"/>
          <w:szCs w:val="24"/>
        </w:rPr>
        <w:fldChar w:fldCharType="begin"/>
      </w:r>
      <w:r>
        <w:rPr>
          <w:sz w:val="24"/>
          <w:szCs w:val="24"/>
        </w:rPr>
        <w:instrText xml:space="preserve"> PAGEREF _Toc13703 \h </w:instrText>
      </w:r>
      <w:r>
        <w:rPr>
          <w:sz w:val="24"/>
          <w:szCs w:val="24"/>
        </w:rPr>
        <w:fldChar w:fldCharType="separate"/>
      </w:r>
      <w:r>
        <w:rPr>
          <w:sz w:val="24"/>
          <w:szCs w:val="24"/>
        </w:rPr>
        <w:t>- 8 -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_Toc23723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四、评审标准</w:t>
      </w:r>
      <w:r>
        <w:rPr>
          <w:sz w:val="24"/>
          <w:szCs w:val="24"/>
        </w:rPr>
        <w:tab/>
      </w:r>
      <w:r>
        <w:rPr>
          <w:sz w:val="24"/>
          <w:szCs w:val="24"/>
        </w:rPr>
        <w:fldChar w:fldCharType="begin"/>
      </w:r>
      <w:r>
        <w:rPr>
          <w:sz w:val="24"/>
          <w:szCs w:val="24"/>
        </w:rPr>
        <w:instrText xml:space="preserve"> PAGEREF _Toc23723 \h </w:instrText>
      </w:r>
      <w:r>
        <w:rPr>
          <w:sz w:val="24"/>
          <w:szCs w:val="24"/>
        </w:rPr>
        <w:fldChar w:fldCharType="separate"/>
      </w:r>
      <w:r>
        <w:rPr>
          <w:sz w:val="24"/>
          <w:szCs w:val="24"/>
        </w:rPr>
        <w:t>- 8 -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_Toc4326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五、无效响应</w:t>
      </w:r>
      <w:r>
        <w:rPr>
          <w:sz w:val="24"/>
          <w:szCs w:val="24"/>
        </w:rPr>
        <w:tab/>
      </w:r>
      <w:r>
        <w:rPr>
          <w:sz w:val="24"/>
          <w:szCs w:val="24"/>
        </w:rPr>
        <w:fldChar w:fldCharType="begin"/>
      </w:r>
      <w:r>
        <w:rPr>
          <w:sz w:val="24"/>
          <w:szCs w:val="24"/>
        </w:rPr>
        <w:instrText xml:space="preserve"> PAGEREF _Toc4326 \h </w:instrText>
      </w:r>
      <w:r>
        <w:rPr>
          <w:sz w:val="24"/>
          <w:szCs w:val="24"/>
        </w:rPr>
        <w:fldChar w:fldCharType="separate"/>
      </w:r>
      <w:r>
        <w:rPr>
          <w:sz w:val="24"/>
          <w:szCs w:val="24"/>
        </w:rPr>
        <w:t>- 8 -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_Toc25327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六、废标条款</w:t>
      </w:r>
      <w:r>
        <w:rPr>
          <w:sz w:val="24"/>
          <w:szCs w:val="24"/>
        </w:rPr>
        <w:tab/>
      </w:r>
      <w:r>
        <w:rPr>
          <w:sz w:val="24"/>
          <w:szCs w:val="24"/>
        </w:rPr>
        <w:fldChar w:fldCharType="begin"/>
      </w:r>
      <w:r>
        <w:rPr>
          <w:sz w:val="24"/>
          <w:szCs w:val="24"/>
        </w:rPr>
        <w:instrText xml:space="preserve"> PAGEREF _Toc25327 \h </w:instrText>
      </w:r>
      <w:r>
        <w:rPr>
          <w:sz w:val="24"/>
          <w:szCs w:val="24"/>
        </w:rPr>
        <w:fldChar w:fldCharType="separate"/>
      </w:r>
      <w:r>
        <w:rPr>
          <w:sz w:val="24"/>
          <w:szCs w:val="24"/>
        </w:rPr>
        <w:t>- 9 -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_Toc7572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第五篇  投标人须知</w:t>
      </w:r>
      <w:r>
        <w:rPr>
          <w:sz w:val="24"/>
          <w:szCs w:val="24"/>
        </w:rPr>
        <w:tab/>
      </w:r>
      <w:r>
        <w:rPr>
          <w:sz w:val="24"/>
          <w:szCs w:val="24"/>
        </w:rPr>
        <w:fldChar w:fldCharType="begin"/>
      </w:r>
      <w:r>
        <w:rPr>
          <w:sz w:val="24"/>
          <w:szCs w:val="24"/>
        </w:rPr>
        <w:instrText xml:space="preserve"> PAGEREF _Toc7572 \h </w:instrText>
      </w:r>
      <w:r>
        <w:rPr>
          <w:sz w:val="24"/>
          <w:szCs w:val="24"/>
        </w:rPr>
        <w:fldChar w:fldCharType="separate"/>
      </w:r>
      <w:r>
        <w:rPr>
          <w:sz w:val="24"/>
          <w:szCs w:val="24"/>
        </w:rPr>
        <w:t>- 10 -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_Toc9364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费用</w:t>
      </w:r>
      <w:r>
        <w:rPr>
          <w:sz w:val="24"/>
          <w:szCs w:val="24"/>
        </w:rPr>
        <w:tab/>
      </w:r>
      <w:r>
        <w:rPr>
          <w:sz w:val="24"/>
          <w:szCs w:val="24"/>
        </w:rPr>
        <w:fldChar w:fldCharType="begin"/>
      </w:r>
      <w:r>
        <w:rPr>
          <w:sz w:val="24"/>
          <w:szCs w:val="24"/>
        </w:rPr>
        <w:instrText xml:space="preserve"> PAGEREF _Toc9364 \h </w:instrText>
      </w:r>
      <w:r>
        <w:rPr>
          <w:sz w:val="24"/>
          <w:szCs w:val="24"/>
        </w:rPr>
        <w:fldChar w:fldCharType="separate"/>
      </w:r>
      <w:r>
        <w:rPr>
          <w:sz w:val="24"/>
          <w:szCs w:val="24"/>
        </w:rPr>
        <w:t>- 10 -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_Toc20281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采购文件</w:t>
      </w:r>
      <w:r>
        <w:rPr>
          <w:sz w:val="24"/>
          <w:szCs w:val="24"/>
        </w:rPr>
        <w:tab/>
      </w:r>
      <w:r>
        <w:rPr>
          <w:sz w:val="24"/>
          <w:szCs w:val="24"/>
        </w:rPr>
        <w:fldChar w:fldCharType="begin"/>
      </w:r>
      <w:r>
        <w:rPr>
          <w:sz w:val="24"/>
          <w:szCs w:val="24"/>
        </w:rPr>
        <w:instrText xml:space="preserve"> PAGEREF _Toc20281 \h </w:instrText>
      </w:r>
      <w:r>
        <w:rPr>
          <w:sz w:val="24"/>
          <w:szCs w:val="24"/>
        </w:rPr>
        <w:fldChar w:fldCharType="separate"/>
      </w:r>
      <w:r>
        <w:rPr>
          <w:sz w:val="24"/>
          <w:szCs w:val="24"/>
        </w:rPr>
        <w:t>- 10 -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_Toc8971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三、比选要求</w:t>
      </w:r>
      <w:r>
        <w:rPr>
          <w:sz w:val="24"/>
          <w:szCs w:val="24"/>
        </w:rPr>
        <w:tab/>
      </w:r>
      <w:r>
        <w:rPr>
          <w:sz w:val="24"/>
          <w:szCs w:val="24"/>
        </w:rPr>
        <w:fldChar w:fldCharType="begin"/>
      </w:r>
      <w:r>
        <w:rPr>
          <w:sz w:val="24"/>
          <w:szCs w:val="24"/>
        </w:rPr>
        <w:instrText xml:space="preserve"> PAGEREF _Toc8971 \h </w:instrText>
      </w:r>
      <w:r>
        <w:rPr>
          <w:sz w:val="24"/>
          <w:szCs w:val="24"/>
        </w:rPr>
        <w:fldChar w:fldCharType="separate"/>
      </w:r>
      <w:r>
        <w:rPr>
          <w:sz w:val="24"/>
          <w:szCs w:val="24"/>
        </w:rPr>
        <w:t>- 10 -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_Toc13378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四、成交供应商的确认和变更</w:t>
      </w:r>
      <w:r>
        <w:rPr>
          <w:sz w:val="24"/>
          <w:szCs w:val="24"/>
        </w:rPr>
        <w:tab/>
      </w:r>
      <w:r>
        <w:rPr>
          <w:sz w:val="24"/>
          <w:szCs w:val="24"/>
        </w:rPr>
        <w:fldChar w:fldCharType="begin"/>
      </w:r>
      <w:r>
        <w:rPr>
          <w:sz w:val="24"/>
          <w:szCs w:val="24"/>
        </w:rPr>
        <w:instrText xml:space="preserve"> PAGEREF _Toc13378 \h </w:instrText>
      </w:r>
      <w:r>
        <w:rPr>
          <w:sz w:val="24"/>
          <w:szCs w:val="24"/>
        </w:rPr>
        <w:fldChar w:fldCharType="separate"/>
      </w:r>
      <w:r>
        <w:rPr>
          <w:sz w:val="24"/>
          <w:szCs w:val="24"/>
        </w:rPr>
        <w:t>- 11 -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_Toc712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五、成交通知</w:t>
      </w:r>
      <w:r>
        <w:rPr>
          <w:sz w:val="24"/>
          <w:szCs w:val="24"/>
        </w:rPr>
        <w:tab/>
      </w:r>
      <w:r>
        <w:rPr>
          <w:sz w:val="24"/>
          <w:szCs w:val="24"/>
        </w:rPr>
        <w:fldChar w:fldCharType="begin"/>
      </w:r>
      <w:r>
        <w:rPr>
          <w:sz w:val="24"/>
          <w:szCs w:val="24"/>
        </w:rPr>
        <w:instrText xml:space="preserve"> PAGEREF _Toc712 \h </w:instrText>
      </w:r>
      <w:r>
        <w:rPr>
          <w:sz w:val="24"/>
          <w:szCs w:val="24"/>
        </w:rPr>
        <w:fldChar w:fldCharType="separate"/>
      </w:r>
      <w:r>
        <w:rPr>
          <w:sz w:val="24"/>
          <w:szCs w:val="24"/>
        </w:rPr>
        <w:t>- 11 -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_Toc22564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六、质疑处理</w:t>
      </w:r>
      <w:r>
        <w:rPr>
          <w:sz w:val="24"/>
          <w:szCs w:val="24"/>
        </w:rPr>
        <w:tab/>
      </w:r>
      <w:r>
        <w:rPr>
          <w:sz w:val="24"/>
          <w:szCs w:val="24"/>
        </w:rPr>
        <w:fldChar w:fldCharType="begin"/>
      </w:r>
      <w:r>
        <w:rPr>
          <w:sz w:val="24"/>
          <w:szCs w:val="24"/>
        </w:rPr>
        <w:instrText xml:space="preserve"> PAGEREF _Toc22564 \h </w:instrText>
      </w:r>
      <w:r>
        <w:rPr>
          <w:sz w:val="24"/>
          <w:szCs w:val="24"/>
        </w:rPr>
        <w:fldChar w:fldCharType="separate"/>
      </w:r>
      <w:r>
        <w:rPr>
          <w:sz w:val="24"/>
          <w:szCs w:val="24"/>
        </w:rPr>
        <w:t>- 11 -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_Toc32500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七、签订合同</w:t>
      </w:r>
      <w:r>
        <w:rPr>
          <w:sz w:val="24"/>
          <w:szCs w:val="24"/>
        </w:rPr>
        <w:tab/>
      </w:r>
      <w:r>
        <w:rPr>
          <w:sz w:val="24"/>
          <w:szCs w:val="24"/>
        </w:rPr>
        <w:fldChar w:fldCharType="begin"/>
      </w:r>
      <w:r>
        <w:rPr>
          <w:sz w:val="24"/>
          <w:szCs w:val="24"/>
        </w:rPr>
        <w:instrText xml:space="preserve"> PAGEREF _Toc32500 \h </w:instrText>
      </w:r>
      <w:r>
        <w:rPr>
          <w:sz w:val="24"/>
          <w:szCs w:val="24"/>
        </w:rPr>
        <w:fldChar w:fldCharType="separate"/>
      </w:r>
      <w:r>
        <w:rPr>
          <w:sz w:val="24"/>
          <w:szCs w:val="24"/>
        </w:rPr>
        <w:t>- 12 -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_Toc6345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第六篇  响应文件编制要求</w:t>
      </w:r>
      <w:r>
        <w:rPr>
          <w:sz w:val="24"/>
          <w:szCs w:val="24"/>
        </w:rPr>
        <w:tab/>
      </w:r>
      <w:r>
        <w:rPr>
          <w:sz w:val="24"/>
          <w:szCs w:val="24"/>
        </w:rPr>
        <w:fldChar w:fldCharType="begin"/>
      </w:r>
      <w:r>
        <w:rPr>
          <w:sz w:val="24"/>
          <w:szCs w:val="24"/>
        </w:rPr>
        <w:instrText xml:space="preserve"> PAGEREF _Toc6345 \h </w:instrText>
      </w:r>
      <w:r>
        <w:rPr>
          <w:sz w:val="24"/>
          <w:szCs w:val="24"/>
        </w:rPr>
        <w:fldChar w:fldCharType="separate"/>
      </w:r>
      <w:r>
        <w:rPr>
          <w:sz w:val="24"/>
          <w:szCs w:val="24"/>
        </w:rPr>
        <w:t>- 13 -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_Toc22447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一、经济部分</w:t>
      </w:r>
      <w:r>
        <w:rPr>
          <w:sz w:val="24"/>
          <w:szCs w:val="24"/>
        </w:rPr>
        <w:tab/>
      </w:r>
      <w:r>
        <w:rPr>
          <w:sz w:val="24"/>
          <w:szCs w:val="24"/>
        </w:rPr>
        <w:fldChar w:fldCharType="begin"/>
      </w:r>
      <w:r>
        <w:rPr>
          <w:sz w:val="24"/>
          <w:szCs w:val="24"/>
        </w:rPr>
        <w:instrText xml:space="preserve"> PAGEREF _Toc22447 \h </w:instrText>
      </w:r>
      <w:r>
        <w:rPr>
          <w:sz w:val="24"/>
          <w:szCs w:val="24"/>
        </w:rPr>
        <w:fldChar w:fldCharType="separate"/>
      </w:r>
      <w:r>
        <w:rPr>
          <w:sz w:val="24"/>
          <w:szCs w:val="24"/>
        </w:rPr>
        <w:t>- 15 -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_Toc4162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二、技术部分</w:t>
      </w:r>
      <w:r>
        <w:rPr>
          <w:sz w:val="24"/>
          <w:szCs w:val="24"/>
        </w:rPr>
        <w:tab/>
      </w:r>
      <w:r>
        <w:rPr>
          <w:sz w:val="24"/>
          <w:szCs w:val="24"/>
        </w:rPr>
        <w:fldChar w:fldCharType="begin"/>
      </w:r>
      <w:r>
        <w:rPr>
          <w:sz w:val="24"/>
          <w:szCs w:val="24"/>
        </w:rPr>
        <w:instrText xml:space="preserve"> PAGEREF _Toc4162 \h </w:instrText>
      </w:r>
      <w:r>
        <w:rPr>
          <w:sz w:val="24"/>
          <w:szCs w:val="24"/>
        </w:rPr>
        <w:fldChar w:fldCharType="separate"/>
      </w:r>
      <w:r>
        <w:rPr>
          <w:sz w:val="24"/>
          <w:szCs w:val="24"/>
        </w:rPr>
        <w:t>- 17 -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_Toc30571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三、商务部分</w:t>
      </w:r>
      <w:r>
        <w:rPr>
          <w:sz w:val="24"/>
          <w:szCs w:val="24"/>
        </w:rPr>
        <w:tab/>
      </w:r>
      <w:r>
        <w:rPr>
          <w:sz w:val="24"/>
          <w:szCs w:val="24"/>
        </w:rPr>
        <w:fldChar w:fldCharType="begin"/>
      </w:r>
      <w:r>
        <w:rPr>
          <w:sz w:val="24"/>
          <w:szCs w:val="24"/>
        </w:rPr>
        <w:instrText xml:space="preserve"> PAGEREF _Toc30571 \h </w:instrText>
      </w:r>
      <w:r>
        <w:rPr>
          <w:sz w:val="24"/>
          <w:szCs w:val="24"/>
        </w:rPr>
        <w:fldChar w:fldCharType="separate"/>
      </w:r>
      <w:r>
        <w:rPr>
          <w:sz w:val="24"/>
          <w:szCs w:val="24"/>
        </w:rPr>
        <w:t>- 19 -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_Toc32054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四、资格条件</w:t>
      </w:r>
      <w:r>
        <w:rPr>
          <w:sz w:val="24"/>
          <w:szCs w:val="24"/>
        </w:rPr>
        <w:tab/>
      </w:r>
      <w:r>
        <w:rPr>
          <w:sz w:val="24"/>
          <w:szCs w:val="24"/>
        </w:rPr>
        <w:fldChar w:fldCharType="begin"/>
      </w:r>
      <w:r>
        <w:rPr>
          <w:sz w:val="24"/>
          <w:szCs w:val="24"/>
        </w:rPr>
        <w:instrText xml:space="preserve"> PAGEREF _Toc32054 \h </w:instrText>
      </w:r>
      <w:r>
        <w:rPr>
          <w:sz w:val="24"/>
          <w:szCs w:val="24"/>
        </w:rPr>
        <w:fldChar w:fldCharType="separate"/>
      </w:r>
      <w:r>
        <w:rPr>
          <w:sz w:val="24"/>
          <w:szCs w:val="24"/>
        </w:rPr>
        <w:t>- 21 -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_Toc12335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五、其他资料</w:t>
      </w:r>
      <w:r>
        <w:rPr>
          <w:sz w:val="24"/>
          <w:szCs w:val="24"/>
        </w:rPr>
        <w:tab/>
      </w:r>
      <w:r>
        <w:rPr>
          <w:sz w:val="24"/>
          <w:szCs w:val="24"/>
        </w:rPr>
        <w:fldChar w:fldCharType="begin"/>
      </w:r>
      <w:r>
        <w:rPr>
          <w:sz w:val="24"/>
          <w:szCs w:val="24"/>
        </w:rPr>
        <w:instrText xml:space="preserve"> PAGEREF _Toc12335 \h </w:instrText>
      </w:r>
      <w:r>
        <w:rPr>
          <w:sz w:val="24"/>
          <w:szCs w:val="24"/>
        </w:rPr>
        <w:fldChar w:fldCharType="separate"/>
      </w:r>
      <w:r>
        <w:rPr>
          <w:sz w:val="24"/>
          <w:szCs w:val="24"/>
        </w:rPr>
        <w:t>- 27 -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02"/>
        </w:tabs>
        <w:spacing w:line="480" w:lineRule="exact"/>
        <w:ind w:left="560"/>
        <w:jc w:val="center"/>
        <w:rPr>
          <w:rFonts w:hint="eastAsia" w:ascii="微软雅黑" w:hAnsi="微软雅黑" w:eastAsia="微软雅黑" w:cs="微软雅黑"/>
          <w:sz w:val="18"/>
          <w:szCs w:val="22"/>
        </w:rPr>
        <w:sectPr>
          <w:pgSz w:w="11907" w:h="16840"/>
          <w:pgMar w:top="1134" w:right="1191" w:bottom="1134" w:left="1304" w:header="851" w:footer="992" w:gutter="0"/>
          <w:pgNumType w:fmt="numberInDash" w:start="1"/>
          <w:cols w:space="720" w:num="1"/>
          <w:docGrid w:linePitch="381" w:charSpace="-5735"/>
        </w:sectPr>
      </w:pPr>
      <w:r>
        <w:rPr>
          <w:rFonts w:hint="eastAsia" w:ascii="微软雅黑" w:hAnsi="微软雅黑" w:eastAsia="微软雅黑" w:cs="微软雅黑"/>
          <w:sz w:val="24"/>
          <w:szCs w:val="24"/>
        </w:rPr>
        <w:fldChar w:fldCharType="end"/>
      </w:r>
    </w:p>
    <w:p>
      <w:pPr>
        <w:pStyle w:val="4"/>
        <w:spacing w:before="200" w:after="200" w:line="240" w:lineRule="auto"/>
        <w:jc w:val="center"/>
        <w:rPr>
          <w:rFonts w:hint="eastAsia" w:ascii="微软雅黑" w:hAnsi="微软雅黑" w:eastAsia="微软雅黑" w:cs="微软雅黑"/>
          <w:sz w:val="44"/>
        </w:rPr>
      </w:pPr>
      <w:bookmarkStart w:id="0" w:name="_Toc106030870"/>
      <w:bookmarkStart w:id="1" w:name="_Toc76462316"/>
      <w:bookmarkStart w:id="2" w:name="_Toc7678"/>
      <w:bookmarkStart w:id="3" w:name="_Toc11641050"/>
      <w:bookmarkStart w:id="4" w:name="_Toc24037"/>
      <w:bookmarkStart w:id="5" w:name="_Toc12789052"/>
      <w:r>
        <w:rPr>
          <w:rFonts w:hint="eastAsia" w:ascii="微软雅黑" w:hAnsi="微软雅黑" w:eastAsia="微软雅黑" w:cs="微软雅黑"/>
          <w:sz w:val="44"/>
        </w:rPr>
        <w:t>第一篇  采购邀请书</w:t>
      </w:r>
      <w:bookmarkEnd w:id="0"/>
      <w:bookmarkEnd w:id="1"/>
      <w:bookmarkEnd w:id="2"/>
      <w:bookmarkEnd w:id="3"/>
      <w:bookmarkEnd w:id="4"/>
      <w:bookmarkEnd w:id="5"/>
    </w:p>
    <w:p>
      <w:pPr>
        <w:spacing w:line="360" w:lineRule="auto"/>
        <w:ind w:firstLine="480" w:firstLineChars="200"/>
        <w:outlineLvl w:val="0"/>
        <w:rPr>
          <w:rFonts w:hint="eastAsia" w:ascii="微软雅黑" w:hAnsi="微软雅黑" w:eastAsia="微软雅黑" w:cs="微软雅黑"/>
          <w:sz w:val="24"/>
          <w:szCs w:val="24"/>
        </w:rPr>
      </w:pPr>
      <w:r>
        <w:rPr>
          <w:rFonts w:hint="eastAsia" w:ascii="微软雅黑" w:hAnsi="微软雅黑" w:eastAsia="微软雅黑" w:cs="微软雅黑"/>
          <w:sz w:val="24"/>
          <w:szCs w:val="24"/>
        </w:rPr>
        <w:t>重庆医科大学附属儿童医院对</w:t>
      </w:r>
      <w:r>
        <w:rPr>
          <w:rFonts w:hint="eastAsia" w:asciiTheme="minorEastAsia" w:hAnsiTheme="minorEastAsia" w:eastAsiaTheme="minorEastAsia" w:cstheme="minorEastAsia"/>
          <w:bCs/>
          <w:color w:val="333333"/>
          <w:kern w:val="0"/>
          <w:sz w:val="24"/>
          <w:szCs w:val="24"/>
          <w:u w:val="single"/>
          <w:lang w:val="en-US" w:eastAsia="zh-CN"/>
        </w:rPr>
        <w:t>一</w:t>
      </w:r>
      <w:r>
        <w:rPr>
          <w:rFonts w:hint="eastAsia" w:ascii="微软雅黑" w:hAnsi="微软雅黑" w:eastAsia="微软雅黑" w:cs="微软雅黑"/>
          <w:sz w:val="24"/>
          <w:szCs w:val="24"/>
          <w:u w:val="single"/>
          <w:lang w:val="en-US" w:eastAsia="zh-CN"/>
        </w:rPr>
        <w:t>次性使用介入手术辅助包</w:t>
      </w:r>
      <w:r>
        <w:rPr>
          <w:rFonts w:hint="eastAsia" w:ascii="微软雅黑" w:hAnsi="微软雅黑" w:eastAsia="微软雅黑" w:cs="微软雅黑"/>
          <w:sz w:val="24"/>
          <w:szCs w:val="24"/>
        </w:rPr>
        <w:t>项目进行</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采购。欢迎有资格的投标人前来参与。</w:t>
      </w:r>
    </w:p>
    <w:p>
      <w:pPr>
        <w:pStyle w:val="4"/>
        <w:numPr>
          <w:ilvl w:val="0"/>
          <w:numId w:val="14"/>
        </w:numPr>
        <w:adjustRightInd w:val="0"/>
        <w:snapToGrid w:val="0"/>
        <w:spacing w:before="0" w:after="0" w:line="400" w:lineRule="exact"/>
        <w:rPr>
          <w:rFonts w:hint="eastAsia" w:ascii="微软雅黑" w:hAnsi="微软雅黑" w:eastAsia="微软雅黑" w:cs="微软雅黑"/>
          <w:sz w:val="24"/>
        </w:rPr>
      </w:pPr>
      <w:bookmarkStart w:id="6" w:name="_Toc317775175"/>
      <w:bookmarkStart w:id="7" w:name="_Toc76462317"/>
      <w:bookmarkStart w:id="8" w:name="_Toc18148"/>
      <w:bookmarkStart w:id="9" w:name="_Toc106030871"/>
      <w:bookmarkStart w:id="10" w:name="_Toc313893526"/>
      <w:bookmarkStart w:id="11" w:name="_Toc3856"/>
      <w:r>
        <w:rPr>
          <w:rFonts w:hint="eastAsia" w:ascii="微软雅黑" w:hAnsi="微软雅黑" w:eastAsia="微软雅黑" w:cs="微软雅黑"/>
          <w:sz w:val="24"/>
          <w:lang w:eastAsia="zh-CN"/>
        </w:rPr>
        <w:t>耗材遴选</w:t>
      </w:r>
      <w:r>
        <w:rPr>
          <w:rFonts w:hint="eastAsia" w:ascii="微软雅黑" w:hAnsi="微软雅黑" w:eastAsia="微软雅黑" w:cs="微软雅黑"/>
          <w:sz w:val="24"/>
        </w:rPr>
        <w:t>采购内容</w:t>
      </w:r>
      <w:bookmarkEnd w:id="6"/>
      <w:bookmarkEnd w:id="7"/>
      <w:bookmarkEnd w:id="8"/>
      <w:bookmarkEnd w:id="9"/>
      <w:bookmarkEnd w:id="10"/>
      <w:bookmarkEnd w:id="11"/>
    </w:p>
    <w:tbl>
      <w:tblPr>
        <w:tblStyle w:val="58"/>
        <w:tblW w:w="422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50"/>
        <w:gridCol w:w="2911"/>
        <w:gridCol w:w="1486"/>
        <w:gridCol w:w="20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 w:hRule="atLeast"/>
          <w:jc w:val="center"/>
        </w:trPr>
        <w:tc>
          <w:tcPr>
            <w:tcW w:w="964" w:type="pct"/>
            <w:tcBorders>
              <w:top w:val="single" w:color="auto" w:sz="4" w:space="0"/>
              <w:left w:val="single" w:color="auto" w:sz="4" w:space="0"/>
              <w:right w:val="single" w:color="auto" w:sz="4" w:space="0"/>
            </w:tcBorders>
            <w:vAlign w:val="center"/>
          </w:tcPr>
          <w:p>
            <w:pPr>
              <w:widowControl/>
              <w:jc w:val="center"/>
              <w:rPr>
                <w:rFonts w:hint="eastAsia" w:ascii="微软雅黑" w:hAnsi="微软雅黑" w:eastAsia="微软雅黑" w:cs="微软雅黑"/>
                <w:b/>
                <w:bCs/>
                <w:kern w:val="0"/>
                <w:sz w:val="21"/>
                <w:szCs w:val="24"/>
              </w:rPr>
            </w:pPr>
            <w:bookmarkStart w:id="12" w:name="_Toc106030872"/>
            <w:bookmarkStart w:id="13" w:name="_Toc76462318"/>
            <w:bookmarkStart w:id="14" w:name="_Toc373860293"/>
            <w:bookmarkStart w:id="15" w:name="_Toc317775178"/>
            <w:r>
              <w:rPr>
                <w:rFonts w:hint="eastAsia" w:ascii="微软雅黑" w:hAnsi="微软雅黑" w:eastAsia="微软雅黑" w:cs="微软雅黑"/>
                <w:b/>
                <w:bCs/>
                <w:kern w:val="0"/>
                <w:sz w:val="21"/>
                <w:szCs w:val="24"/>
              </w:rPr>
              <w:t>项目编号</w:t>
            </w:r>
          </w:p>
        </w:tc>
        <w:tc>
          <w:tcPr>
            <w:tcW w:w="1811" w:type="pct"/>
            <w:tcBorders>
              <w:top w:val="single" w:color="auto" w:sz="4" w:space="0"/>
              <w:left w:val="single" w:color="auto" w:sz="4" w:space="0"/>
              <w:right w:val="single" w:color="auto" w:sz="4" w:space="0"/>
            </w:tcBorders>
            <w:vAlign w:val="center"/>
          </w:tcPr>
          <w:p>
            <w:pPr>
              <w:widowControl/>
              <w:jc w:val="center"/>
              <w:rPr>
                <w:rFonts w:hint="eastAsia" w:ascii="微软雅黑" w:hAnsi="微软雅黑" w:eastAsia="微软雅黑" w:cs="微软雅黑"/>
                <w:b/>
                <w:bCs/>
                <w:kern w:val="0"/>
                <w:sz w:val="21"/>
                <w:szCs w:val="24"/>
              </w:rPr>
            </w:pPr>
            <w:r>
              <w:rPr>
                <w:rFonts w:hint="eastAsia" w:ascii="微软雅黑" w:hAnsi="微软雅黑" w:eastAsia="微软雅黑" w:cs="微软雅黑"/>
                <w:b/>
                <w:bCs/>
                <w:kern w:val="0"/>
                <w:sz w:val="21"/>
                <w:szCs w:val="24"/>
              </w:rPr>
              <w:t>项目名称</w:t>
            </w:r>
          </w:p>
        </w:tc>
        <w:tc>
          <w:tcPr>
            <w:tcW w:w="924" w:type="pct"/>
            <w:tcBorders>
              <w:top w:val="single" w:color="auto" w:sz="4" w:space="0"/>
              <w:left w:val="single" w:color="auto" w:sz="4" w:space="0"/>
              <w:right w:val="single" w:color="auto" w:sz="4" w:space="0"/>
            </w:tcBorders>
            <w:vAlign w:val="center"/>
          </w:tcPr>
          <w:p>
            <w:pPr>
              <w:widowControl/>
              <w:jc w:val="center"/>
              <w:rPr>
                <w:rFonts w:hint="eastAsia" w:ascii="微软雅黑" w:hAnsi="微软雅黑" w:eastAsia="微软雅黑" w:cs="微软雅黑"/>
                <w:b/>
                <w:bCs/>
                <w:kern w:val="0"/>
                <w:sz w:val="21"/>
                <w:szCs w:val="24"/>
              </w:rPr>
            </w:pPr>
            <w:r>
              <w:rPr>
                <w:rFonts w:hint="eastAsia" w:ascii="微软雅黑" w:hAnsi="微软雅黑" w:eastAsia="微软雅黑" w:cs="微软雅黑"/>
                <w:b/>
                <w:bCs/>
                <w:kern w:val="0"/>
                <w:sz w:val="21"/>
                <w:szCs w:val="24"/>
              </w:rPr>
              <w:t>保证金</w:t>
            </w:r>
          </w:p>
          <w:p>
            <w:pPr>
              <w:widowControl/>
              <w:jc w:val="center"/>
              <w:rPr>
                <w:rFonts w:hint="eastAsia" w:ascii="微软雅黑" w:hAnsi="微软雅黑" w:eastAsia="微软雅黑" w:cs="微软雅黑"/>
                <w:b/>
                <w:bCs/>
                <w:kern w:val="0"/>
                <w:sz w:val="21"/>
                <w:szCs w:val="24"/>
              </w:rPr>
            </w:pPr>
            <w:r>
              <w:rPr>
                <w:rFonts w:hint="eastAsia" w:ascii="微软雅黑" w:hAnsi="微软雅黑" w:eastAsia="微软雅黑" w:cs="微软雅黑"/>
                <w:b/>
                <w:bCs/>
                <w:kern w:val="0"/>
                <w:sz w:val="21"/>
                <w:szCs w:val="24"/>
              </w:rPr>
              <w:t>（元）</w:t>
            </w:r>
          </w:p>
        </w:tc>
        <w:tc>
          <w:tcPr>
            <w:tcW w:w="1299" w:type="pct"/>
            <w:tcBorders>
              <w:top w:val="single" w:color="auto" w:sz="4" w:space="0"/>
              <w:left w:val="single" w:color="auto" w:sz="4" w:space="0"/>
              <w:right w:val="single" w:color="auto" w:sz="4" w:space="0"/>
            </w:tcBorders>
            <w:vAlign w:val="center"/>
          </w:tcPr>
          <w:p>
            <w:pPr>
              <w:widowControl/>
              <w:jc w:val="center"/>
              <w:rPr>
                <w:rFonts w:hint="default" w:ascii="微软雅黑" w:hAnsi="微软雅黑" w:eastAsia="微软雅黑" w:cs="微软雅黑"/>
                <w:b/>
                <w:bCs/>
                <w:kern w:val="0"/>
                <w:sz w:val="21"/>
                <w:szCs w:val="24"/>
                <w:lang w:val="en-US" w:eastAsia="zh-CN"/>
              </w:rPr>
            </w:pPr>
            <w:r>
              <w:rPr>
                <w:rFonts w:hint="eastAsia" w:ascii="微软雅黑" w:hAnsi="微软雅黑" w:eastAsia="微软雅黑" w:cs="微软雅黑"/>
                <w:b/>
                <w:bCs/>
                <w:kern w:val="0"/>
                <w:sz w:val="21"/>
                <w:szCs w:val="24"/>
                <w:lang w:val="en-US" w:eastAsia="zh-CN"/>
              </w:rPr>
              <w:t>中标单位数量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964" w:type="pct"/>
            <w:tcBorders>
              <w:top w:val="single" w:color="auto" w:sz="4" w:space="0"/>
              <w:left w:val="single" w:color="auto" w:sz="4" w:space="0"/>
              <w:bottom w:val="single" w:color="auto" w:sz="4" w:space="0"/>
              <w:right w:val="single" w:color="auto" w:sz="4" w:space="0"/>
            </w:tcBorders>
            <w:vAlign w:val="center"/>
          </w:tcPr>
          <w:p>
            <w:pPr>
              <w:widowControl/>
              <w:jc w:val="center"/>
              <w:rPr>
                <w:rFonts w:hint="default" w:ascii="微软雅黑" w:hAnsi="微软雅黑" w:eastAsia="微软雅黑" w:cs="微软雅黑"/>
                <w:kern w:val="0"/>
                <w:sz w:val="18"/>
                <w:szCs w:val="18"/>
                <w:lang w:val="en-US" w:eastAsia="zh-CN"/>
              </w:rPr>
            </w:pPr>
            <w:r>
              <w:rPr>
                <w:rFonts w:hint="eastAsia" w:ascii="微软雅黑" w:hAnsi="微软雅黑" w:eastAsia="微软雅黑" w:cs="微软雅黑"/>
                <w:b w:val="0"/>
                <w:bCs/>
                <w:color w:val="333333"/>
                <w:kern w:val="0"/>
                <w:sz w:val="18"/>
                <w:szCs w:val="18"/>
                <w:lang w:val="en-US" w:eastAsia="zh-CN"/>
              </w:rPr>
              <w:t>YSB260224</w:t>
            </w:r>
          </w:p>
        </w:tc>
        <w:tc>
          <w:tcPr>
            <w:tcW w:w="1811" w:type="pct"/>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18"/>
                <w:szCs w:val="18"/>
                <w:lang w:eastAsia="zh-CN"/>
              </w:rPr>
            </w:pPr>
            <w:r>
              <w:rPr>
                <w:rFonts w:hint="eastAsia" w:ascii="微软雅黑" w:hAnsi="微软雅黑" w:eastAsia="微软雅黑" w:cs="微软雅黑"/>
                <w:b w:val="0"/>
                <w:bCs/>
                <w:color w:val="333333"/>
                <w:kern w:val="0"/>
                <w:sz w:val="18"/>
                <w:szCs w:val="18"/>
                <w:lang w:val="en-US" w:eastAsia="zh-CN"/>
              </w:rPr>
              <w:t>一次性使用介入手术辅助包</w:t>
            </w:r>
          </w:p>
        </w:tc>
        <w:tc>
          <w:tcPr>
            <w:tcW w:w="924" w:type="pct"/>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18"/>
                <w:szCs w:val="18"/>
              </w:rPr>
            </w:pPr>
            <w:r>
              <w:rPr>
                <w:rFonts w:hint="eastAsia" w:ascii="微软雅黑" w:hAnsi="微软雅黑" w:eastAsia="微软雅黑" w:cs="微软雅黑"/>
                <w:b w:val="0"/>
                <w:bCs/>
                <w:color w:val="333333"/>
                <w:kern w:val="0"/>
                <w:sz w:val="18"/>
                <w:szCs w:val="18"/>
                <w:lang w:val="en-US" w:eastAsia="zh-CN"/>
              </w:rPr>
              <w:t>2000</w:t>
            </w:r>
          </w:p>
        </w:tc>
        <w:tc>
          <w:tcPr>
            <w:tcW w:w="1299" w:type="pct"/>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18"/>
                <w:szCs w:val="18"/>
                <w:lang w:val="en-US" w:eastAsia="zh-CN"/>
              </w:rPr>
            </w:pPr>
            <w:r>
              <w:rPr>
                <w:rFonts w:hint="eastAsia" w:ascii="微软雅黑" w:hAnsi="微软雅黑" w:eastAsia="微软雅黑" w:cs="微软雅黑"/>
                <w:b w:val="0"/>
                <w:bCs/>
                <w:color w:val="333333"/>
                <w:kern w:val="0"/>
                <w:sz w:val="18"/>
                <w:szCs w:val="18"/>
                <w:lang w:val="en-US" w:eastAsia="zh-CN"/>
              </w:rPr>
              <w:t>1</w:t>
            </w:r>
          </w:p>
        </w:tc>
      </w:tr>
    </w:tbl>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6" w:name="_Toc9755"/>
      <w:bookmarkStart w:id="17" w:name="_Toc30460"/>
      <w:r>
        <w:rPr>
          <w:rFonts w:hint="eastAsia" w:ascii="微软雅黑" w:hAnsi="微软雅黑" w:eastAsia="微软雅黑" w:cs="微软雅黑"/>
          <w:sz w:val="24"/>
        </w:rPr>
        <w:t>二、</w:t>
      </w:r>
      <w:bookmarkEnd w:id="12"/>
      <w:bookmarkEnd w:id="13"/>
      <w:bookmarkEnd w:id="16"/>
      <w:bookmarkStart w:id="18" w:name="_Toc4480"/>
      <w:bookmarkStart w:id="19" w:name="_Toc76462319"/>
      <w:bookmarkStart w:id="20" w:name="_Toc106030873"/>
      <w:r>
        <w:rPr>
          <w:rFonts w:hint="eastAsia" w:ascii="微软雅黑" w:hAnsi="微软雅黑" w:eastAsia="微软雅黑" w:cs="微软雅黑"/>
          <w:sz w:val="24"/>
        </w:rPr>
        <w:t>投标人资格条件</w:t>
      </w:r>
      <w:bookmarkEnd w:id="17"/>
      <w:bookmarkEnd w:id="18"/>
      <w:bookmarkEnd w:id="19"/>
      <w:bookmarkEnd w:id="20"/>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（一）满足《中华人民共和国政府采购法》第二十二条规定；</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（二）本项目的特定资格要求：</w:t>
      </w:r>
      <w:bookmarkStart w:id="21" w:name="_Toc106030874"/>
      <w:bookmarkStart w:id="22" w:name="_Toc27954"/>
      <w:bookmarkStart w:id="23" w:name="_Toc76462320"/>
    </w:p>
    <w:p>
      <w:pPr>
        <w:spacing w:line="400" w:lineRule="exact"/>
        <w:ind w:firstLine="480" w:firstLineChars="200"/>
        <w:rPr>
          <w:rFonts w:hint="eastAsia" w:ascii="微软雅黑" w:hAnsi="微软雅黑" w:eastAsia="微软雅黑" w:cs="微软雅黑"/>
          <w:sz w:val="24"/>
          <w:szCs w:val="24"/>
        </w:rPr>
      </w:pPr>
      <w:bookmarkStart w:id="24" w:name="_Toc5002"/>
      <w:r>
        <w:rPr>
          <w:rFonts w:hint="eastAsia" w:ascii="微软雅黑" w:hAnsi="微软雅黑" w:eastAsia="微软雅黑" w:cs="微软雅黑"/>
          <w:sz w:val="24"/>
          <w:szCs w:val="24"/>
        </w:rPr>
        <w:t>1</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投标人为所投标产品制造商或经销商。若为经销商投标，须具备投标产品制造商或制造商中国境内代表机构认可的经销资格；</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2</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投标人医疗器械经营许可证；</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3</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生产企业的医疗器械生产企业许可证和生产目录表；</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4</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所投产品属三类医疗器械的，须具备有效期内《医疗器械经营企业许可证》或《医疗器械经营许可证》</w:t>
      </w:r>
      <w:r>
        <w:rPr>
          <w:rFonts w:hint="eastAsia" w:ascii="微软雅黑" w:hAnsi="微软雅黑" w:eastAsia="微软雅黑" w:cs="微软雅黑"/>
          <w:sz w:val="24"/>
          <w:szCs w:val="24"/>
          <w:lang w:val="en-US" w:eastAsia="zh-CN"/>
        </w:rPr>
        <w:t>及产品注册证</w:t>
      </w:r>
      <w:r>
        <w:rPr>
          <w:rFonts w:hint="eastAsia" w:ascii="微软雅黑" w:hAnsi="微软雅黑" w:eastAsia="微软雅黑" w:cs="微软雅黑"/>
          <w:sz w:val="24"/>
          <w:szCs w:val="24"/>
        </w:rPr>
        <w:t>；</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5</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所提供产品属二类医疗器械的，须具备有效期内《医疗器械经营企业许可证》或《第二类医疗器械经营备案凭证》</w:t>
      </w:r>
      <w:r>
        <w:rPr>
          <w:rFonts w:hint="eastAsia" w:ascii="微软雅黑" w:hAnsi="微软雅黑" w:eastAsia="微软雅黑" w:cs="微软雅黑"/>
          <w:sz w:val="24"/>
          <w:szCs w:val="24"/>
          <w:lang w:val="en-US" w:eastAsia="zh-CN"/>
        </w:rPr>
        <w:t>及产品注册证</w:t>
      </w:r>
      <w:r>
        <w:rPr>
          <w:rFonts w:hint="eastAsia" w:ascii="微软雅黑" w:hAnsi="微软雅黑" w:eastAsia="微软雅黑" w:cs="微软雅黑"/>
          <w:sz w:val="24"/>
          <w:szCs w:val="24"/>
        </w:rPr>
        <w:t>；</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6</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所提供产品属一类医疗器械的，须具有所提供产品《第一类医疗器械备案凭证》及《第一类医疗器械备案信息表》</w:t>
      </w:r>
      <w:r>
        <w:rPr>
          <w:rFonts w:hint="eastAsia" w:ascii="微软雅黑" w:hAnsi="微软雅黑" w:eastAsia="微软雅黑" w:cs="微软雅黑"/>
          <w:sz w:val="24"/>
          <w:szCs w:val="24"/>
          <w:lang w:val="en-US" w:eastAsia="zh-CN"/>
        </w:rPr>
        <w:t>及产品备案证明</w:t>
      </w:r>
      <w:r>
        <w:rPr>
          <w:rFonts w:hint="eastAsia" w:ascii="微软雅黑" w:hAnsi="微软雅黑" w:eastAsia="微软雅黑" w:cs="微软雅黑"/>
          <w:sz w:val="24"/>
          <w:szCs w:val="24"/>
        </w:rPr>
        <w:t>；</w:t>
      </w:r>
    </w:p>
    <w:p>
      <w:pPr>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7.投标人须提供在有效期内的注册证，若投标日注册证有效期少于3个月，须提供国家药品监督管理局接受变更注册证的回执及其他能证明正在变更注册证的文件；</w:t>
      </w:r>
    </w:p>
    <w:p>
      <w:pPr>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8.投标人须提供投标产品的说明书。</w:t>
      </w:r>
    </w:p>
    <w:p>
      <w:pPr>
        <w:pStyle w:val="4"/>
        <w:adjustRightInd w:val="0"/>
        <w:snapToGrid w:val="0"/>
        <w:spacing w:before="0" w:after="0" w:line="400" w:lineRule="exact"/>
        <w:ind w:firstLine="480" w:firstLineChars="200"/>
        <w:rPr>
          <w:rFonts w:hint="eastAsia" w:ascii="微软雅黑" w:hAnsi="微软雅黑" w:eastAsia="微软雅黑" w:cs="微软雅黑"/>
          <w:sz w:val="24"/>
          <w:lang w:eastAsia="zh-CN"/>
        </w:rPr>
      </w:pPr>
      <w:r>
        <w:rPr>
          <w:rFonts w:hint="eastAsia" w:ascii="微软雅黑" w:hAnsi="微软雅黑" w:eastAsia="微软雅黑" w:cs="微软雅黑"/>
          <w:sz w:val="24"/>
          <w:lang w:eastAsia="zh-CN"/>
        </w:rPr>
        <w:t>三、比选有关说明</w:t>
      </w:r>
      <w:bookmarkEnd w:id="14"/>
      <w:bookmarkEnd w:id="21"/>
      <w:bookmarkEnd w:id="22"/>
      <w:bookmarkEnd w:id="23"/>
      <w:bookmarkEnd w:id="24"/>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（一）投标人应通过重庆医科大学附属儿童医院电子招投标平台（zbb.chcmu</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com</w:t>
      </w:r>
      <w:r>
        <w:rPr>
          <w:rFonts w:hint="eastAsia" w:ascii="微软雅黑" w:hAnsi="微软雅黑" w:eastAsia="微软雅黑" w:cs="微软雅黑"/>
          <w:sz w:val="24"/>
          <w:szCs w:val="24"/>
          <w:lang w:val="en-US" w:eastAsia="zh-CN"/>
        </w:rPr>
        <w:t>.cn</w:t>
      </w:r>
      <w:r>
        <w:rPr>
          <w:rFonts w:hint="eastAsia" w:ascii="微软雅黑" w:hAnsi="微软雅黑" w:eastAsia="微软雅黑" w:cs="微软雅黑"/>
          <w:sz w:val="24"/>
          <w:szCs w:val="24"/>
        </w:rPr>
        <w:t>）进行注册和报名。</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（二）凡有意参加</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采购的投标人，请在重庆医科大学附属儿童医院电子招投标平台下载本项目</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采购文件以及其他所有项目资料，无论投标人下载与否，均视为已知晓所有</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采购实质性要求内容。</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投标人须在重庆医科大学附属儿童医院电子招投标平台按要求上传投标保证金缴纳凭证和电子版响应文件后才视为完成项目报名；当投标人的电子版响应文件与现场提交的纸质版响应文件出现内容上的出入时，以纸质版响应文件正本作为</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采购依据。</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（四）</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采购公告期限及报名截止期限：详见电子招投标平台该项目公告内容。</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（五）比选地点：详见电子招投标平台该项目公告内容。</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（六）比选开始时间：详见电子招投标平台该项目公告内容。</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（七）以上内容若在挂网公示后有所变更，投标人注册手机号码将会收到相关短信通知，请及时查收。</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25" w:name="_Toc6178"/>
      <w:bookmarkStart w:id="26" w:name="_Toc525047161"/>
      <w:bookmarkStart w:id="27" w:name="_Toc28629"/>
      <w:bookmarkStart w:id="28" w:name="_Toc65660334"/>
      <w:bookmarkStart w:id="29" w:name="_Toc106034625"/>
      <w:bookmarkStart w:id="30" w:name="_Toc521053053"/>
      <w:bookmarkStart w:id="31" w:name="_Toc12841"/>
      <w:bookmarkStart w:id="32" w:name="_Toc11956"/>
      <w:r>
        <w:rPr>
          <w:rFonts w:hint="eastAsia" w:ascii="微软雅黑" w:hAnsi="微软雅黑" w:eastAsia="微软雅黑" w:cs="微软雅黑"/>
          <w:sz w:val="24"/>
        </w:rPr>
        <w:t>四、保证金</w:t>
      </w:r>
      <w:bookmarkEnd w:id="25"/>
      <w:bookmarkEnd w:id="26"/>
      <w:bookmarkEnd w:id="27"/>
      <w:bookmarkEnd w:id="28"/>
      <w:bookmarkEnd w:id="29"/>
      <w:bookmarkEnd w:id="30"/>
      <w:bookmarkEnd w:id="31"/>
      <w:bookmarkEnd w:id="32"/>
    </w:p>
    <w:p>
      <w:pPr>
        <w:snapToGrid w:val="0"/>
        <w:spacing w:line="400" w:lineRule="exact"/>
        <w:ind w:firstLine="480" w:firstLineChars="200"/>
        <w:outlineLvl w:val="2"/>
        <w:rPr>
          <w:rFonts w:hint="eastAsia" w:ascii="微软雅黑" w:hAnsi="微软雅黑" w:eastAsia="微软雅黑" w:cs="微软雅黑"/>
          <w:sz w:val="24"/>
          <w:szCs w:val="24"/>
        </w:rPr>
      </w:pPr>
      <w:r>
        <w:rPr>
          <w:rFonts w:hint="eastAsia" w:ascii="微软雅黑" w:hAnsi="微软雅黑" w:eastAsia="微软雅黑" w:cs="微软雅黑"/>
          <w:sz w:val="24"/>
          <w:szCs w:val="24"/>
        </w:rPr>
        <w:t>（一）保证金递交</w:t>
      </w:r>
    </w:p>
    <w:p>
      <w:pPr>
        <w:pStyle w:val="34"/>
        <w:spacing w:line="400" w:lineRule="exact"/>
        <w:rPr>
          <w:rFonts w:hint="eastAsia" w:ascii="微软雅黑" w:hAnsi="微软雅黑" w:eastAsia="微软雅黑" w:cs="微软雅黑"/>
          <w:sz w:val="24"/>
          <w:szCs w:val="24"/>
        </w:rPr>
      </w:pPr>
      <w:r>
        <w:rPr>
          <w:rFonts w:hint="eastAsia" w:ascii="微软雅黑" w:hAnsi="微软雅黑" w:eastAsia="微软雅黑" w:cs="微软雅黑"/>
          <w:sz w:val="24"/>
          <w:szCs w:val="24"/>
        </w:rPr>
        <w:t>1.投标人应足额交纳保证金（保证金金额详见本篇，一、</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内容），并通过银行转账的方式直接转入重庆医科大学附属儿童医院对公账户（单位：重庆医科大学附属儿童医院，开户行：中国建设银行股份有限公司重庆渝中区观音岩支行，账号：50050101380000000168），并备注项目编号、项目名称（例：YXX220001服务器项目投标保证金），交纳凭据须在重庆医科大学附属儿童医院电子招投标平台报名过程中上传。</w:t>
      </w:r>
    </w:p>
    <w:p>
      <w:pPr>
        <w:pStyle w:val="34"/>
        <w:spacing w:line="400" w:lineRule="exact"/>
        <w:rPr>
          <w:rFonts w:hint="eastAsia" w:ascii="微软雅黑" w:hAnsi="微软雅黑" w:eastAsia="微软雅黑" w:cs="微软雅黑"/>
          <w:sz w:val="24"/>
          <w:szCs w:val="24"/>
        </w:rPr>
      </w:pPr>
      <w:r>
        <w:rPr>
          <w:rFonts w:hint="eastAsia" w:ascii="微软雅黑" w:hAnsi="微软雅黑" w:eastAsia="微软雅黑" w:cs="微软雅黑"/>
          <w:sz w:val="24"/>
          <w:szCs w:val="24"/>
        </w:rPr>
        <w:t>2.各投标人在银行转账（电汇）时，须充分考虑银行转账（电汇）的时间差风险，如同城转账、异地转账或汇款、跨行转账或电汇的时间要求。</w:t>
      </w:r>
    </w:p>
    <w:p>
      <w:pPr>
        <w:snapToGrid w:val="0"/>
        <w:spacing w:line="400" w:lineRule="exact"/>
        <w:ind w:firstLine="360" w:firstLineChars="150"/>
        <w:outlineLvl w:val="2"/>
        <w:rPr>
          <w:rFonts w:hint="eastAsia" w:ascii="微软雅黑" w:hAnsi="微软雅黑" w:eastAsia="微软雅黑" w:cs="微软雅黑"/>
          <w:color w:val="auto"/>
          <w:sz w:val="24"/>
          <w:szCs w:val="24"/>
          <w:u w:val="single"/>
        </w:rPr>
      </w:pPr>
      <w:r>
        <w:rPr>
          <w:rFonts w:hint="eastAsia" w:ascii="微软雅黑" w:hAnsi="微软雅黑" w:eastAsia="微软雅黑" w:cs="微软雅黑"/>
          <w:color w:val="auto"/>
          <w:sz w:val="24"/>
          <w:szCs w:val="24"/>
          <w:u w:val="single"/>
        </w:rPr>
        <w:t>（二）保证金退还方式</w:t>
      </w:r>
    </w:p>
    <w:p>
      <w:pPr>
        <w:snapToGrid w:val="0"/>
        <w:spacing w:line="400" w:lineRule="exact"/>
        <w:ind w:firstLine="480" w:firstLineChars="200"/>
        <w:rPr>
          <w:rFonts w:hint="eastAsia" w:ascii="微软雅黑" w:hAnsi="微软雅黑" w:eastAsia="微软雅黑" w:cs="微软雅黑"/>
          <w:color w:val="auto"/>
          <w:sz w:val="24"/>
          <w:szCs w:val="24"/>
          <w:u w:val="single"/>
        </w:rPr>
      </w:pPr>
      <w:r>
        <w:rPr>
          <w:rFonts w:hint="eastAsia" w:ascii="微软雅黑" w:hAnsi="微软雅黑" w:eastAsia="微软雅黑" w:cs="微软雅黑"/>
          <w:color w:val="auto"/>
          <w:sz w:val="24"/>
          <w:szCs w:val="24"/>
          <w:u w:val="single"/>
        </w:rPr>
        <w:t>1.未成交供应商的保证金，在中标通知书发放后</w:t>
      </w:r>
      <w:r>
        <w:rPr>
          <w:rFonts w:hint="eastAsia" w:ascii="微软雅黑" w:hAnsi="微软雅黑" w:eastAsia="微软雅黑" w:cs="微软雅黑"/>
          <w:color w:val="auto"/>
          <w:sz w:val="24"/>
          <w:szCs w:val="24"/>
          <w:u w:val="single"/>
          <w:lang w:val="en-US" w:eastAsia="zh-CN"/>
        </w:rPr>
        <w:t>60</w:t>
      </w:r>
      <w:r>
        <w:rPr>
          <w:rFonts w:hint="eastAsia" w:ascii="微软雅黑" w:hAnsi="微软雅黑" w:eastAsia="微软雅黑" w:cs="微软雅黑"/>
          <w:color w:val="auto"/>
          <w:sz w:val="24"/>
          <w:szCs w:val="24"/>
          <w:u w:val="single"/>
        </w:rPr>
        <w:t>个工作日内退还至项目报名时所填写指定的投标单位对公账户。</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u w:val="single"/>
        </w:rPr>
        <w:t>2.成交供应商的保证金，将在与我院完成签订本项目合同并提交</w:t>
      </w:r>
      <w:r>
        <w:rPr>
          <w:rFonts w:hint="eastAsia" w:ascii="微软雅黑" w:hAnsi="微软雅黑" w:eastAsia="微软雅黑" w:cs="微软雅黑"/>
          <w:color w:val="auto"/>
          <w:sz w:val="24"/>
          <w:szCs w:val="24"/>
          <w:u w:val="single"/>
          <w:lang w:eastAsia="zh-CN"/>
        </w:rPr>
        <w:t>采购管理处</w:t>
      </w:r>
      <w:r>
        <w:rPr>
          <w:rFonts w:hint="eastAsia" w:ascii="微软雅黑" w:hAnsi="微软雅黑" w:eastAsia="微软雅黑" w:cs="微软雅黑"/>
          <w:color w:val="auto"/>
          <w:sz w:val="24"/>
          <w:szCs w:val="24"/>
          <w:u w:val="single"/>
        </w:rPr>
        <w:t>（将合同扫描文件发送至zbb63632469@qq.com）之后</w:t>
      </w:r>
      <w:r>
        <w:rPr>
          <w:rFonts w:hint="eastAsia" w:ascii="微软雅黑" w:hAnsi="微软雅黑" w:eastAsia="微软雅黑" w:cs="微软雅黑"/>
          <w:color w:val="auto"/>
          <w:sz w:val="24"/>
          <w:szCs w:val="24"/>
          <w:u w:val="single"/>
          <w:lang w:val="en-US" w:eastAsia="zh-CN"/>
        </w:rPr>
        <w:t>60</w:t>
      </w:r>
      <w:r>
        <w:rPr>
          <w:rFonts w:hint="eastAsia" w:ascii="微软雅黑" w:hAnsi="微软雅黑" w:eastAsia="微软雅黑" w:cs="微软雅黑"/>
          <w:color w:val="auto"/>
          <w:sz w:val="24"/>
          <w:szCs w:val="24"/>
          <w:u w:val="single"/>
        </w:rPr>
        <w:t>个工作日内，无息退还至项目报名时所填写的投标单位对公账户。</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33" w:name="_Toc2945"/>
      <w:bookmarkStart w:id="34" w:name="_Toc65660335"/>
      <w:bookmarkStart w:id="35" w:name="_Toc525047162"/>
      <w:bookmarkStart w:id="36" w:name="_Toc106034626"/>
      <w:bookmarkStart w:id="37" w:name="_Toc521053054"/>
      <w:bookmarkStart w:id="38" w:name="_Toc4355"/>
      <w:bookmarkStart w:id="39" w:name="_Toc1546"/>
      <w:bookmarkStart w:id="40" w:name="_Toc23490"/>
      <w:r>
        <w:rPr>
          <w:rFonts w:hint="eastAsia" w:ascii="微软雅黑" w:hAnsi="微软雅黑" w:eastAsia="微软雅黑" w:cs="微软雅黑"/>
          <w:sz w:val="24"/>
        </w:rPr>
        <w:t>五、</w:t>
      </w:r>
      <w:bookmarkEnd w:id="33"/>
      <w:bookmarkEnd w:id="34"/>
      <w:bookmarkEnd w:id="35"/>
      <w:bookmarkEnd w:id="36"/>
      <w:bookmarkEnd w:id="37"/>
      <w:bookmarkEnd w:id="38"/>
      <w:bookmarkStart w:id="41" w:name="_Toc6563"/>
      <w:bookmarkStart w:id="42" w:name="_Toc521053055"/>
      <w:bookmarkStart w:id="43" w:name="_Toc525047163"/>
      <w:bookmarkStart w:id="44" w:name="_Toc65660336"/>
      <w:bookmarkStart w:id="45" w:name="_Toc106034627"/>
      <w:bookmarkStart w:id="46" w:name="_Toc16269"/>
      <w:r>
        <w:rPr>
          <w:rFonts w:hint="eastAsia" w:ascii="微软雅黑" w:hAnsi="微软雅黑" w:eastAsia="微软雅黑" w:cs="微软雅黑"/>
          <w:sz w:val="24"/>
        </w:rPr>
        <w:t>其它</w:t>
      </w:r>
      <w:bookmarkEnd w:id="39"/>
      <w:bookmarkEnd w:id="40"/>
      <w:bookmarkEnd w:id="41"/>
      <w:bookmarkEnd w:id="42"/>
      <w:bookmarkEnd w:id="43"/>
      <w:bookmarkEnd w:id="44"/>
      <w:bookmarkEnd w:id="45"/>
      <w:bookmarkEnd w:id="46"/>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（一）重庆医科大学附属儿童医院</w:t>
      </w:r>
      <w:r>
        <w:rPr>
          <w:rFonts w:hint="eastAsia" w:ascii="微软雅黑" w:hAnsi="微软雅黑" w:eastAsia="微软雅黑" w:cs="微软雅黑"/>
          <w:sz w:val="24"/>
          <w:szCs w:val="24"/>
          <w:lang w:eastAsia="zh-CN"/>
        </w:rPr>
        <w:t>采购管理处</w:t>
      </w:r>
      <w:r>
        <w:rPr>
          <w:rFonts w:hint="eastAsia" w:ascii="微软雅黑" w:hAnsi="微软雅黑" w:eastAsia="微软雅黑" w:cs="微软雅黑"/>
          <w:sz w:val="24"/>
          <w:szCs w:val="24"/>
        </w:rPr>
        <w:t>所作出的一切书面通知、修改、补充说明、答疑等内容，都是</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采购文件不可分割的组成部分。</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（二）投标人如对本</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采购文件有任何实质性疑问，应当以书面形式向</w:t>
      </w:r>
      <w:r>
        <w:rPr>
          <w:rFonts w:hint="eastAsia" w:ascii="微软雅黑" w:hAnsi="微软雅黑" w:eastAsia="微软雅黑" w:cs="微软雅黑"/>
          <w:sz w:val="24"/>
          <w:szCs w:val="24"/>
          <w:lang w:eastAsia="zh-CN"/>
        </w:rPr>
        <w:t>采购人</w:t>
      </w:r>
      <w:r>
        <w:rPr>
          <w:rFonts w:hint="eastAsia" w:ascii="微软雅黑" w:hAnsi="微软雅黑" w:eastAsia="微软雅黑" w:cs="微软雅黑"/>
          <w:sz w:val="24"/>
          <w:szCs w:val="24"/>
        </w:rPr>
        <w:t>提出质疑，并须将该质疑文件纸质版（须加盖提出质疑单位的公章确认）在投标截止时间前送达重庆医科大学附属儿童医院</w:t>
      </w:r>
      <w:r>
        <w:rPr>
          <w:rFonts w:hint="eastAsia" w:ascii="微软雅黑" w:hAnsi="微软雅黑" w:eastAsia="微软雅黑" w:cs="微软雅黑"/>
          <w:sz w:val="24"/>
          <w:szCs w:val="24"/>
          <w:lang w:eastAsia="zh-CN"/>
        </w:rPr>
        <w:t>采购管理处（</w:t>
      </w:r>
      <w:r>
        <w:rPr>
          <w:rFonts w:hint="eastAsia" w:ascii="微软雅黑" w:hAnsi="微软雅黑" w:eastAsia="微软雅黑" w:cs="微软雅黑"/>
          <w:sz w:val="24"/>
          <w:szCs w:val="24"/>
          <w:lang w:val="en-US" w:eastAsia="zh-CN"/>
        </w:rPr>
        <w:t>不接受快递</w:t>
      </w:r>
      <w:r>
        <w:rPr>
          <w:rFonts w:hint="eastAsia" w:ascii="微软雅黑" w:hAnsi="微软雅黑" w:eastAsia="微软雅黑" w:cs="微软雅黑"/>
          <w:sz w:val="24"/>
          <w:szCs w:val="24"/>
          <w:lang w:eastAsia="zh-CN"/>
        </w:rPr>
        <w:t>）</w:t>
      </w:r>
      <w:r>
        <w:rPr>
          <w:rFonts w:hint="eastAsia" w:ascii="微软雅黑" w:hAnsi="微软雅黑" w:eastAsia="微软雅黑" w:cs="微软雅黑"/>
          <w:sz w:val="24"/>
          <w:szCs w:val="24"/>
        </w:rPr>
        <w:t>，否则即视为完全放弃对本</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采购文件的质疑权利。如</w:t>
      </w:r>
      <w:r>
        <w:rPr>
          <w:rFonts w:hint="eastAsia" w:ascii="微软雅黑" w:hAnsi="微软雅黑" w:eastAsia="微软雅黑" w:cs="微软雅黑"/>
          <w:sz w:val="24"/>
          <w:szCs w:val="24"/>
          <w:lang w:eastAsia="zh-CN"/>
        </w:rPr>
        <w:t>采购人</w:t>
      </w:r>
      <w:r>
        <w:rPr>
          <w:rFonts w:hint="eastAsia" w:ascii="微软雅黑" w:hAnsi="微软雅黑" w:eastAsia="微软雅黑" w:cs="微软雅黑"/>
          <w:sz w:val="24"/>
          <w:szCs w:val="24"/>
        </w:rPr>
        <w:t>认为上述质疑有回复必要，将以书面形式将回复内容通知所有投标方。</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（三）投标人应仔细阅读和检查</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采购文件的全部内容。如发现缺页或附件不全，应及时提出，以便补齐。如有疑问，请在投标截止日前向招标单位提出，超过此时间规定，招标单位不再受理对于</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采购文件的疑问。</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47" w:name="_Toc521053056"/>
      <w:bookmarkStart w:id="48" w:name="_Toc24901"/>
      <w:bookmarkStart w:id="49" w:name="_Toc20454"/>
      <w:bookmarkStart w:id="50" w:name="_Toc10415"/>
      <w:bookmarkStart w:id="51" w:name="_Toc65660337"/>
      <w:bookmarkStart w:id="52" w:name="_Toc1733"/>
      <w:bookmarkStart w:id="53" w:name="_Toc106034628"/>
      <w:bookmarkStart w:id="54" w:name="_Toc525047164"/>
      <w:r>
        <w:rPr>
          <w:rFonts w:hint="eastAsia" w:ascii="微软雅黑" w:hAnsi="微软雅黑" w:eastAsia="微软雅黑" w:cs="微软雅黑"/>
          <w:sz w:val="24"/>
        </w:rPr>
        <w:t>六、联系方式</w:t>
      </w:r>
      <w:bookmarkEnd w:id="47"/>
      <w:bookmarkEnd w:id="48"/>
      <w:bookmarkEnd w:id="49"/>
      <w:bookmarkEnd w:id="50"/>
      <w:bookmarkEnd w:id="51"/>
      <w:bookmarkEnd w:id="52"/>
      <w:bookmarkEnd w:id="53"/>
      <w:bookmarkEnd w:id="54"/>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联系人：</w:t>
      </w:r>
      <w:r>
        <w:rPr>
          <w:rFonts w:hint="eastAsia" w:ascii="微软雅黑" w:hAnsi="微软雅黑" w:eastAsia="微软雅黑" w:cs="微软雅黑"/>
          <w:sz w:val="24"/>
          <w:szCs w:val="24"/>
          <w:lang w:val="en-US" w:eastAsia="zh-CN"/>
        </w:rPr>
        <w:t>采购管理处</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电  话：023-63632469</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邮  箱：zbb63632469@qq.com</w:t>
      </w:r>
    </w:p>
    <w:bookmarkEnd w:id="15"/>
    <w:p>
      <w:pPr>
        <w:snapToGrid w:val="0"/>
        <w:spacing w:line="400" w:lineRule="exact"/>
        <w:ind w:firstLine="480" w:firstLineChars="200"/>
        <w:rPr>
          <w:rFonts w:hint="eastAsia" w:ascii="微软雅黑" w:hAnsi="微软雅黑" w:eastAsia="微软雅黑" w:cs="微软雅黑"/>
          <w:b/>
          <w:sz w:val="24"/>
          <w:szCs w:val="24"/>
        </w:rPr>
        <w:sectPr>
          <w:pgSz w:w="11907" w:h="16840"/>
          <w:pgMar w:top="1134" w:right="1304" w:bottom="1134" w:left="1304" w:header="964" w:footer="992" w:gutter="0"/>
          <w:pgNumType w:fmt="numberInDash"/>
          <w:cols w:space="720" w:num="1"/>
          <w:docGrid w:linePitch="312" w:charSpace="0"/>
        </w:sectPr>
      </w:pPr>
    </w:p>
    <w:p>
      <w:pPr>
        <w:spacing w:line="400" w:lineRule="exact"/>
        <w:rPr>
          <w:rFonts w:hint="eastAsia" w:ascii="微软雅黑" w:hAnsi="微软雅黑" w:eastAsia="微软雅黑" w:cs="微软雅黑"/>
          <w:sz w:val="24"/>
          <w:szCs w:val="24"/>
        </w:rPr>
      </w:pPr>
      <w:bookmarkStart w:id="55" w:name="_Toc12789058"/>
    </w:p>
    <w:p>
      <w:pPr>
        <w:pStyle w:val="3"/>
        <w:tabs>
          <w:tab w:val="left" w:pos="3360"/>
        </w:tabs>
        <w:spacing w:line="360" w:lineRule="auto"/>
        <w:jc w:val="center"/>
        <w:rPr>
          <w:rFonts w:hint="eastAsia" w:ascii="微软雅黑" w:hAnsi="微软雅黑" w:eastAsia="微软雅黑" w:cs="微软雅黑"/>
          <w:b/>
          <w:sz w:val="44"/>
        </w:rPr>
      </w:pPr>
      <w:bookmarkStart w:id="56" w:name="_Toc23143"/>
      <w:bookmarkStart w:id="57" w:name="_Toc11017"/>
      <w:bookmarkStart w:id="58" w:name="_Toc8649"/>
      <w:bookmarkStart w:id="59" w:name="_Toc5461"/>
      <w:bookmarkStart w:id="60" w:name="_Toc2070"/>
      <w:bookmarkStart w:id="61" w:name="_Toc26176"/>
      <w:bookmarkStart w:id="62" w:name="_Toc1492"/>
      <w:bookmarkStart w:id="63" w:name="_Toc1625"/>
      <w:bookmarkStart w:id="64" w:name="_Toc19886"/>
      <w:bookmarkStart w:id="65" w:name="_Toc725"/>
      <w:bookmarkStart w:id="66" w:name="_Toc25639"/>
      <w:bookmarkStart w:id="67" w:name="_Toc75793504"/>
      <w:bookmarkStart w:id="68" w:name="_Toc12959"/>
      <w:bookmarkStart w:id="69" w:name="_Toc2422"/>
      <w:bookmarkStart w:id="70" w:name="_Toc32686"/>
      <w:bookmarkStart w:id="71" w:name="_Toc106030380"/>
      <w:bookmarkStart w:id="72" w:name="_Toc20802"/>
      <w:r>
        <w:rPr>
          <w:rFonts w:hint="eastAsia" w:ascii="微软雅黑" w:hAnsi="微软雅黑" w:eastAsia="微软雅黑" w:cs="微软雅黑"/>
          <w:b/>
          <w:sz w:val="44"/>
        </w:rPr>
        <w:t xml:space="preserve">第二篇 </w:t>
      </w:r>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r>
        <w:rPr>
          <w:rFonts w:hint="eastAsia" w:ascii="微软雅黑" w:hAnsi="微软雅黑" w:eastAsia="微软雅黑" w:cs="微软雅黑"/>
          <w:b/>
          <w:sz w:val="44"/>
        </w:rPr>
        <w:t>项目技术（质量）需求</w:t>
      </w:r>
      <w:bookmarkEnd w:id="71"/>
      <w:bookmarkEnd w:id="72"/>
    </w:p>
    <w:p>
      <w:pPr>
        <w:ind w:firstLine="480" w:firstLineChars="200"/>
        <w:rPr>
          <w:rFonts w:hint="eastAsia" w:ascii="微软雅黑" w:hAnsi="微软雅黑" w:eastAsia="微软雅黑" w:cs="微软雅黑"/>
          <w:b/>
          <w:bCs/>
          <w:sz w:val="24"/>
          <w:szCs w:val="24"/>
        </w:rPr>
      </w:pPr>
      <w:bookmarkStart w:id="73" w:name="_Toc75793505"/>
      <w:bookmarkStart w:id="74" w:name="_Toc22910"/>
      <w:bookmarkStart w:id="75" w:name="_Toc106030381"/>
      <w:bookmarkStart w:id="76" w:name="_Toc20979"/>
      <w:bookmarkStart w:id="77" w:name="_Toc23656"/>
      <w:bookmarkStart w:id="78" w:name="_Toc4519"/>
      <w:bookmarkStart w:id="79" w:name="_Toc4913"/>
      <w:bookmarkStart w:id="80" w:name="_Toc9261"/>
      <w:bookmarkStart w:id="81" w:name="_Toc8370"/>
      <w:bookmarkStart w:id="82" w:name="_Toc11703"/>
      <w:bookmarkStart w:id="83" w:name="_Toc4531"/>
      <w:bookmarkStart w:id="84" w:name="_Toc7027"/>
      <w:bookmarkStart w:id="85" w:name="_Toc23504"/>
      <w:bookmarkStart w:id="86" w:name="_Toc29985"/>
      <w:bookmarkStart w:id="87" w:name="_Toc19238"/>
      <w:r>
        <w:rPr>
          <w:rFonts w:hint="eastAsia" w:ascii="微软雅黑" w:hAnsi="微软雅黑" w:eastAsia="微软雅黑" w:cs="微软雅黑"/>
          <w:b/>
          <w:bCs/>
          <w:sz w:val="24"/>
          <w:szCs w:val="24"/>
        </w:rPr>
        <w:t>一、项目一览表</w:t>
      </w:r>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p>
    <w:tbl>
      <w:tblPr>
        <w:tblStyle w:val="5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6"/>
        <w:gridCol w:w="4474"/>
        <w:gridCol w:w="1905"/>
        <w:gridCol w:w="12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jc w:val="center"/>
        </w:trPr>
        <w:tc>
          <w:tcPr>
            <w:tcW w:w="846" w:type="dxa"/>
            <w:vAlign w:val="center"/>
          </w:tcPr>
          <w:p>
            <w:pPr>
              <w:jc w:val="center"/>
              <w:rPr>
                <w:rFonts w:hint="eastAsia" w:ascii="微软雅黑" w:hAnsi="微软雅黑" w:eastAsia="微软雅黑" w:cs="微软雅黑"/>
                <w:b/>
                <w:sz w:val="24"/>
                <w:szCs w:val="24"/>
              </w:rPr>
            </w:pPr>
            <w:r>
              <w:rPr>
                <w:rFonts w:hint="eastAsia" w:ascii="微软雅黑" w:hAnsi="微软雅黑" w:eastAsia="微软雅黑" w:cs="微软雅黑"/>
                <w:b/>
                <w:sz w:val="24"/>
                <w:szCs w:val="24"/>
              </w:rPr>
              <w:t>序号</w:t>
            </w:r>
          </w:p>
        </w:tc>
        <w:tc>
          <w:tcPr>
            <w:tcW w:w="4474" w:type="dxa"/>
            <w:vAlign w:val="center"/>
          </w:tcPr>
          <w:p>
            <w:pPr>
              <w:jc w:val="center"/>
              <w:rPr>
                <w:rFonts w:hint="eastAsia" w:ascii="微软雅黑" w:hAnsi="微软雅黑" w:eastAsia="微软雅黑" w:cs="微软雅黑"/>
                <w:b/>
                <w:sz w:val="24"/>
                <w:szCs w:val="24"/>
              </w:rPr>
            </w:pPr>
            <w:r>
              <w:rPr>
                <w:rFonts w:hint="eastAsia" w:ascii="微软雅黑" w:hAnsi="微软雅黑" w:eastAsia="微软雅黑" w:cs="微软雅黑"/>
                <w:b/>
                <w:sz w:val="24"/>
                <w:szCs w:val="24"/>
              </w:rPr>
              <w:t>产品名称</w:t>
            </w:r>
          </w:p>
        </w:tc>
        <w:tc>
          <w:tcPr>
            <w:tcW w:w="1905" w:type="dxa"/>
            <w:vAlign w:val="center"/>
          </w:tcPr>
          <w:p>
            <w:pPr>
              <w:jc w:val="center"/>
              <w:rPr>
                <w:rFonts w:hint="eastAsia" w:ascii="微软雅黑" w:hAnsi="微软雅黑" w:eastAsia="微软雅黑" w:cs="微软雅黑"/>
                <w:b/>
                <w:sz w:val="24"/>
                <w:szCs w:val="24"/>
              </w:rPr>
            </w:pPr>
            <w:r>
              <w:rPr>
                <w:rFonts w:hint="eastAsia" w:ascii="微软雅黑" w:hAnsi="微软雅黑" w:eastAsia="微软雅黑" w:cs="微软雅黑"/>
                <w:b/>
                <w:sz w:val="24"/>
                <w:szCs w:val="24"/>
              </w:rPr>
              <w:t>数量</w:t>
            </w:r>
          </w:p>
        </w:tc>
        <w:tc>
          <w:tcPr>
            <w:tcW w:w="1275" w:type="dxa"/>
            <w:vAlign w:val="center"/>
          </w:tcPr>
          <w:p>
            <w:pPr>
              <w:jc w:val="center"/>
              <w:rPr>
                <w:rFonts w:hint="eastAsia" w:ascii="微软雅黑" w:hAnsi="微软雅黑" w:eastAsia="微软雅黑" w:cs="微软雅黑"/>
                <w:b/>
                <w:sz w:val="24"/>
                <w:szCs w:val="24"/>
                <w:lang w:eastAsia="zh-CN"/>
              </w:rPr>
            </w:pPr>
            <w:r>
              <w:rPr>
                <w:rFonts w:hint="eastAsia" w:ascii="微软雅黑" w:hAnsi="微软雅黑" w:eastAsia="微软雅黑" w:cs="微软雅黑"/>
                <w:b/>
                <w:sz w:val="24"/>
                <w:szCs w:val="24"/>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jc w:val="center"/>
        </w:trPr>
        <w:tc>
          <w:tcPr>
            <w:tcW w:w="846" w:type="dxa"/>
            <w:vAlign w:val="center"/>
          </w:tcPr>
          <w:p>
            <w:pPr>
              <w:pStyle w:val="23"/>
              <w:spacing w:line="240" w:lineRule="auto"/>
              <w:ind w:left="0"/>
              <w:jc w:val="center"/>
              <w:outlineLvl w:val="0"/>
              <w:rPr>
                <w:rFonts w:hint="eastAsia" w:ascii="微软雅黑" w:hAnsi="微软雅黑" w:eastAsia="微软雅黑" w:cs="微软雅黑"/>
                <w:sz w:val="21"/>
                <w:szCs w:val="21"/>
              </w:rPr>
            </w:pPr>
            <w:r>
              <w:rPr>
                <w:rFonts w:hint="eastAsia" w:ascii="微软雅黑" w:hAnsi="微软雅黑" w:eastAsia="微软雅黑" w:cs="微软雅黑"/>
                <w:b w:val="0"/>
                <w:bCs/>
                <w:color w:val="333333"/>
                <w:kern w:val="0"/>
                <w:sz w:val="21"/>
                <w:szCs w:val="21"/>
                <w:lang w:val="en-US" w:eastAsia="zh-CN" w:bidi="ar-SA"/>
              </w:rPr>
              <w:t>1</w:t>
            </w:r>
          </w:p>
        </w:tc>
        <w:tc>
          <w:tcPr>
            <w:tcW w:w="4474" w:type="dxa"/>
            <w:vAlign w:val="center"/>
          </w:tcPr>
          <w:p>
            <w:pPr>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一次性使用介入手术辅助包</w:t>
            </w:r>
          </w:p>
        </w:tc>
        <w:tc>
          <w:tcPr>
            <w:tcW w:w="1905" w:type="dxa"/>
            <w:vAlign w:val="center"/>
          </w:tcPr>
          <w:p>
            <w:pPr>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按实结算</w:t>
            </w:r>
          </w:p>
        </w:tc>
        <w:tc>
          <w:tcPr>
            <w:tcW w:w="1275" w:type="dxa"/>
            <w:vAlign w:val="center"/>
          </w:tcPr>
          <w:p>
            <w:pPr>
              <w:jc w:val="center"/>
              <w:rPr>
                <w:rFonts w:hint="default" w:ascii="微软雅黑" w:hAnsi="微软雅黑" w:eastAsia="微软雅黑" w:cs="微软雅黑"/>
                <w:sz w:val="21"/>
                <w:szCs w:val="21"/>
                <w:lang w:val="en-US" w:eastAsia="zh-CN"/>
              </w:rPr>
            </w:pPr>
            <w:r>
              <w:rPr>
                <w:rFonts w:hint="eastAsia" w:ascii="微软雅黑" w:hAnsi="微软雅黑" w:eastAsia="微软雅黑" w:cs="微软雅黑"/>
                <w:sz w:val="21"/>
                <w:szCs w:val="21"/>
                <w:lang w:eastAsia="zh-CN"/>
              </w:rPr>
              <w:t>合同期</w:t>
            </w:r>
            <w:r>
              <w:rPr>
                <w:rFonts w:hint="eastAsia" w:ascii="微软雅黑" w:hAnsi="微软雅黑" w:eastAsia="微软雅黑" w:cs="微软雅黑"/>
                <w:sz w:val="21"/>
                <w:szCs w:val="21"/>
                <w:lang w:val="en-US" w:eastAsia="zh-CN"/>
              </w:rPr>
              <w:t>3年</w:t>
            </w:r>
          </w:p>
        </w:tc>
      </w:tr>
    </w:tbl>
    <w:p>
      <w:pPr>
        <w:numPr>
          <w:ilvl w:val="0"/>
          <w:numId w:val="14"/>
        </w:numPr>
        <w:ind w:left="1200" w:leftChars="0" w:hanging="720" w:firstLineChars="0"/>
        <w:rPr>
          <w:rFonts w:hint="eastAsia" w:ascii="微软雅黑" w:hAnsi="微软雅黑" w:eastAsia="微软雅黑" w:cs="微软雅黑"/>
          <w:b/>
          <w:bCs/>
          <w:sz w:val="24"/>
          <w:szCs w:val="24"/>
        </w:rPr>
      </w:pPr>
      <w:bookmarkStart w:id="88" w:name="_Toc18800"/>
      <w:bookmarkStart w:id="89" w:name="_Toc32262"/>
      <w:bookmarkStart w:id="90" w:name="_Toc12568"/>
      <w:bookmarkStart w:id="91" w:name="_Toc106030382"/>
      <w:bookmarkStart w:id="92" w:name="_Toc18903"/>
      <w:bookmarkStart w:id="93" w:name="_Toc28205"/>
      <w:bookmarkStart w:id="94" w:name="_Toc26453"/>
      <w:bookmarkStart w:id="95" w:name="_Toc7792"/>
      <w:bookmarkStart w:id="96" w:name="_Toc5751"/>
      <w:bookmarkStart w:id="97" w:name="_Toc15696"/>
      <w:bookmarkStart w:id="98" w:name="_Toc10143"/>
      <w:bookmarkStart w:id="99" w:name="_Toc23975"/>
      <w:bookmarkStart w:id="100" w:name="_Toc75793506"/>
      <w:bookmarkStart w:id="101" w:name="_Toc695"/>
      <w:bookmarkStart w:id="102" w:name="_Toc21817"/>
      <w:bookmarkStart w:id="103" w:name="_Toc27067"/>
      <w:r>
        <w:rPr>
          <w:rFonts w:hint="eastAsia" w:ascii="微软雅黑" w:hAnsi="微软雅黑" w:eastAsia="微软雅黑" w:cs="微软雅黑"/>
          <w:b/>
          <w:bCs/>
          <w:sz w:val="24"/>
          <w:szCs w:val="24"/>
        </w:rPr>
        <w:t>项目技术需求</w:t>
      </w:r>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1.</w:t>
      </w:r>
      <w:r>
        <w:rPr>
          <w:rFonts w:hint="eastAsia" w:ascii="微软雅黑" w:hAnsi="微软雅黑" w:eastAsia="微软雅黑" w:cs="微软雅黑"/>
          <w:sz w:val="24"/>
          <w:szCs w:val="24"/>
        </w:rPr>
        <w:t>配置清单：</w:t>
      </w:r>
    </w:p>
    <w:tbl>
      <w:tblPr>
        <w:tblStyle w:val="58"/>
        <w:tblW w:w="9101" w:type="dxa"/>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fixed"/>
        <w:tblCellMar>
          <w:top w:w="0" w:type="dxa"/>
          <w:left w:w="108" w:type="dxa"/>
          <w:bottom w:w="0" w:type="dxa"/>
          <w:right w:w="108" w:type="dxa"/>
        </w:tblCellMar>
      </w:tblPr>
      <w:tblGrid>
        <w:gridCol w:w="886"/>
        <w:gridCol w:w="773"/>
        <w:gridCol w:w="2158"/>
        <w:gridCol w:w="2838"/>
        <w:gridCol w:w="2446"/>
      </w:tblGrid>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323" w:hRule="atLeast"/>
        </w:trPr>
        <w:tc>
          <w:tcPr>
            <w:tcW w:w="886" w:type="dxa"/>
            <w:tcBorders>
              <w:top w:val="single" w:color="auto" w:sz="4" w:space="0"/>
              <w:left w:val="single" w:color="auto" w:sz="4" w:space="0"/>
              <w:bottom w:val="single" w:color="auto" w:sz="4" w:space="0"/>
              <w:right w:val="single" w:color="auto" w:sz="4" w:space="0"/>
            </w:tcBorders>
          </w:tcPr>
          <w:p>
            <w:pPr>
              <w:snapToGrid w:val="0"/>
              <w:spacing w:line="400" w:lineRule="exact"/>
              <w:rPr>
                <w:rFonts w:hint="eastAsia" w:ascii="微软雅黑" w:hAnsi="微软雅黑" w:eastAsia="微软雅黑" w:cs="微软雅黑"/>
                <w:sz w:val="24"/>
                <w:szCs w:val="24"/>
              </w:rPr>
            </w:pPr>
            <w:r>
              <w:rPr>
                <w:rFonts w:hint="eastAsia" w:ascii="微软雅黑" w:hAnsi="微软雅黑" w:eastAsia="微软雅黑" w:cs="微软雅黑"/>
                <w:sz w:val="24"/>
                <w:szCs w:val="24"/>
              </w:rPr>
              <w:t>序号</w:t>
            </w:r>
          </w:p>
        </w:tc>
        <w:tc>
          <w:tcPr>
            <w:tcW w:w="773" w:type="dxa"/>
            <w:tcBorders>
              <w:top w:val="single" w:color="auto" w:sz="4" w:space="0"/>
              <w:left w:val="single" w:color="auto" w:sz="4" w:space="0"/>
              <w:bottom w:val="single" w:color="auto" w:sz="4" w:space="0"/>
              <w:right w:val="single" w:color="auto" w:sz="4" w:space="0"/>
            </w:tcBorders>
          </w:tcPr>
          <w:p>
            <w:pPr>
              <w:snapToGrid w:val="0"/>
              <w:spacing w:line="400" w:lineRule="exact"/>
              <w:jc w:val="center"/>
              <w:rPr>
                <w:rFonts w:hint="eastAsia" w:ascii="微软雅黑" w:hAnsi="微软雅黑" w:eastAsia="微软雅黑" w:cs="微软雅黑"/>
                <w:sz w:val="24"/>
                <w:szCs w:val="24"/>
              </w:rPr>
            </w:pPr>
            <w:r>
              <w:rPr>
                <w:rFonts w:hint="eastAsia" w:ascii="微软雅黑" w:hAnsi="微软雅黑" w:eastAsia="微软雅黑" w:cs="微软雅黑"/>
                <w:sz w:val="24"/>
                <w:szCs w:val="24"/>
              </w:rPr>
              <w:t>名称</w:t>
            </w:r>
          </w:p>
        </w:tc>
        <w:tc>
          <w:tcPr>
            <w:tcW w:w="2158" w:type="dxa"/>
            <w:tcBorders>
              <w:top w:val="single" w:color="000000" w:sz="4" w:space="0"/>
              <w:left w:val="single" w:color="auto" w:sz="4" w:space="0"/>
              <w:bottom w:val="single" w:color="000000" w:sz="4" w:space="0"/>
              <w:right w:val="single" w:color="000000" w:sz="4" w:space="0"/>
            </w:tcBorders>
            <w:vAlign w:val="top"/>
          </w:tcPr>
          <w:p>
            <w:pPr>
              <w:snapToGrid w:val="0"/>
              <w:spacing w:line="400" w:lineRule="exact"/>
              <w:jc w:val="center"/>
              <w:rPr>
                <w:rFonts w:hint="eastAsia" w:ascii="微软雅黑" w:hAnsi="微软雅黑" w:eastAsia="微软雅黑" w:cs="微软雅黑"/>
                <w:sz w:val="24"/>
                <w:szCs w:val="24"/>
              </w:rPr>
            </w:pPr>
            <w:r>
              <w:rPr>
                <w:rFonts w:hint="eastAsia" w:ascii="微软雅黑" w:hAnsi="微软雅黑" w:eastAsia="微软雅黑" w:cs="微软雅黑"/>
                <w:sz w:val="24"/>
                <w:szCs w:val="24"/>
              </w:rPr>
              <w:t>规格</w:t>
            </w:r>
          </w:p>
        </w:tc>
        <w:tc>
          <w:tcPr>
            <w:tcW w:w="2838" w:type="dxa"/>
            <w:tcBorders>
              <w:top w:val="single" w:color="000000" w:sz="4" w:space="0"/>
              <w:left w:val="single" w:color="000000" w:sz="4" w:space="0"/>
              <w:bottom w:val="single" w:color="000000" w:sz="4" w:space="0"/>
              <w:right w:val="single" w:color="000000" w:sz="4" w:space="0"/>
            </w:tcBorders>
          </w:tcPr>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要求</w:t>
            </w:r>
          </w:p>
        </w:tc>
        <w:tc>
          <w:tcPr>
            <w:tcW w:w="2446" w:type="dxa"/>
            <w:tcBorders>
              <w:top w:val="single" w:color="000000" w:sz="4" w:space="0"/>
              <w:left w:val="single" w:color="000000" w:sz="4" w:space="0"/>
              <w:bottom w:val="single" w:color="000000" w:sz="4" w:space="0"/>
              <w:right w:val="single" w:color="000000" w:sz="4" w:space="0"/>
            </w:tcBorders>
          </w:tcPr>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数量及单位</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1598" w:hRule="atLeast"/>
        </w:trPr>
        <w:tc>
          <w:tcPr>
            <w:tcW w:w="886" w:type="dxa"/>
            <w:tcBorders>
              <w:top w:val="single" w:color="auto" w:sz="4" w:space="0"/>
              <w:left w:val="single" w:color="000000" w:sz="4" w:space="0"/>
              <w:bottom w:val="single" w:color="auto" w:sz="4" w:space="0"/>
              <w:right w:val="single" w:color="000000" w:sz="4" w:space="0"/>
            </w:tcBorders>
          </w:tcPr>
          <w:p>
            <w:pPr>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1</w:t>
            </w:r>
          </w:p>
        </w:tc>
        <w:tc>
          <w:tcPr>
            <w:tcW w:w="773" w:type="dxa"/>
            <w:tcBorders>
              <w:top w:val="single" w:color="auto" w:sz="4" w:space="0"/>
              <w:left w:val="single" w:color="000000" w:sz="4" w:space="0"/>
              <w:bottom w:val="single" w:color="auto" w:sz="4" w:space="0"/>
              <w:right w:val="single" w:color="000000" w:sz="4" w:space="0"/>
            </w:tcBorders>
          </w:tcPr>
          <w:p>
            <w:pPr>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一次性使用手术衣</w:t>
            </w:r>
          </w:p>
        </w:tc>
        <w:tc>
          <w:tcPr>
            <w:tcW w:w="2158" w:type="dxa"/>
            <w:tcBorders>
              <w:top w:val="single" w:color="000000" w:sz="4" w:space="0"/>
              <w:left w:val="single" w:color="000000" w:sz="4" w:space="0"/>
              <w:bottom w:val="single" w:color="000000" w:sz="4" w:space="0"/>
              <w:right w:val="single" w:color="000000" w:sz="4" w:space="0"/>
            </w:tcBorders>
          </w:tcPr>
          <w:p>
            <w:pPr>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尺寸</w:t>
            </w:r>
          </w:p>
          <w:p>
            <w:pPr>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≥130cm*160cm</w:t>
            </w:r>
          </w:p>
        </w:tc>
        <w:tc>
          <w:tcPr>
            <w:tcW w:w="2838" w:type="dxa"/>
            <w:tcBorders>
              <w:top w:val="single" w:color="000000" w:sz="4" w:space="0"/>
              <w:left w:val="single" w:color="000000" w:sz="4" w:space="0"/>
              <w:bottom w:val="single" w:color="000000" w:sz="4" w:space="0"/>
              <w:right w:val="single" w:color="000000" w:sz="4" w:space="0"/>
            </w:tcBorders>
          </w:tcPr>
          <w:p>
            <w:pPr>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颜色：蓝色</w:t>
            </w:r>
          </w:p>
          <w:p>
            <w:pPr>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材质：SMS材料克重≥35g/㎡，</w:t>
            </w:r>
          </w:p>
          <w:p>
            <w:pPr>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功能：胸前需要插手袋结构</w:t>
            </w:r>
          </w:p>
          <w:p>
            <w:pPr>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性能：书本式折叠，符合YYT0506的性能要求，全包围</w:t>
            </w:r>
          </w:p>
        </w:tc>
        <w:tc>
          <w:tcPr>
            <w:tcW w:w="2446" w:type="dxa"/>
            <w:tcBorders>
              <w:top w:val="single" w:color="000000" w:sz="4" w:space="0"/>
              <w:left w:val="single" w:color="000000" w:sz="4" w:space="0"/>
              <w:bottom w:val="single" w:color="000000" w:sz="4" w:space="0"/>
              <w:right w:val="single" w:color="000000" w:sz="4" w:space="0"/>
            </w:tcBorders>
          </w:tcPr>
          <w:p>
            <w:pPr>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2件</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631" w:hRule="atLeast"/>
        </w:trPr>
        <w:tc>
          <w:tcPr>
            <w:tcW w:w="886" w:type="dxa"/>
            <w:tcBorders>
              <w:top w:val="single" w:color="auto" w:sz="4" w:space="0"/>
              <w:left w:val="single" w:color="000000" w:sz="4" w:space="0"/>
              <w:bottom w:val="single" w:color="auto" w:sz="4" w:space="0"/>
              <w:right w:val="single" w:color="000000" w:sz="4" w:space="0"/>
            </w:tcBorders>
          </w:tcPr>
          <w:p>
            <w:pPr>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2</w:t>
            </w:r>
          </w:p>
        </w:tc>
        <w:tc>
          <w:tcPr>
            <w:tcW w:w="773" w:type="dxa"/>
            <w:tcBorders>
              <w:top w:val="single" w:color="auto" w:sz="4" w:space="0"/>
              <w:left w:val="single" w:color="000000" w:sz="4" w:space="0"/>
              <w:bottom w:val="single" w:color="auto" w:sz="4" w:space="0"/>
              <w:right w:val="single" w:color="000000" w:sz="4" w:space="0"/>
            </w:tcBorders>
          </w:tcPr>
          <w:p>
            <w:pPr>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塑料夹</w:t>
            </w:r>
          </w:p>
        </w:tc>
        <w:tc>
          <w:tcPr>
            <w:tcW w:w="2158" w:type="dxa"/>
            <w:tcBorders>
              <w:top w:val="single" w:color="000000" w:sz="4" w:space="0"/>
              <w:left w:val="single" w:color="000000" w:sz="4" w:space="0"/>
              <w:bottom w:val="single" w:color="000000" w:sz="4" w:space="0"/>
              <w:right w:val="single" w:color="000000" w:sz="4" w:space="0"/>
            </w:tcBorders>
          </w:tcPr>
          <w:p>
            <w:pPr>
              <w:jc w:val="center"/>
              <w:rPr>
                <w:rFonts w:hint="default"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w:t>
            </w:r>
          </w:p>
        </w:tc>
        <w:tc>
          <w:tcPr>
            <w:tcW w:w="2838" w:type="dxa"/>
            <w:tcBorders>
              <w:top w:val="single" w:color="000000" w:sz="4" w:space="0"/>
              <w:left w:val="single" w:color="000000" w:sz="4" w:space="0"/>
              <w:bottom w:val="single" w:color="000000" w:sz="4" w:space="0"/>
              <w:right w:val="single" w:color="000000" w:sz="4" w:space="0"/>
            </w:tcBorders>
          </w:tcPr>
          <w:p>
            <w:pPr>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材质：塑料</w:t>
            </w:r>
          </w:p>
          <w:p>
            <w:pPr>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功能：固定后不易松开、滑动</w:t>
            </w:r>
          </w:p>
        </w:tc>
        <w:tc>
          <w:tcPr>
            <w:tcW w:w="2446" w:type="dxa"/>
            <w:tcBorders>
              <w:top w:val="single" w:color="000000" w:sz="4" w:space="0"/>
              <w:left w:val="single" w:color="000000" w:sz="4" w:space="0"/>
              <w:bottom w:val="single" w:color="000000" w:sz="4" w:space="0"/>
              <w:right w:val="single" w:color="000000" w:sz="4" w:space="0"/>
            </w:tcBorders>
          </w:tcPr>
          <w:p>
            <w:pPr>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2个</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941" w:hRule="atLeast"/>
        </w:trPr>
        <w:tc>
          <w:tcPr>
            <w:tcW w:w="886" w:type="dxa"/>
            <w:tcBorders>
              <w:top w:val="single" w:color="auto" w:sz="4" w:space="0"/>
              <w:left w:val="single" w:color="000000" w:sz="4" w:space="0"/>
              <w:bottom w:val="single" w:color="auto" w:sz="4" w:space="0"/>
              <w:right w:val="single" w:color="000000" w:sz="4" w:space="0"/>
            </w:tcBorders>
          </w:tcPr>
          <w:p>
            <w:pPr>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3</w:t>
            </w:r>
          </w:p>
        </w:tc>
        <w:tc>
          <w:tcPr>
            <w:tcW w:w="773" w:type="dxa"/>
            <w:tcBorders>
              <w:top w:val="single" w:color="auto" w:sz="4" w:space="0"/>
              <w:left w:val="single" w:color="000000" w:sz="4" w:space="0"/>
              <w:bottom w:val="single" w:color="auto" w:sz="4" w:space="0"/>
              <w:right w:val="single" w:color="000000" w:sz="4" w:space="0"/>
            </w:tcBorders>
          </w:tcPr>
          <w:p>
            <w:pPr>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药杯</w:t>
            </w:r>
          </w:p>
        </w:tc>
        <w:tc>
          <w:tcPr>
            <w:tcW w:w="2158" w:type="dxa"/>
            <w:tcBorders>
              <w:top w:val="single" w:color="000000" w:sz="4" w:space="0"/>
              <w:left w:val="single" w:color="000000" w:sz="4" w:space="0"/>
              <w:bottom w:val="single" w:color="000000" w:sz="4" w:space="0"/>
              <w:right w:val="single" w:color="000000" w:sz="4" w:space="0"/>
            </w:tcBorders>
          </w:tcPr>
          <w:p>
            <w:pPr>
              <w:jc w:val="center"/>
              <w:rPr>
                <w:rFonts w:hint="default" w:ascii="微软雅黑" w:hAnsi="微软雅黑" w:eastAsia="微软雅黑" w:cs="微软雅黑"/>
                <w:sz w:val="21"/>
                <w:szCs w:val="21"/>
                <w:lang w:val="en-US" w:eastAsia="zh-CN"/>
              </w:rPr>
            </w:pPr>
            <w:r>
              <w:rPr>
                <w:rFonts w:hint="default" w:ascii="微软雅黑" w:hAnsi="微软雅黑" w:eastAsia="微软雅黑" w:cs="微软雅黑"/>
                <w:sz w:val="21"/>
                <w:szCs w:val="21"/>
                <w:lang w:val="en-US" w:eastAsia="zh-CN"/>
              </w:rPr>
              <w:t>≥120ml</w:t>
            </w:r>
          </w:p>
          <w:p>
            <w:pPr>
              <w:jc w:val="center"/>
              <w:rPr>
                <w:rFonts w:hint="default" w:ascii="微软雅黑" w:hAnsi="微软雅黑" w:eastAsia="微软雅黑" w:cs="微软雅黑"/>
                <w:sz w:val="21"/>
                <w:szCs w:val="21"/>
                <w:lang w:val="en-US" w:eastAsia="zh-CN"/>
              </w:rPr>
            </w:pPr>
            <w:r>
              <w:rPr>
                <w:rFonts w:hint="default" w:ascii="微软雅黑" w:hAnsi="微软雅黑" w:eastAsia="微软雅黑" w:cs="微软雅黑"/>
                <w:sz w:val="21"/>
                <w:szCs w:val="21"/>
                <w:lang w:val="en-US" w:eastAsia="zh-CN"/>
              </w:rPr>
              <w:t>≥150ml</w:t>
            </w:r>
          </w:p>
        </w:tc>
        <w:tc>
          <w:tcPr>
            <w:tcW w:w="2838" w:type="dxa"/>
            <w:tcBorders>
              <w:top w:val="single" w:color="000000" w:sz="4" w:space="0"/>
              <w:left w:val="single" w:color="000000" w:sz="4" w:space="0"/>
              <w:bottom w:val="single" w:color="000000" w:sz="4" w:space="0"/>
              <w:right w:val="single" w:color="000000" w:sz="4" w:space="0"/>
            </w:tcBorders>
          </w:tcPr>
          <w:p>
            <w:pPr>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颜色：塑料杯不同颜色，便于区分</w:t>
            </w:r>
          </w:p>
          <w:p>
            <w:pPr>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材质：塑料</w:t>
            </w:r>
          </w:p>
          <w:p>
            <w:pPr>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功能：带刻度，刻度线清晰，</w:t>
            </w:r>
          </w:p>
        </w:tc>
        <w:tc>
          <w:tcPr>
            <w:tcW w:w="2446" w:type="dxa"/>
            <w:tcBorders>
              <w:top w:val="single" w:color="000000" w:sz="4" w:space="0"/>
              <w:left w:val="single" w:color="000000" w:sz="4" w:space="0"/>
              <w:bottom w:val="single" w:color="000000" w:sz="4" w:space="0"/>
              <w:right w:val="single" w:color="000000" w:sz="4" w:space="0"/>
            </w:tcBorders>
          </w:tcPr>
          <w:p>
            <w:pPr>
              <w:jc w:val="center"/>
              <w:rPr>
                <w:rFonts w:hint="default" w:ascii="微软雅黑" w:hAnsi="微软雅黑" w:eastAsia="微软雅黑" w:cs="微软雅黑"/>
                <w:sz w:val="21"/>
                <w:szCs w:val="21"/>
                <w:lang w:val="en-US" w:eastAsia="zh-CN"/>
              </w:rPr>
            </w:pPr>
            <w:r>
              <w:rPr>
                <w:rFonts w:hint="default" w:ascii="微软雅黑" w:hAnsi="微软雅黑" w:eastAsia="微软雅黑" w:cs="微软雅黑"/>
                <w:sz w:val="21"/>
                <w:szCs w:val="21"/>
                <w:lang w:val="en-US" w:eastAsia="zh-CN"/>
              </w:rPr>
              <w:t>≥120ml</w:t>
            </w:r>
            <w:r>
              <w:rPr>
                <w:rFonts w:hint="eastAsia" w:ascii="微软雅黑" w:hAnsi="微软雅黑" w:eastAsia="微软雅黑" w:cs="微软雅黑"/>
                <w:sz w:val="21"/>
                <w:szCs w:val="21"/>
                <w:lang w:val="en-US" w:eastAsia="zh-CN"/>
              </w:rPr>
              <w:t xml:space="preserve"> 3个</w:t>
            </w:r>
          </w:p>
          <w:p>
            <w:pPr>
              <w:jc w:val="center"/>
              <w:rPr>
                <w:rFonts w:hint="default" w:ascii="微软雅黑" w:hAnsi="微软雅黑" w:eastAsia="微软雅黑" w:cs="微软雅黑"/>
                <w:sz w:val="21"/>
                <w:szCs w:val="21"/>
                <w:lang w:val="en-US" w:eastAsia="zh-CN"/>
              </w:rPr>
            </w:pPr>
            <w:r>
              <w:rPr>
                <w:rFonts w:hint="default" w:ascii="微软雅黑" w:hAnsi="微软雅黑" w:eastAsia="微软雅黑" w:cs="微软雅黑"/>
                <w:sz w:val="21"/>
                <w:szCs w:val="21"/>
                <w:lang w:val="en-US" w:eastAsia="zh-CN"/>
              </w:rPr>
              <w:t>≥150ml</w:t>
            </w:r>
            <w:r>
              <w:rPr>
                <w:rFonts w:hint="eastAsia" w:ascii="微软雅黑" w:hAnsi="微软雅黑" w:eastAsia="微软雅黑" w:cs="微软雅黑"/>
                <w:sz w:val="21"/>
                <w:szCs w:val="21"/>
                <w:lang w:val="en-US" w:eastAsia="zh-CN"/>
              </w:rPr>
              <w:t xml:space="preserve"> 1个</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941" w:hRule="atLeast"/>
        </w:trPr>
        <w:tc>
          <w:tcPr>
            <w:tcW w:w="886" w:type="dxa"/>
            <w:tcBorders>
              <w:top w:val="single" w:color="auto" w:sz="4" w:space="0"/>
              <w:left w:val="single" w:color="000000" w:sz="4" w:space="0"/>
              <w:bottom w:val="single" w:color="auto" w:sz="4" w:space="0"/>
              <w:right w:val="single" w:color="000000" w:sz="4" w:space="0"/>
            </w:tcBorders>
          </w:tcPr>
          <w:p>
            <w:pPr>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4</w:t>
            </w:r>
          </w:p>
        </w:tc>
        <w:tc>
          <w:tcPr>
            <w:tcW w:w="773" w:type="dxa"/>
            <w:tcBorders>
              <w:top w:val="single" w:color="auto" w:sz="4" w:space="0"/>
              <w:left w:val="single" w:color="000000" w:sz="4" w:space="0"/>
              <w:bottom w:val="single" w:color="auto" w:sz="4" w:space="0"/>
              <w:right w:val="single" w:color="000000" w:sz="4" w:space="0"/>
            </w:tcBorders>
          </w:tcPr>
          <w:p>
            <w:pPr>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药碗</w:t>
            </w:r>
          </w:p>
        </w:tc>
        <w:tc>
          <w:tcPr>
            <w:tcW w:w="2158" w:type="dxa"/>
            <w:tcBorders>
              <w:top w:val="single" w:color="000000" w:sz="4" w:space="0"/>
              <w:left w:val="single" w:color="000000" w:sz="4" w:space="0"/>
              <w:bottom w:val="single" w:color="000000" w:sz="4" w:space="0"/>
              <w:right w:val="single" w:color="000000" w:sz="4" w:space="0"/>
            </w:tcBorders>
          </w:tcPr>
          <w:p>
            <w:pPr>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≥500ml</w:t>
            </w:r>
          </w:p>
          <w:p>
            <w:pPr>
              <w:jc w:val="center"/>
              <w:rPr>
                <w:rFonts w:hint="default" w:ascii="微软雅黑" w:hAnsi="微软雅黑" w:eastAsia="微软雅黑" w:cs="微软雅黑"/>
                <w:sz w:val="21"/>
                <w:szCs w:val="21"/>
                <w:lang w:val="en-US" w:eastAsia="zh-CN"/>
              </w:rPr>
            </w:pPr>
            <w:r>
              <w:rPr>
                <w:rFonts w:hint="default" w:ascii="微软雅黑" w:hAnsi="微软雅黑" w:eastAsia="微软雅黑" w:cs="微软雅黑"/>
                <w:sz w:val="21"/>
                <w:szCs w:val="21"/>
                <w:lang w:val="en-US" w:eastAsia="zh-CN"/>
              </w:rPr>
              <w:t>≥1000ml</w:t>
            </w:r>
          </w:p>
        </w:tc>
        <w:tc>
          <w:tcPr>
            <w:tcW w:w="2838" w:type="dxa"/>
            <w:tcBorders>
              <w:top w:val="single" w:color="000000" w:sz="4" w:space="0"/>
              <w:left w:val="single" w:color="000000" w:sz="4" w:space="0"/>
              <w:bottom w:val="single" w:color="000000" w:sz="4" w:space="0"/>
              <w:right w:val="single" w:color="000000" w:sz="4" w:space="0"/>
            </w:tcBorders>
          </w:tcPr>
          <w:p>
            <w:pPr>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颜色：塑料碗两种颜色，便于区分</w:t>
            </w:r>
          </w:p>
          <w:p>
            <w:pPr>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材质：塑料</w:t>
            </w:r>
          </w:p>
          <w:p>
            <w:pPr>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功能：带刻度，刻度线清晰</w:t>
            </w:r>
          </w:p>
        </w:tc>
        <w:tc>
          <w:tcPr>
            <w:tcW w:w="2446" w:type="dxa"/>
            <w:tcBorders>
              <w:top w:val="single" w:color="000000" w:sz="4" w:space="0"/>
              <w:left w:val="single" w:color="000000" w:sz="4" w:space="0"/>
              <w:bottom w:val="single" w:color="000000" w:sz="4" w:space="0"/>
              <w:right w:val="single" w:color="000000" w:sz="4" w:space="0"/>
            </w:tcBorders>
          </w:tcPr>
          <w:p>
            <w:pPr>
              <w:jc w:val="center"/>
              <w:rPr>
                <w:rFonts w:hint="default"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≥500ml 2个</w:t>
            </w:r>
          </w:p>
          <w:p>
            <w:pPr>
              <w:jc w:val="center"/>
              <w:rPr>
                <w:rFonts w:hint="default"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≥1000ml 1个</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631" w:hRule="atLeast"/>
        </w:trPr>
        <w:tc>
          <w:tcPr>
            <w:tcW w:w="886" w:type="dxa"/>
            <w:tcBorders>
              <w:top w:val="single" w:color="auto" w:sz="4" w:space="0"/>
              <w:left w:val="single" w:color="000000" w:sz="4" w:space="0"/>
              <w:bottom w:val="single" w:color="auto" w:sz="4" w:space="0"/>
              <w:right w:val="single" w:color="000000" w:sz="4" w:space="0"/>
            </w:tcBorders>
          </w:tcPr>
          <w:p>
            <w:pPr>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5</w:t>
            </w:r>
          </w:p>
        </w:tc>
        <w:tc>
          <w:tcPr>
            <w:tcW w:w="773" w:type="dxa"/>
            <w:tcBorders>
              <w:top w:val="single" w:color="auto" w:sz="4" w:space="0"/>
              <w:left w:val="single" w:color="000000" w:sz="4" w:space="0"/>
              <w:bottom w:val="single" w:color="auto" w:sz="4" w:space="0"/>
              <w:right w:val="single" w:color="000000" w:sz="4" w:space="0"/>
            </w:tcBorders>
          </w:tcPr>
          <w:p>
            <w:pPr>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肾形盘</w:t>
            </w:r>
          </w:p>
        </w:tc>
        <w:tc>
          <w:tcPr>
            <w:tcW w:w="215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≥500ml</w:t>
            </w:r>
          </w:p>
        </w:tc>
        <w:tc>
          <w:tcPr>
            <w:tcW w:w="2838" w:type="dxa"/>
            <w:tcBorders>
              <w:top w:val="single" w:color="000000" w:sz="4" w:space="0"/>
              <w:left w:val="single" w:color="000000" w:sz="4" w:space="0"/>
              <w:bottom w:val="single" w:color="000000" w:sz="4" w:space="0"/>
              <w:right w:val="single" w:color="000000" w:sz="4" w:space="0"/>
            </w:tcBorders>
          </w:tcPr>
          <w:p>
            <w:pPr>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颜色：蓝色</w:t>
            </w:r>
          </w:p>
          <w:p>
            <w:pPr>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材质：塑料</w:t>
            </w:r>
          </w:p>
          <w:p>
            <w:pPr>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功能：带刻度，刻度线清晰，</w:t>
            </w:r>
          </w:p>
        </w:tc>
        <w:tc>
          <w:tcPr>
            <w:tcW w:w="2446" w:type="dxa"/>
            <w:tcBorders>
              <w:top w:val="single" w:color="000000" w:sz="4" w:space="0"/>
              <w:left w:val="single" w:color="000000" w:sz="4" w:space="0"/>
              <w:bottom w:val="single" w:color="000000" w:sz="4" w:space="0"/>
              <w:right w:val="single" w:color="000000" w:sz="4" w:space="0"/>
            </w:tcBorders>
          </w:tcPr>
          <w:p>
            <w:pPr>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1个</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886" w:type="dxa"/>
            <w:tcBorders>
              <w:top w:val="single" w:color="auto" w:sz="4" w:space="0"/>
              <w:left w:val="single" w:color="000000" w:sz="4" w:space="0"/>
              <w:bottom w:val="single" w:color="auto" w:sz="4" w:space="0"/>
              <w:right w:val="single" w:color="000000" w:sz="4" w:space="0"/>
            </w:tcBorders>
          </w:tcPr>
          <w:p>
            <w:pPr>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6</w:t>
            </w:r>
          </w:p>
        </w:tc>
        <w:tc>
          <w:tcPr>
            <w:tcW w:w="773" w:type="dxa"/>
            <w:tcBorders>
              <w:top w:val="single" w:color="auto" w:sz="4" w:space="0"/>
              <w:left w:val="single" w:color="000000" w:sz="4" w:space="0"/>
              <w:bottom w:val="single" w:color="auto" w:sz="4" w:space="0"/>
              <w:right w:val="single" w:color="000000" w:sz="4" w:space="0"/>
            </w:tcBorders>
          </w:tcPr>
          <w:p>
            <w:pPr>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消毒刷</w:t>
            </w:r>
          </w:p>
        </w:tc>
        <w:tc>
          <w:tcPr>
            <w:tcW w:w="215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尺寸</w:t>
            </w:r>
          </w:p>
          <w:p>
            <w:pPr>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≥19cm</w:t>
            </w:r>
          </w:p>
        </w:tc>
        <w:tc>
          <w:tcPr>
            <w:tcW w:w="2838" w:type="dxa"/>
            <w:tcBorders>
              <w:top w:val="single" w:color="000000" w:sz="4" w:space="0"/>
              <w:left w:val="single" w:color="000000" w:sz="4" w:space="0"/>
              <w:bottom w:val="single" w:color="000000" w:sz="4" w:space="0"/>
              <w:right w:val="single" w:color="000000" w:sz="4" w:space="0"/>
            </w:tcBorders>
          </w:tcPr>
          <w:p>
            <w:pPr>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材质：柄为塑料，头部为海绵。</w:t>
            </w:r>
          </w:p>
          <w:p>
            <w:pPr>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功能：一体式结构、白色长柄</w:t>
            </w:r>
          </w:p>
        </w:tc>
        <w:tc>
          <w:tcPr>
            <w:tcW w:w="2446" w:type="dxa"/>
            <w:tcBorders>
              <w:top w:val="single" w:color="000000" w:sz="4" w:space="0"/>
              <w:left w:val="single" w:color="000000" w:sz="4" w:space="0"/>
              <w:bottom w:val="single" w:color="000000" w:sz="4" w:space="0"/>
              <w:right w:val="single" w:color="000000" w:sz="4" w:space="0"/>
            </w:tcBorders>
          </w:tcPr>
          <w:p>
            <w:pPr>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3个</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1251" w:hRule="atLeast"/>
        </w:trPr>
        <w:tc>
          <w:tcPr>
            <w:tcW w:w="886" w:type="dxa"/>
            <w:tcBorders>
              <w:top w:val="single" w:color="auto" w:sz="4" w:space="0"/>
              <w:left w:val="single" w:color="000000" w:sz="4" w:space="0"/>
              <w:bottom w:val="single" w:color="auto" w:sz="4" w:space="0"/>
              <w:right w:val="single" w:color="000000" w:sz="4" w:space="0"/>
            </w:tcBorders>
          </w:tcPr>
          <w:p>
            <w:pPr>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7</w:t>
            </w:r>
          </w:p>
        </w:tc>
        <w:tc>
          <w:tcPr>
            <w:tcW w:w="773" w:type="dxa"/>
            <w:tcBorders>
              <w:top w:val="single" w:color="auto" w:sz="4" w:space="0"/>
              <w:left w:val="single" w:color="000000" w:sz="4" w:space="0"/>
              <w:bottom w:val="single" w:color="auto" w:sz="4" w:space="0"/>
              <w:right w:val="single" w:color="000000" w:sz="4" w:space="0"/>
            </w:tcBorders>
          </w:tcPr>
          <w:p>
            <w:pPr>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治疗巾</w:t>
            </w:r>
          </w:p>
        </w:tc>
        <w:tc>
          <w:tcPr>
            <w:tcW w:w="2158" w:type="dxa"/>
            <w:tcBorders>
              <w:top w:val="single" w:color="000000" w:sz="4" w:space="0"/>
              <w:left w:val="single" w:color="000000" w:sz="4" w:space="0"/>
              <w:bottom w:val="single" w:color="000000" w:sz="4" w:space="0"/>
              <w:right w:val="single" w:color="000000" w:sz="4" w:space="0"/>
            </w:tcBorders>
          </w:tcPr>
          <w:p>
            <w:pPr>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尺寸：≥90cm*60cm</w:t>
            </w:r>
          </w:p>
        </w:tc>
        <w:tc>
          <w:tcPr>
            <w:tcW w:w="2838" w:type="dxa"/>
            <w:tcBorders>
              <w:top w:val="single" w:color="000000" w:sz="4" w:space="0"/>
              <w:left w:val="single" w:color="000000" w:sz="4" w:space="0"/>
              <w:bottom w:val="single" w:color="000000" w:sz="4" w:space="0"/>
              <w:right w:val="single" w:color="000000" w:sz="4" w:space="0"/>
            </w:tcBorders>
          </w:tcPr>
          <w:p>
            <w:pPr>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颜色：蓝色</w:t>
            </w:r>
          </w:p>
          <w:p>
            <w:pPr>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材质：SMS克重≥45g/㎡</w:t>
            </w:r>
          </w:p>
          <w:p>
            <w:pPr>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功能：含3.5cm易撕胶</w:t>
            </w:r>
          </w:p>
          <w:p>
            <w:pPr>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性能：兼具阻水、阻菌、落絮少等性能</w:t>
            </w:r>
          </w:p>
        </w:tc>
        <w:tc>
          <w:tcPr>
            <w:tcW w:w="2446" w:type="dxa"/>
            <w:tcBorders>
              <w:top w:val="single" w:color="000000" w:sz="4" w:space="0"/>
              <w:left w:val="single" w:color="000000" w:sz="4" w:space="0"/>
              <w:bottom w:val="single" w:color="000000" w:sz="4" w:space="0"/>
              <w:right w:val="single" w:color="000000" w:sz="4" w:space="0"/>
            </w:tcBorders>
          </w:tcPr>
          <w:p>
            <w:pPr>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6个</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1626" w:hRule="atLeast"/>
        </w:trPr>
        <w:tc>
          <w:tcPr>
            <w:tcW w:w="886" w:type="dxa"/>
            <w:tcBorders>
              <w:top w:val="single" w:color="auto" w:sz="4" w:space="0"/>
              <w:left w:val="single" w:color="000000" w:sz="4" w:space="0"/>
              <w:bottom w:val="single" w:color="auto" w:sz="4" w:space="0"/>
              <w:right w:val="single" w:color="000000" w:sz="4" w:space="0"/>
            </w:tcBorders>
          </w:tcPr>
          <w:p>
            <w:pPr>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8</w:t>
            </w:r>
          </w:p>
        </w:tc>
        <w:tc>
          <w:tcPr>
            <w:tcW w:w="773" w:type="dxa"/>
            <w:tcBorders>
              <w:top w:val="single" w:color="auto" w:sz="4" w:space="0"/>
              <w:left w:val="single" w:color="000000" w:sz="4" w:space="0"/>
              <w:bottom w:val="single" w:color="auto" w:sz="4" w:space="0"/>
              <w:right w:val="single" w:color="000000" w:sz="4" w:space="0"/>
            </w:tcBorders>
          </w:tcPr>
          <w:p>
            <w:pPr>
              <w:jc w:val="center"/>
              <w:rPr>
                <w:rFonts w:hint="default"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治疗巾</w:t>
            </w:r>
          </w:p>
        </w:tc>
        <w:tc>
          <w:tcPr>
            <w:tcW w:w="2158" w:type="dxa"/>
            <w:tcBorders>
              <w:top w:val="single" w:color="000000" w:sz="4" w:space="0"/>
              <w:left w:val="single" w:color="000000" w:sz="4" w:space="0"/>
              <w:bottom w:val="single" w:color="000000" w:sz="4" w:space="0"/>
              <w:right w:val="single" w:color="000000" w:sz="4" w:space="0"/>
            </w:tcBorders>
          </w:tcPr>
          <w:p>
            <w:pPr>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尺寸：</w:t>
            </w:r>
          </w:p>
          <w:p>
            <w:pPr>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≥60</w:t>
            </w:r>
            <w:bookmarkStart w:id="104" w:name="OLE_LINK1"/>
            <w:r>
              <w:rPr>
                <w:rFonts w:hint="eastAsia" w:ascii="微软雅黑" w:hAnsi="微软雅黑" w:eastAsia="微软雅黑" w:cs="微软雅黑"/>
                <w:sz w:val="21"/>
                <w:szCs w:val="21"/>
                <w:lang w:val="en-US" w:eastAsia="zh-CN"/>
              </w:rPr>
              <w:t>cm</w:t>
            </w:r>
            <w:bookmarkEnd w:id="104"/>
            <w:r>
              <w:rPr>
                <w:rFonts w:hint="eastAsia" w:ascii="微软雅黑" w:hAnsi="微软雅黑" w:eastAsia="微软雅黑" w:cs="微软雅黑"/>
                <w:sz w:val="21"/>
                <w:szCs w:val="21"/>
                <w:lang w:val="en-US" w:eastAsia="zh-CN"/>
              </w:rPr>
              <w:t>*80cm</w:t>
            </w:r>
          </w:p>
          <w:p>
            <w:pPr>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≥60cm*90cm</w:t>
            </w:r>
          </w:p>
          <w:p>
            <w:pPr>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w:t>
            </w:r>
            <w:r>
              <w:rPr>
                <w:rFonts w:hint="default" w:ascii="微软雅黑" w:hAnsi="微软雅黑" w:eastAsia="微软雅黑" w:cs="微软雅黑"/>
                <w:sz w:val="21"/>
                <w:szCs w:val="21"/>
                <w:lang w:val="en-US" w:eastAsia="zh-CN"/>
              </w:rPr>
              <w:t>100</w:t>
            </w:r>
            <w:r>
              <w:rPr>
                <w:rFonts w:hint="eastAsia" w:ascii="微软雅黑" w:hAnsi="微软雅黑" w:eastAsia="微软雅黑" w:cs="微软雅黑"/>
                <w:sz w:val="21"/>
                <w:szCs w:val="21"/>
                <w:lang w:val="en-US" w:eastAsia="zh-CN"/>
              </w:rPr>
              <w:t>cm</w:t>
            </w:r>
            <w:r>
              <w:rPr>
                <w:rFonts w:hint="default" w:ascii="微软雅黑" w:hAnsi="微软雅黑" w:eastAsia="微软雅黑" w:cs="微软雅黑"/>
                <w:sz w:val="21"/>
                <w:szCs w:val="21"/>
                <w:lang w:val="en-US" w:eastAsia="zh-CN"/>
              </w:rPr>
              <w:t>*140</w:t>
            </w:r>
            <w:r>
              <w:rPr>
                <w:rFonts w:hint="eastAsia" w:ascii="微软雅黑" w:hAnsi="微软雅黑" w:eastAsia="微软雅黑" w:cs="微软雅黑"/>
                <w:sz w:val="21"/>
                <w:szCs w:val="21"/>
                <w:lang w:val="en-US" w:eastAsia="zh-CN"/>
              </w:rPr>
              <w:t>cm</w:t>
            </w:r>
          </w:p>
          <w:p>
            <w:pPr>
              <w:jc w:val="center"/>
              <w:rPr>
                <w:rFonts w:hint="eastAsia" w:ascii="微软雅黑" w:hAnsi="微软雅黑" w:eastAsia="微软雅黑" w:cs="微软雅黑"/>
                <w:sz w:val="21"/>
                <w:szCs w:val="21"/>
                <w:lang w:val="en-US" w:eastAsia="zh-CN"/>
              </w:rPr>
            </w:pPr>
          </w:p>
        </w:tc>
        <w:tc>
          <w:tcPr>
            <w:tcW w:w="2838" w:type="dxa"/>
            <w:tcBorders>
              <w:top w:val="single" w:color="000000" w:sz="4" w:space="0"/>
              <w:left w:val="single" w:color="000000" w:sz="4" w:space="0"/>
              <w:bottom w:val="single" w:color="000000" w:sz="4" w:space="0"/>
              <w:right w:val="single" w:color="000000" w:sz="4" w:space="0"/>
            </w:tcBorders>
          </w:tcPr>
          <w:p>
            <w:pPr>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颜色：蓝色</w:t>
            </w:r>
          </w:p>
          <w:p>
            <w:pPr>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材质：SMS克重≥45g/㎡</w:t>
            </w:r>
          </w:p>
          <w:p>
            <w:pPr>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工艺：拼接平整无通道</w:t>
            </w:r>
          </w:p>
          <w:p>
            <w:pPr>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功能：含3.5cm易撕胶</w:t>
            </w:r>
          </w:p>
          <w:p>
            <w:pPr>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性能：兼具阻水、阻菌、落絮少等性能</w:t>
            </w:r>
          </w:p>
        </w:tc>
        <w:tc>
          <w:tcPr>
            <w:tcW w:w="2446" w:type="dxa"/>
            <w:tcBorders>
              <w:top w:val="single" w:color="000000" w:sz="4" w:space="0"/>
              <w:left w:val="single" w:color="000000" w:sz="4" w:space="0"/>
              <w:bottom w:val="single" w:color="000000" w:sz="4" w:space="0"/>
              <w:right w:val="single" w:color="000000" w:sz="4" w:space="0"/>
            </w:tcBorders>
          </w:tcPr>
          <w:p>
            <w:pPr>
              <w:jc w:val="center"/>
              <w:rPr>
                <w:rFonts w:hint="default"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≥60cm*80cm 1张</w:t>
            </w:r>
          </w:p>
          <w:p>
            <w:pPr>
              <w:jc w:val="center"/>
              <w:rPr>
                <w:rFonts w:hint="default"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≥60cm*90cm 2张</w:t>
            </w:r>
          </w:p>
          <w:p>
            <w:pPr>
              <w:jc w:val="center"/>
              <w:rPr>
                <w:rFonts w:hint="default"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w:t>
            </w:r>
            <w:r>
              <w:rPr>
                <w:rFonts w:hint="default" w:ascii="微软雅黑" w:hAnsi="微软雅黑" w:eastAsia="微软雅黑" w:cs="微软雅黑"/>
                <w:sz w:val="21"/>
                <w:szCs w:val="21"/>
                <w:lang w:val="en-US" w:eastAsia="zh-CN"/>
              </w:rPr>
              <w:t>100</w:t>
            </w:r>
            <w:r>
              <w:rPr>
                <w:rFonts w:hint="eastAsia" w:ascii="微软雅黑" w:hAnsi="微软雅黑" w:eastAsia="微软雅黑" w:cs="微软雅黑"/>
                <w:sz w:val="21"/>
                <w:szCs w:val="21"/>
                <w:lang w:val="en-US" w:eastAsia="zh-CN"/>
              </w:rPr>
              <w:t>cm</w:t>
            </w:r>
            <w:r>
              <w:rPr>
                <w:rFonts w:hint="default" w:ascii="微软雅黑" w:hAnsi="微软雅黑" w:eastAsia="微软雅黑" w:cs="微软雅黑"/>
                <w:sz w:val="21"/>
                <w:szCs w:val="21"/>
                <w:lang w:val="en-US" w:eastAsia="zh-CN"/>
              </w:rPr>
              <w:t>*140</w:t>
            </w:r>
            <w:r>
              <w:rPr>
                <w:rFonts w:hint="eastAsia" w:ascii="微软雅黑" w:hAnsi="微软雅黑" w:eastAsia="微软雅黑" w:cs="微软雅黑"/>
                <w:sz w:val="21"/>
                <w:szCs w:val="21"/>
                <w:lang w:val="en-US" w:eastAsia="zh-CN"/>
              </w:rPr>
              <w:t>cm 1张</w:t>
            </w:r>
          </w:p>
          <w:p>
            <w:pPr>
              <w:jc w:val="center"/>
              <w:rPr>
                <w:rFonts w:hint="eastAsia" w:ascii="微软雅黑" w:hAnsi="微软雅黑" w:eastAsia="微软雅黑" w:cs="微软雅黑"/>
                <w:sz w:val="21"/>
                <w:szCs w:val="21"/>
                <w:lang w:val="en-US" w:eastAsia="zh-CN"/>
              </w:rPr>
            </w:pP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1251" w:hRule="atLeast"/>
        </w:trPr>
        <w:tc>
          <w:tcPr>
            <w:tcW w:w="886" w:type="dxa"/>
            <w:tcBorders>
              <w:top w:val="single" w:color="auto" w:sz="4" w:space="0"/>
              <w:left w:val="single" w:color="000000" w:sz="4" w:space="0"/>
              <w:bottom w:val="single" w:color="auto" w:sz="4" w:space="0"/>
              <w:right w:val="single" w:color="000000" w:sz="4" w:space="0"/>
            </w:tcBorders>
          </w:tcPr>
          <w:p>
            <w:pPr>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9</w:t>
            </w:r>
          </w:p>
        </w:tc>
        <w:tc>
          <w:tcPr>
            <w:tcW w:w="773" w:type="dxa"/>
            <w:tcBorders>
              <w:top w:val="single" w:color="auto" w:sz="4" w:space="0"/>
              <w:left w:val="single" w:color="000000" w:sz="4" w:space="0"/>
              <w:bottom w:val="single" w:color="auto" w:sz="4" w:space="0"/>
              <w:right w:val="single" w:color="000000" w:sz="4" w:space="0"/>
            </w:tcBorders>
          </w:tcPr>
          <w:p>
            <w:pPr>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手术洞巾</w:t>
            </w:r>
          </w:p>
        </w:tc>
        <w:tc>
          <w:tcPr>
            <w:tcW w:w="2158" w:type="dxa"/>
            <w:tcBorders>
              <w:top w:val="single" w:color="000000" w:sz="4" w:space="0"/>
              <w:left w:val="single" w:color="000000" w:sz="4" w:space="0"/>
              <w:bottom w:val="single" w:color="000000" w:sz="4" w:space="0"/>
              <w:right w:val="single" w:color="000000" w:sz="4" w:space="0"/>
            </w:tcBorders>
          </w:tcPr>
          <w:p>
            <w:pPr>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尺寸：</w:t>
            </w:r>
          </w:p>
          <w:p>
            <w:pPr>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≥210cm*350cm</w:t>
            </w:r>
          </w:p>
          <w:p>
            <w:pPr>
              <w:jc w:val="center"/>
              <w:rPr>
                <w:rFonts w:hint="eastAsia" w:ascii="微软雅黑" w:hAnsi="微软雅黑" w:eastAsia="微软雅黑" w:cs="微软雅黑"/>
                <w:sz w:val="21"/>
                <w:szCs w:val="21"/>
                <w:lang w:val="en-US" w:eastAsia="zh-CN"/>
              </w:rPr>
            </w:pPr>
          </w:p>
        </w:tc>
        <w:tc>
          <w:tcPr>
            <w:tcW w:w="2838" w:type="dxa"/>
            <w:tcBorders>
              <w:top w:val="single" w:color="000000" w:sz="4" w:space="0"/>
              <w:left w:val="single" w:color="000000" w:sz="4" w:space="0"/>
              <w:bottom w:val="single" w:color="000000" w:sz="4" w:space="0"/>
              <w:right w:val="single" w:color="000000" w:sz="4" w:space="0"/>
            </w:tcBorders>
          </w:tcPr>
          <w:p>
            <w:pPr>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颜色：蓝色；操作侧为透明</w:t>
            </w:r>
          </w:p>
          <w:p>
            <w:pPr>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材质：亲水复合无纺布≥55g/㎡</w:t>
            </w:r>
          </w:p>
          <w:p>
            <w:pPr>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性能：亲水阻水</w:t>
            </w:r>
          </w:p>
          <w:p>
            <w:pPr>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覆盖面积：完全覆盖手术床并下垂30cm以上，多孔设计，背部有固定易撕胶</w:t>
            </w:r>
          </w:p>
        </w:tc>
        <w:tc>
          <w:tcPr>
            <w:tcW w:w="2446" w:type="dxa"/>
            <w:tcBorders>
              <w:top w:val="single" w:color="000000" w:sz="4" w:space="0"/>
              <w:left w:val="single" w:color="000000" w:sz="4" w:space="0"/>
              <w:bottom w:val="single" w:color="000000" w:sz="4" w:space="0"/>
              <w:right w:val="single" w:color="000000" w:sz="4" w:space="0"/>
            </w:tcBorders>
          </w:tcPr>
          <w:p>
            <w:pPr>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1张</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709" w:hRule="atLeast"/>
        </w:trPr>
        <w:tc>
          <w:tcPr>
            <w:tcW w:w="886" w:type="dxa"/>
            <w:tcBorders>
              <w:top w:val="single" w:color="auto" w:sz="4" w:space="0"/>
              <w:left w:val="single" w:color="000000" w:sz="4" w:space="0"/>
              <w:bottom w:val="single" w:color="auto" w:sz="4" w:space="0"/>
              <w:right w:val="single" w:color="000000" w:sz="4" w:space="0"/>
            </w:tcBorders>
          </w:tcPr>
          <w:p>
            <w:pPr>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10</w:t>
            </w:r>
          </w:p>
        </w:tc>
        <w:tc>
          <w:tcPr>
            <w:tcW w:w="773" w:type="dxa"/>
            <w:tcBorders>
              <w:top w:val="single" w:color="auto" w:sz="4" w:space="0"/>
              <w:left w:val="single" w:color="000000" w:sz="4" w:space="0"/>
              <w:bottom w:val="single" w:color="auto" w:sz="4" w:space="0"/>
              <w:right w:val="single" w:color="000000" w:sz="4" w:space="0"/>
            </w:tcBorders>
          </w:tcPr>
          <w:p>
            <w:pPr>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包布</w:t>
            </w:r>
          </w:p>
        </w:tc>
        <w:tc>
          <w:tcPr>
            <w:tcW w:w="2158" w:type="dxa"/>
            <w:tcBorders>
              <w:top w:val="single" w:color="000000" w:sz="4" w:space="0"/>
              <w:left w:val="single" w:color="000000" w:sz="4" w:space="0"/>
              <w:bottom w:val="single" w:color="000000" w:sz="4" w:space="0"/>
              <w:right w:val="single" w:color="000000" w:sz="4" w:space="0"/>
            </w:tcBorders>
          </w:tcPr>
          <w:p>
            <w:pPr>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尺寸：</w:t>
            </w:r>
          </w:p>
          <w:p>
            <w:pPr>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≥150cm*320cm</w:t>
            </w:r>
          </w:p>
        </w:tc>
        <w:tc>
          <w:tcPr>
            <w:tcW w:w="2838" w:type="dxa"/>
            <w:tcBorders>
              <w:top w:val="single" w:color="000000" w:sz="4" w:space="0"/>
              <w:left w:val="single" w:color="000000" w:sz="4" w:space="0"/>
              <w:bottom w:val="single" w:color="000000" w:sz="4" w:space="0"/>
              <w:right w:val="single" w:color="000000" w:sz="4" w:space="0"/>
            </w:tcBorders>
          </w:tcPr>
          <w:p>
            <w:pPr>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性能：双层，亲水阻水；</w:t>
            </w:r>
          </w:p>
          <w:p>
            <w:pPr>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材质：克重≥45g/㎡</w:t>
            </w:r>
          </w:p>
        </w:tc>
        <w:tc>
          <w:tcPr>
            <w:tcW w:w="2446" w:type="dxa"/>
            <w:tcBorders>
              <w:top w:val="single" w:color="000000" w:sz="4" w:space="0"/>
              <w:left w:val="single" w:color="000000" w:sz="4" w:space="0"/>
              <w:bottom w:val="single" w:color="000000" w:sz="4" w:space="0"/>
              <w:right w:val="single" w:color="000000" w:sz="4" w:space="0"/>
            </w:tcBorders>
          </w:tcPr>
          <w:p>
            <w:pPr>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2张</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1257" w:hRule="atLeast"/>
        </w:trPr>
        <w:tc>
          <w:tcPr>
            <w:tcW w:w="886" w:type="dxa"/>
            <w:tcBorders>
              <w:top w:val="single" w:color="auto" w:sz="4" w:space="0"/>
              <w:left w:val="single" w:color="000000" w:sz="4" w:space="0"/>
              <w:bottom w:val="single" w:color="000000" w:sz="4" w:space="0"/>
              <w:right w:val="single" w:color="000000" w:sz="4" w:space="0"/>
            </w:tcBorders>
            <w:vAlign w:val="center"/>
          </w:tcPr>
          <w:p>
            <w:pPr>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11</w:t>
            </w:r>
          </w:p>
        </w:tc>
        <w:tc>
          <w:tcPr>
            <w:tcW w:w="773" w:type="dxa"/>
            <w:tcBorders>
              <w:top w:val="single" w:color="auto" w:sz="4" w:space="0"/>
              <w:left w:val="single" w:color="000000" w:sz="4" w:space="0"/>
              <w:bottom w:val="single" w:color="000000" w:sz="4" w:space="0"/>
              <w:right w:val="single" w:color="000000" w:sz="4" w:space="0"/>
            </w:tcBorders>
            <w:vAlign w:val="center"/>
          </w:tcPr>
          <w:p>
            <w:pPr>
              <w:jc w:val="center"/>
              <w:rPr>
                <w:rFonts w:hint="default"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保护罩</w:t>
            </w:r>
          </w:p>
        </w:tc>
        <w:tc>
          <w:tcPr>
            <w:tcW w:w="2158" w:type="dxa"/>
            <w:tcBorders>
              <w:top w:val="single" w:color="000000" w:sz="4" w:space="0"/>
              <w:left w:val="single" w:color="000000" w:sz="4" w:space="0"/>
              <w:bottom w:val="single" w:color="000000" w:sz="4" w:space="0"/>
              <w:right w:val="single" w:color="000000" w:sz="4" w:space="0"/>
            </w:tcBorders>
            <w:vAlign w:val="center"/>
          </w:tcPr>
          <w:p>
            <w:pPr>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 xml:space="preserve">≥100cm*100cm </w:t>
            </w:r>
          </w:p>
        </w:tc>
        <w:tc>
          <w:tcPr>
            <w:tcW w:w="2838" w:type="dxa"/>
            <w:tcBorders>
              <w:top w:val="single" w:color="000000" w:sz="4" w:space="0"/>
              <w:left w:val="single" w:color="000000" w:sz="4" w:space="0"/>
              <w:bottom w:val="single" w:color="000000" w:sz="4" w:space="0"/>
              <w:right w:val="single" w:color="000000" w:sz="4" w:space="0"/>
            </w:tcBorders>
            <w:vAlign w:val="center"/>
          </w:tcPr>
          <w:p>
            <w:pPr>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功能：透明PE，开口松紧带</w:t>
            </w:r>
          </w:p>
        </w:tc>
        <w:tc>
          <w:tcPr>
            <w:tcW w:w="2446" w:type="dxa"/>
            <w:tcBorders>
              <w:top w:val="single" w:color="000000" w:sz="4" w:space="0"/>
              <w:left w:val="single" w:color="000000" w:sz="4" w:space="0"/>
              <w:bottom w:val="single" w:color="000000" w:sz="4" w:space="0"/>
              <w:right w:val="single" w:color="000000" w:sz="4" w:space="0"/>
            </w:tcBorders>
            <w:vAlign w:val="center"/>
          </w:tcPr>
          <w:p>
            <w:pPr>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3个</w:t>
            </w:r>
          </w:p>
        </w:tc>
      </w:tr>
    </w:tbl>
    <w:p>
      <w:pPr>
        <w:snapToGrid w:val="0"/>
        <w:spacing w:line="400" w:lineRule="exact"/>
        <w:ind w:firstLine="480" w:firstLineChars="200"/>
        <w:rPr>
          <w:rFonts w:hint="eastAsia" w:ascii="微软雅黑" w:hAnsi="微软雅黑" w:eastAsia="微软雅黑" w:cs="微软雅黑"/>
          <w:sz w:val="24"/>
          <w:szCs w:val="24"/>
        </w:rPr>
      </w:pP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2.</w:t>
      </w:r>
      <w:r>
        <w:rPr>
          <w:rFonts w:hint="eastAsia" w:ascii="微软雅黑" w:hAnsi="微软雅黑" w:eastAsia="微软雅黑" w:cs="微软雅黑"/>
          <w:sz w:val="24"/>
          <w:szCs w:val="24"/>
        </w:rPr>
        <w:t>手术包配置合格证和消毒标签；</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3.</w:t>
      </w:r>
      <w:r>
        <w:rPr>
          <w:rFonts w:hint="eastAsia" w:ascii="微软雅黑" w:hAnsi="微软雅黑" w:eastAsia="微软雅黑" w:cs="微软雅黑"/>
          <w:sz w:val="24"/>
          <w:szCs w:val="24"/>
        </w:rPr>
        <w:t>外包装：包装标签带</w:t>
      </w:r>
      <w:r>
        <w:rPr>
          <w:rFonts w:hint="eastAsia" w:ascii="微软雅黑" w:hAnsi="微软雅黑" w:eastAsia="微软雅黑" w:cs="微软雅黑"/>
          <w:sz w:val="24"/>
          <w:szCs w:val="24"/>
          <w:lang w:val="en-US" w:eastAsia="zh-CN"/>
        </w:rPr>
        <w:t>医疗器械唯一标识</w:t>
      </w:r>
      <w:r>
        <w:rPr>
          <w:rFonts w:hint="eastAsia" w:ascii="微软雅黑" w:hAnsi="微软雅黑" w:eastAsia="微软雅黑" w:cs="微软雅黑"/>
          <w:sz w:val="24"/>
          <w:szCs w:val="24"/>
        </w:rPr>
        <w:t>追溯信息，包装袋需透气且无菌。产品外观应平整清洁，无污迹或破洞和严重褶皱；</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4.</w:t>
      </w:r>
      <w:r>
        <w:rPr>
          <w:rFonts w:hint="eastAsia" w:ascii="微软雅黑" w:hAnsi="微软雅黑" w:eastAsia="微软雅黑" w:cs="微软雅黑"/>
          <w:sz w:val="24"/>
          <w:szCs w:val="24"/>
        </w:rPr>
        <w:t>无菌：产品为一次性使用，应无菌，环氧乙烷残留量≤10μg/g；</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5.</w:t>
      </w:r>
      <w:r>
        <w:rPr>
          <w:rFonts w:hint="eastAsia" w:ascii="微软雅黑" w:hAnsi="微软雅黑" w:eastAsia="微软雅黑" w:cs="微软雅黑"/>
          <w:sz w:val="24"/>
          <w:szCs w:val="24"/>
        </w:rPr>
        <w:t>产品性能要求符合</w:t>
      </w:r>
      <w:r>
        <w:rPr>
          <w:rFonts w:hint="eastAsia" w:ascii="微软雅黑" w:hAnsi="微软雅黑" w:eastAsia="微软雅黑" w:cs="微软雅黑"/>
          <w:sz w:val="24"/>
          <w:szCs w:val="24"/>
          <w:lang w:val="en-US" w:eastAsia="zh-CN"/>
        </w:rPr>
        <w:t>手术器械行业标准：第二部分</w:t>
      </w:r>
      <w:r>
        <w:rPr>
          <w:rFonts w:hint="eastAsia" w:ascii="微软雅黑" w:hAnsi="微软雅黑" w:eastAsia="微软雅黑" w:cs="微软雅黑"/>
          <w:sz w:val="24"/>
          <w:szCs w:val="24"/>
        </w:rPr>
        <w:t>标准；</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6.</w:t>
      </w:r>
      <w:r>
        <w:rPr>
          <w:rFonts w:hint="eastAsia" w:ascii="微软雅黑" w:hAnsi="微软雅黑" w:eastAsia="微软雅黑" w:cs="微软雅黑"/>
          <w:sz w:val="24"/>
          <w:szCs w:val="24"/>
        </w:rPr>
        <w:t>规格允差±2cm。</w:t>
      </w:r>
    </w:p>
    <w:p>
      <w:pPr>
        <w:snapToGrid w:val="0"/>
        <w:spacing w:line="400" w:lineRule="exact"/>
        <w:ind w:firstLine="480" w:firstLineChars="200"/>
        <w:rPr>
          <w:rFonts w:hint="eastAsia" w:ascii="微软雅黑" w:hAnsi="微软雅黑" w:eastAsia="微软雅黑" w:cs="微软雅黑"/>
          <w:sz w:val="24"/>
          <w:szCs w:val="24"/>
        </w:rPr>
      </w:pP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注：</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1.</w:t>
      </w:r>
      <w:r>
        <w:rPr>
          <w:rFonts w:hint="eastAsia" w:ascii="微软雅黑" w:hAnsi="微软雅黑" w:eastAsia="微软雅黑" w:cs="微软雅黑"/>
          <w:sz w:val="24"/>
          <w:szCs w:val="24"/>
        </w:rPr>
        <w:t>请提供产品说明书以及相关权威资质作为以</w:t>
      </w:r>
      <w:r>
        <w:rPr>
          <w:rFonts w:hint="eastAsia" w:ascii="微软雅黑" w:hAnsi="微软雅黑" w:eastAsia="微软雅黑" w:cs="微软雅黑"/>
          <w:sz w:val="24"/>
          <w:szCs w:val="24"/>
          <w:lang w:eastAsia="zh-CN"/>
        </w:rPr>
        <w:t>上</w:t>
      </w:r>
      <w:r>
        <w:rPr>
          <w:rFonts w:hint="eastAsia" w:ascii="微软雅黑" w:hAnsi="微软雅黑" w:eastAsia="微软雅黑" w:cs="微软雅黑"/>
          <w:sz w:val="24"/>
          <w:szCs w:val="24"/>
        </w:rPr>
        <w:t>参数的证明材料。</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2.</w:t>
      </w:r>
      <w:r>
        <w:rPr>
          <w:rFonts w:hint="eastAsia" w:ascii="微软雅黑" w:hAnsi="微软雅黑" w:eastAsia="微软雅黑" w:cs="微软雅黑"/>
          <w:sz w:val="24"/>
          <w:szCs w:val="24"/>
        </w:rPr>
        <w:t>开标现场必须提供</w:t>
      </w:r>
      <w:r>
        <w:rPr>
          <w:rFonts w:hint="eastAsia" w:ascii="微软雅黑" w:hAnsi="微软雅黑" w:eastAsia="微软雅黑" w:cs="微软雅黑"/>
          <w:sz w:val="24"/>
          <w:szCs w:val="24"/>
          <w:lang w:eastAsia="zh-CN"/>
        </w:rPr>
        <w:t>规格齐全的</w:t>
      </w:r>
      <w:r>
        <w:rPr>
          <w:rFonts w:hint="eastAsia" w:ascii="微软雅黑" w:hAnsi="微软雅黑" w:eastAsia="微软雅黑" w:cs="微软雅黑"/>
          <w:sz w:val="24"/>
          <w:szCs w:val="24"/>
        </w:rPr>
        <w:t>所</w:t>
      </w:r>
      <w:r>
        <w:rPr>
          <w:rFonts w:hint="eastAsia" w:ascii="微软雅黑" w:hAnsi="微软雅黑" w:eastAsia="微软雅黑" w:cs="微软雅黑"/>
          <w:sz w:val="24"/>
          <w:szCs w:val="24"/>
          <w:lang w:eastAsia="zh-CN"/>
        </w:rPr>
        <w:t>有</w:t>
      </w:r>
      <w:r>
        <w:rPr>
          <w:rFonts w:hint="eastAsia" w:ascii="微软雅黑" w:hAnsi="微软雅黑" w:eastAsia="微软雅黑" w:cs="微软雅黑"/>
          <w:sz w:val="24"/>
          <w:szCs w:val="24"/>
        </w:rPr>
        <w:t>带包装的样品，</w:t>
      </w:r>
      <w:r>
        <w:rPr>
          <w:rFonts w:hint="eastAsia" w:ascii="微软雅黑" w:hAnsi="微软雅黑" w:eastAsia="微软雅黑" w:cs="微软雅黑"/>
          <w:sz w:val="24"/>
          <w:szCs w:val="24"/>
          <w:lang w:eastAsia="zh-CN"/>
        </w:rPr>
        <w:t>样品应</w:t>
      </w:r>
      <w:r>
        <w:rPr>
          <w:rFonts w:hint="eastAsia" w:ascii="微软雅黑" w:hAnsi="微软雅黑" w:eastAsia="微软雅黑" w:cs="微软雅黑"/>
          <w:sz w:val="24"/>
          <w:szCs w:val="24"/>
        </w:rPr>
        <w:t>与</w:t>
      </w:r>
      <w:r>
        <w:rPr>
          <w:rFonts w:hint="eastAsia" w:ascii="微软雅黑" w:hAnsi="微软雅黑" w:eastAsia="微软雅黑" w:cs="微软雅黑"/>
          <w:sz w:val="24"/>
          <w:szCs w:val="24"/>
          <w:lang w:eastAsia="zh-CN"/>
        </w:rPr>
        <w:t>实际</w:t>
      </w:r>
      <w:r>
        <w:rPr>
          <w:rFonts w:hint="eastAsia" w:ascii="微软雅黑" w:hAnsi="微软雅黑" w:eastAsia="微软雅黑" w:cs="微软雅黑"/>
          <w:sz w:val="24"/>
          <w:szCs w:val="24"/>
        </w:rPr>
        <w:t>供货</w:t>
      </w:r>
      <w:r>
        <w:rPr>
          <w:rFonts w:hint="eastAsia" w:ascii="微软雅黑" w:hAnsi="微软雅黑" w:eastAsia="微软雅黑" w:cs="微软雅黑"/>
          <w:sz w:val="24"/>
          <w:szCs w:val="24"/>
          <w:lang w:eastAsia="zh-CN"/>
        </w:rPr>
        <w:t>产品</w:t>
      </w:r>
      <w:r>
        <w:rPr>
          <w:rFonts w:hint="eastAsia" w:ascii="微软雅黑" w:hAnsi="微软雅黑" w:eastAsia="微软雅黑" w:cs="微软雅黑"/>
          <w:sz w:val="24"/>
          <w:szCs w:val="24"/>
        </w:rPr>
        <w:t>一致</w:t>
      </w:r>
      <w:r>
        <w:rPr>
          <w:rFonts w:hint="eastAsia" w:ascii="微软雅黑" w:hAnsi="微软雅黑" w:eastAsia="微软雅黑" w:cs="微软雅黑"/>
          <w:sz w:val="24"/>
          <w:szCs w:val="24"/>
          <w:lang w:eastAsia="zh-CN"/>
        </w:rPr>
        <w:t>，样品不齐全视为无效投标</w:t>
      </w:r>
      <w:r>
        <w:rPr>
          <w:rFonts w:hint="eastAsia" w:ascii="微软雅黑" w:hAnsi="微软雅黑" w:eastAsia="微软雅黑" w:cs="微软雅黑"/>
          <w:sz w:val="24"/>
          <w:szCs w:val="24"/>
        </w:rPr>
        <w:t>。</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3.</w:t>
      </w:r>
      <w:r>
        <w:rPr>
          <w:rFonts w:hint="eastAsia" w:ascii="微软雅黑" w:hAnsi="微软雅黑" w:eastAsia="微软雅黑" w:cs="微软雅黑"/>
          <w:sz w:val="24"/>
          <w:szCs w:val="24"/>
        </w:rPr>
        <w:t>线下报价产品需在药交所上备案。</w:t>
      </w:r>
    </w:p>
    <w:p>
      <w:pPr>
        <w:snapToGrid w:val="0"/>
        <w:spacing w:line="400" w:lineRule="exact"/>
        <w:ind w:firstLine="480" w:firstLineChars="200"/>
        <w:rPr>
          <w:rFonts w:hint="eastAsia" w:ascii="微软雅黑" w:hAnsi="微软雅黑" w:eastAsia="微软雅黑" w:cs="微软雅黑"/>
          <w:sz w:val="44"/>
        </w:rPr>
      </w:pPr>
      <w:r>
        <w:rPr>
          <w:rFonts w:hint="eastAsia" w:ascii="宋体" w:hAnsi="宋体" w:eastAsia="宋体" w:cs="宋体"/>
          <w:color w:val="000000"/>
          <w:kern w:val="0"/>
          <w:sz w:val="24"/>
          <w:szCs w:val="24"/>
          <w:lang w:val="en-US" w:eastAsia="zh-CN"/>
        </w:rPr>
        <w:br w:type="page"/>
      </w:r>
      <w:bookmarkStart w:id="105" w:name="_Toc17712"/>
      <w:bookmarkStart w:id="106" w:name="_Toc106030882"/>
      <w:bookmarkStart w:id="107" w:name="_Toc7791"/>
      <w:bookmarkStart w:id="108" w:name="_Toc76462327"/>
      <w:r>
        <w:rPr>
          <w:rFonts w:hint="eastAsia" w:ascii="宋体" w:hAnsi="宋体" w:eastAsia="宋体" w:cs="宋体"/>
          <w:color w:val="000000"/>
          <w:kern w:val="0"/>
          <w:sz w:val="24"/>
          <w:szCs w:val="24"/>
          <w:lang w:val="en-US" w:eastAsia="zh-CN"/>
        </w:rPr>
        <w:t xml:space="preserve">                    </w:t>
      </w:r>
      <w:r>
        <w:rPr>
          <w:rFonts w:hint="eastAsia" w:ascii="微软雅黑" w:hAnsi="微软雅黑" w:eastAsia="微软雅黑" w:cs="微软雅黑"/>
          <w:sz w:val="44"/>
        </w:rPr>
        <w:t xml:space="preserve">第三篇  </w:t>
      </w:r>
      <w:bookmarkEnd w:id="55"/>
      <w:r>
        <w:rPr>
          <w:rFonts w:hint="eastAsia" w:ascii="微软雅黑" w:hAnsi="微软雅黑" w:eastAsia="微软雅黑" w:cs="微软雅黑"/>
          <w:sz w:val="44"/>
        </w:rPr>
        <w:t>项目商务需求</w:t>
      </w:r>
      <w:bookmarkEnd w:id="105"/>
      <w:bookmarkEnd w:id="106"/>
      <w:bookmarkEnd w:id="107"/>
      <w:bookmarkEnd w:id="108"/>
    </w:p>
    <w:tbl>
      <w:tblPr>
        <w:tblStyle w:val="58"/>
        <w:tblW w:w="518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41"/>
        <w:gridCol w:w="85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trPr>
        <w:tc>
          <w:tcPr>
            <w:tcW w:w="5000" w:type="pct"/>
            <w:gridSpan w:val="2"/>
            <w:vAlign w:val="center"/>
          </w:tcPr>
          <w:p>
            <w:pPr>
              <w:pStyle w:val="144"/>
              <w:widowControl/>
              <w:spacing w:line="400" w:lineRule="exact"/>
              <w:ind w:firstLine="560" w:firstLineChars="200"/>
              <w:jc w:val="center"/>
              <w:rPr>
                <w:rFonts w:hint="eastAsia" w:ascii="微软雅黑" w:hAnsi="微软雅黑" w:eastAsia="微软雅黑" w:cs="微软雅黑"/>
                <w:sz w:val="24"/>
                <w:szCs w:val="24"/>
              </w:rPr>
            </w:pPr>
            <w:r>
              <w:rPr>
                <w:rFonts w:hint="eastAsia" w:ascii="微软雅黑" w:hAnsi="微软雅黑" w:eastAsia="微软雅黑" w:cs="微软雅黑"/>
                <w:b/>
                <w:bCs/>
                <w:sz w:val="28"/>
                <w:szCs w:val="28"/>
              </w:rPr>
              <w:t>商务需求表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2" w:type="pct"/>
            <w:vAlign w:val="center"/>
          </w:tcPr>
          <w:p>
            <w:pPr>
              <w:pStyle w:val="144"/>
              <w:widowControl/>
              <w:adjustRightInd w:val="0"/>
              <w:snapToGrid w:val="0"/>
              <w:spacing w:line="400" w:lineRule="exact"/>
              <w:jc w:val="center"/>
              <w:rPr>
                <w:rFonts w:hint="eastAsia" w:ascii="微软雅黑" w:hAnsi="微软雅黑" w:eastAsia="微软雅黑" w:cs="微软雅黑"/>
                <w:b/>
                <w:bCs/>
                <w:sz w:val="24"/>
                <w:szCs w:val="24"/>
              </w:rPr>
            </w:pPr>
            <w:r>
              <w:rPr>
                <w:rFonts w:hint="eastAsia" w:ascii="微软雅黑" w:hAnsi="微软雅黑" w:eastAsia="微软雅黑" w:cs="微软雅黑"/>
                <w:b/>
                <w:bCs/>
                <w:sz w:val="24"/>
                <w:szCs w:val="24"/>
                <w:lang w:val="en-US" w:eastAsia="zh-CN"/>
              </w:rPr>
              <w:t>合同、</w:t>
            </w:r>
            <w:r>
              <w:rPr>
                <w:rFonts w:hint="eastAsia" w:ascii="微软雅黑" w:hAnsi="微软雅黑" w:eastAsia="微软雅黑" w:cs="微软雅黑"/>
                <w:b/>
                <w:bCs/>
                <w:sz w:val="24"/>
                <w:szCs w:val="24"/>
              </w:rPr>
              <w:t>交货时间、交货地点及验收方式</w:t>
            </w:r>
          </w:p>
        </w:tc>
        <w:tc>
          <w:tcPr>
            <w:tcW w:w="4277" w:type="pct"/>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微软雅黑" w:hAnsi="微软雅黑" w:eastAsia="微软雅黑" w:cs="微软雅黑"/>
                <w:kern w:val="2"/>
                <w:sz w:val="21"/>
                <w:szCs w:val="21"/>
                <w:lang w:val="en-US" w:eastAsia="zh-CN" w:bidi="ar-SA"/>
              </w:rPr>
            </w:pPr>
            <w:r>
              <w:rPr>
                <w:rFonts w:hint="eastAsia" w:ascii="微软雅黑" w:hAnsi="微软雅黑" w:eastAsia="微软雅黑" w:cs="微软雅黑"/>
                <w:kern w:val="2"/>
                <w:sz w:val="21"/>
                <w:szCs w:val="21"/>
                <w:lang w:val="en-US" w:eastAsia="zh-CN" w:bidi="ar-SA"/>
              </w:rPr>
              <w:t>交货期：中标人在收到采购人通知后在7个日历日内（或者在采购人临时具体书面指定天数内）将物资运到采购人指定交货地点</w:t>
            </w:r>
            <w:bookmarkStart w:id="193" w:name="_GoBack"/>
            <w:bookmarkEnd w:id="193"/>
            <w:r>
              <w:rPr>
                <w:rFonts w:hint="eastAsia" w:ascii="微软雅黑" w:hAnsi="微软雅黑" w:eastAsia="微软雅黑" w:cs="微软雅黑"/>
                <w:kern w:val="2"/>
                <w:sz w:val="21"/>
                <w:szCs w:val="21"/>
                <w:lang w:val="en-US" w:eastAsia="zh-CN" w:bidi="ar-SA"/>
              </w:rPr>
              <w:t>。</w:t>
            </w:r>
          </w:p>
          <w:p>
            <w:pPr>
              <w:pStyle w:val="2"/>
              <w:keepNext w:val="0"/>
              <w:keepLines w:val="0"/>
              <w:pageBreakBefore w:val="0"/>
              <w:kinsoku/>
              <w:wordWrap/>
              <w:overflowPunct/>
              <w:topLinePunct w:val="0"/>
              <w:autoSpaceDE/>
              <w:autoSpaceDN/>
              <w:bidi w:val="0"/>
              <w:spacing w:after="0" w:afterLines="0" w:line="240" w:lineRule="auto"/>
              <w:jc w:val="left"/>
              <w:textAlignment w:val="auto"/>
              <w:rPr>
                <w:rFonts w:hint="eastAsia" w:ascii="微软雅黑" w:hAnsi="微软雅黑" w:eastAsia="微软雅黑" w:cs="微软雅黑"/>
                <w:kern w:val="2"/>
                <w:sz w:val="21"/>
                <w:szCs w:val="21"/>
                <w:lang w:val="en-US" w:eastAsia="zh-CN" w:bidi="ar-SA"/>
              </w:rPr>
            </w:pPr>
            <w:r>
              <w:rPr>
                <w:rFonts w:hint="eastAsia" w:ascii="微软雅黑" w:hAnsi="微软雅黑" w:eastAsia="微软雅黑" w:cs="微软雅黑"/>
                <w:kern w:val="2"/>
                <w:sz w:val="21"/>
                <w:szCs w:val="21"/>
                <w:lang w:val="en-US" w:eastAsia="zh-CN" w:bidi="ar-SA"/>
              </w:rPr>
              <w:t>交货地点：重庆医科大学附属儿童医院设备处。</w:t>
            </w:r>
          </w:p>
          <w:p>
            <w:pPr>
              <w:pStyle w:val="242"/>
              <w:keepNext w:val="0"/>
              <w:keepLines w:val="0"/>
              <w:pageBreakBefore w:val="0"/>
              <w:numPr>
                <w:ilvl w:val="0"/>
                <w:numId w:val="0"/>
              </w:numPr>
              <w:kinsoku/>
              <w:wordWrap/>
              <w:overflowPunct/>
              <w:topLinePunct w:val="0"/>
              <w:autoSpaceDE/>
              <w:autoSpaceDN/>
              <w:bidi w:val="0"/>
              <w:spacing w:after="0" w:line="240" w:lineRule="auto"/>
              <w:ind w:leftChars="0"/>
              <w:jc w:val="left"/>
              <w:textAlignment w:val="auto"/>
              <w:rPr>
                <w:rFonts w:hint="eastAsia" w:ascii="微软雅黑" w:hAnsi="微软雅黑" w:eastAsia="微软雅黑" w:cs="微软雅黑"/>
                <w:kern w:val="2"/>
                <w:sz w:val="21"/>
                <w:szCs w:val="21"/>
                <w:lang w:val="en-US" w:eastAsia="zh-CN" w:bidi="ar-SA"/>
              </w:rPr>
            </w:pPr>
            <w:r>
              <w:rPr>
                <w:rFonts w:hint="eastAsia" w:ascii="微软雅黑" w:hAnsi="微软雅黑" w:eastAsia="微软雅黑" w:cs="微软雅黑"/>
                <w:kern w:val="2"/>
                <w:sz w:val="21"/>
                <w:szCs w:val="21"/>
                <w:lang w:val="en-US" w:eastAsia="zh-CN" w:bidi="ar-SA"/>
              </w:rPr>
              <w:t>验收方式：现场抽样开箱验收。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2" w:type="pct"/>
            <w:vAlign w:val="center"/>
          </w:tcPr>
          <w:p>
            <w:pPr>
              <w:pStyle w:val="144"/>
              <w:widowControl/>
              <w:adjustRightInd w:val="0"/>
              <w:snapToGrid w:val="0"/>
              <w:spacing w:line="400" w:lineRule="exact"/>
              <w:jc w:val="center"/>
              <w:rPr>
                <w:rFonts w:hint="eastAsia" w:ascii="微软雅黑" w:hAnsi="微软雅黑" w:eastAsia="微软雅黑" w:cs="微软雅黑"/>
                <w:b/>
                <w:bCs/>
                <w:sz w:val="24"/>
                <w:szCs w:val="24"/>
              </w:rPr>
            </w:pPr>
            <w:r>
              <w:rPr>
                <w:rFonts w:hint="eastAsia" w:ascii="微软雅黑" w:hAnsi="微软雅黑" w:eastAsia="微软雅黑" w:cs="微软雅黑"/>
                <w:b/>
                <w:bCs/>
                <w:sz w:val="24"/>
                <w:szCs w:val="24"/>
              </w:rPr>
              <w:t>质量保证及售后服务</w:t>
            </w:r>
          </w:p>
        </w:tc>
        <w:tc>
          <w:tcPr>
            <w:tcW w:w="4277" w:type="pct"/>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微软雅黑" w:hAnsi="微软雅黑" w:eastAsia="微软雅黑" w:cs="微软雅黑"/>
                <w:kern w:val="2"/>
                <w:sz w:val="21"/>
                <w:szCs w:val="21"/>
                <w:lang w:val="en-US" w:eastAsia="zh-CN" w:bidi="ar-SA"/>
              </w:rPr>
            </w:pPr>
            <w:r>
              <w:rPr>
                <w:rFonts w:hint="eastAsia" w:ascii="微软雅黑" w:hAnsi="微软雅黑" w:eastAsia="微软雅黑" w:cs="微软雅黑"/>
                <w:kern w:val="2"/>
                <w:sz w:val="21"/>
                <w:szCs w:val="21"/>
                <w:lang w:val="en-US" w:eastAsia="zh-CN" w:bidi="ar-SA"/>
              </w:rPr>
              <w:t>1.中标后若出现断供或发生Ⅱ级不良事件，自动取消该产品的供货资格；</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微软雅黑" w:hAnsi="微软雅黑" w:eastAsia="微软雅黑" w:cs="微软雅黑"/>
                <w:kern w:val="2"/>
                <w:sz w:val="21"/>
                <w:szCs w:val="21"/>
                <w:lang w:val="en-US" w:eastAsia="zh-CN" w:bidi="ar-SA"/>
              </w:rPr>
            </w:pPr>
            <w:r>
              <w:rPr>
                <w:rFonts w:hint="eastAsia" w:ascii="微软雅黑" w:hAnsi="微软雅黑" w:eastAsia="微软雅黑" w:cs="微软雅黑"/>
                <w:kern w:val="2"/>
                <w:sz w:val="21"/>
                <w:szCs w:val="21"/>
                <w:lang w:val="en-US" w:eastAsia="zh-CN" w:bidi="ar-SA"/>
              </w:rPr>
              <w:t>2.售后及时(24小时到现场提供解决方案)，收到供应宝订单须3日之内响应订单并及时配送；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7" w:hRule="atLeast"/>
        </w:trPr>
        <w:tc>
          <w:tcPr>
            <w:tcW w:w="722" w:type="pct"/>
            <w:vAlign w:val="center"/>
          </w:tcPr>
          <w:p>
            <w:pPr>
              <w:pStyle w:val="144"/>
              <w:widowControl/>
              <w:adjustRightInd w:val="0"/>
              <w:snapToGrid w:val="0"/>
              <w:spacing w:line="400" w:lineRule="exact"/>
              <w:jc w:val="center"/>
              <w:rPr>
                <w:rFonts w:hint="eastAsia" w:ascii="微软雅黑" w:hAnsi="微软雅黑" w:eastAsia="微软雅黑" w:cs="微软雅黑"/>
                <w:b/>
                <w:bCs/>
                <w:sz w:val="24"/>
                <w:szCs w:val="24"/>
              </w:rPr>
            </w:pPr>
            <w:r>
              <w:rPr>
                <w:rFonts w:hint="eastAsia" w:ascii="微软雅黑" w:hAnsi="微软雅黑" w:eastAsia="微软雅黑" w:cs="微软雅黑"/>
                <w:b/>
                <w:bCs/>
                <w:sz w:val="24"/>
                <w:szCs w:val="24"/>
              </w:rPr>
              <w:t>报价要求</w:t>
            </w:r>
          </w:p>
        </w:tc>
        <w:tc>
          <w:tcPr>
            <w:tcW w:w="4277" w:type="pct"/>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default" w:ascii="微软雅黑" w:hAnsi="微软雅黑" w:eastAsia="微软雅黑" w:cs="微软雅黑"/>
                <w:kern w:val="2"/>
                <w:sz w:val="21"/>
                <w:szCs w:val="21"/>
                <w:lang w:val="en-US" w:eastAsia="zh-CN" w:bidi="ar-SA"/>
              </w:rPr>
            </w:pPr>
            <w:r>
              <w:rPr>
                <w:rFonts w:hint="eastAsia" w:ascii="微软雅黑" w:hAnsi="微软雅黑" w:eastAsia="微软雅黑" w:cs="微软雅黑"/>
                <w:kern w:val="2"/>
                <w:sz w:val="21"/>
                <w:szCs w:val="21"/>
                <w:lang w:val="en-US" w:eastAsia="zh-CN" w:bidi="ar-SA"/>
              </w:rPr>
              <w:t>1.该项目可在投标现场进行二次报价。</w:t>
            </w:r>
          </w:p>
          <w:p>
            <w:pPr>
              <w:pStyle w:val="144"/>
              <w:widowControl/>
              <w:adjustRightInd w:val="0"/>
              <w:snapToGrid w:val="0"/>
              <w:spacing w:line="400" w:lineRule="exact"/>
              <w:jc w:val="left"/>
              <w:rPr>
                <w:rFonts w:hint="eastAsia" w:ascii="微软雅黑" w:hAnsi="微软雅黑" w:eastAsia="微软雅黑" w:cs="微软雅黑"/>
                <w:kern w:val="2"/>
                <w:sz w:val="21"/>
                <w:szCs w:val="21"/>
                <w:lang w:val="en-US" w:eastAsia="zh-CN" w:bidi="ar-SA"/>
              </w:rPr>
            </w:pPr>
            <w:r>
              <w:rPr>
                <w:rFonts w:hint="eastAsia" w:ascii="微软雅黑" w:hAnsi="微软雅黑" w:eastAsia="微软雅黑" w:cs="微软雅黑"/>
                <w:kern w:val="2"/>
                <w:sz w:val="21"/>
                <w:szCs w:val="21"/>
                <w:lang w:val="en-US" w:eastAsia="zh-CN" w:bidi="ar-SA"/>
              </w:rPr>
              <w:t>2.该项目耗材报价须对线上及备案的单价分别报价，因成交供应商自身原因造成漏报、少报皆由其自行承担责任，采购人不再补偿。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2" w:type="pct"/>
            <w:vAlign w:val="center"/>
          </w:tcPr>
          <w:p>
            <w:pPr>
              <w:pStyle w:val="144"/>
              <w:widowControl/>
              <w:adjustRightInd w:val="0"/>
              <w:snapToGrid w:val="0"/>
              <w:spacing w:line="400" w:lineRule="exact"/>
              <w:jc w:val="center"/>
              <w:rPr>
                <w:rFonts w:hint="eastAsia" w:ascii="微软雅黑" w:hAnsi="微软雅黑" w:eastAsia="微软雅黑" w:cs="微软雅黑"/>
                <w:b/>
                <w:bCs/>
                <w:sz w:val="24"/>
                <w:szCs w:val="24"/>
              </w:rPr>
            </w:pPr>
            <w:r>
              <w:rPr>
                <w:rFonts w:hint="eastAsia" w:ascii="微软雅黑" w:hAnsi="微软雅黑" w:eastAsia="微软雅黑" w:cs="微软雅黑"/>
                <w:b/>
                <w:bCs/>
                <w:sz w:val="24"/>
                <w:szCs w:val="24"/>
              </w:rPr>
              <w:t>付款方式</w:t>
            </w:r>
          </w:p>
        </w:tc>
        <w:tc>
          <w:tcPr>
            <w:tcW w:w="4277" w:type="pct"/>
            <w:vAlign w:val="center"/>
          </w:tcPr>
          <w:p>
            <w:pPr>
              <w:pStyle w:val="144"/>
              <w:widowControl/>
              <w:adjustRightInd w:val="0"/>
              <w:snapToGrid w:val="0"/>
              <w:spacing w:line="400" w:lineRule="exact"/>
              <w:jc w:val="left"/>
              <w:rPr>
                <w:rFonts w:hint="eastAsia" w:ascii="微软雅黑" w:hAnsi="微软雅黑" w:eastAsia="微软雅黑" w:cs="微软雅黑"/>
                <w:kern w:val="2"/>
                <w:sz w:val="21"/>
                <w:szCs w:val="21"/>
                <w:lang w:val="en-US" w:eastAsia="zh-CN" w:bidi="ar-SA"/>
              </w:rPr>
            </w:pPr>
            <w:r>
              <w:rPr>
                <w:rFonts w:hint="eastAsia" w:ascii="微软雅黑" w:hAnsi="微软雅黑" w:eastAsia="微软雅黑" w:cs="微软雅黑"/>
                <w:kern w:val="2"/>
                <w:sz w:val="21"/>
                <w:szCs w:val="21"/>
                <w:lang w:val="en-US" w:eastAsia="zh-CN" w:bidi="ar-SA"/>
              </w:rPr>
              <w:t>每月结算一次，成交供应商每月向采购人开具上月采购金额发票和经采购方确认的结算凭证，采购人收到发票和结算凭证后2个月内以转账方式向成交供应商支付。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2" w:type="pct"/>
            <w:vAlign w:val="center"/>
          </w:tcPr>
          <w:p>
            <w:pPr>
              <w:pStyle w:val="144"/>
              <w:widowControl/>
              <w:adjustRightInd w:val="0"/>
              <w:snapToGrid w:val="0"/>
              <w:spacing w:line="400" w:lineRule="exact"/>
              <w:jc w:val="center"/>
              <w:rPr>
                <w:rFonts w:hint="eastAsia" w:ascii="微软雅黑" w:hAnsi="微软雅黑" w:eastAsia="微软雅黑" w:cs="微软雅黑"/>
                <w:b/>
                <w:bCs/>
                <w:sz w:val="24"/>
                <w:szCs w:val="24"/>
              </w:rPr>
            </w:pPr>
            <w:r>
              <w:rPr>
                <w:rFonts w:hint="eastAsia" w:ascii="微软雅黑" w:hAnsi="微软雅黑" w:eastAsia="微软雅黑" w:cs="微软雅黑"/>
                <w:b/>
                <w:bCs/>
                <w:sz w:val="24"/>
                <w:szCs w:val="24"/>
                <w:lang w:val="en-US" w:eastAsia="zh-CN"/>
              </w:rPr>
              <w:t>培训要求</w:t>
            </w:r>
          </w:p>
        </w:tc>
        <w:tc>
          <w:tcPr>
            <w:tcW w:w="4277" w:type="pct"/>
            <w:vAlign w:val="center"/>
          </w:tcPr>
          <w:p>
            <w:pPr>
              <w:pStyle w:val="144"/>
              <w:widowControl/>
              <w:adjustRightInd w:val="0"/>
              <w:snapToGrid w:val="0"/>
              <w:spacing w:line="400" w:lineRule="exact"/>
              <w:jc w:val="left"/>
              <w:rPr>
                <w:rFonts w:hint="eastAsia" w:ascii="微软雅黑" w:hAnsi="微软雅黑" w:eastAsia="微软雅黑" w:cs="微软雅黑"/>
                <w:kern w:val="2"/>
                <w:sz w:val="21"/>
                <w:szCs w:val="21"/>
                <w:lang w:val="en-US" w:eastAsia="zh-CN" w:bidi="ar-SA"/>
              </w:rPr>
            </w:pPr>
            <w:r>
              <w:rPr>
                <w:rFonts w:hint="eastAsia" w:ascii="微软雅黑" w:hAnsi="微软雅黑" w:eastAsia="微软雅黑" w:cs="微软雅黑"/>
                <w:kern w:val="2"/>
                <w:sz w:val="21"/>
                <w:szCs w:val="21"/>
                <w:lang w:val="en-US" w:eastAsia="zh-CN" w:bidi="ar-SA"/>
              </w:rPr>
              <w:t>投标人对其提供产品的使用和操作应尽培训义务。投标人应提供对采购人的基本免费培训，能保证使用人员能正常操作。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2" w:type="pct"/>
            <w:vAlign w:val="center"/>
          </w:tcPr>
          <w:p>
            <w:pPr>
              <w:pStyle w:val="144"/>
              <w:widowControl/>
              <w:adjustRightInd w:val="0"/>
              <w:snapToGrid w:val="0"/>
              <w:spacing w:line="400" w:lineRule="exact"/>
              <w:jc w:val="center"/>
              <w:rPr>
                <w:rFonts w:hint="eastAsia" w:ascii="微软雅黑" w:hAnsi="微软雅黑" w:eastAsia="微软雅黑" w:cs="微软雅黑"/>
                <w:b/>
                <w:bCs/>
                <w:sz w:val="24"/>
                <w:szCs w:val="24"/>
              </w:rPr>
            </w:pPr>
            <w:r>
              <w:rPr>
                <w:rFonts w:hint="eastAsia" w:ascii="微软雅黑" w:hAnsi="微软雅黑" w:eastAsia="微软雅黑" w:cs="微软雅黑"/>
                <w:b/>
                <w:bCs/>
                <w:sz w:val="24"/>
                <w:szCs w:val="24"/>
                <w:lang w:val="en-US" w:eastAsia="zh-CN"/>
              </w:rPr>
              <w:t>附件、图纸及包装要求</w:t>
            </w:r>
          </w:p>
        </w:tc>
        <w:tc>
          <w:tcPr>
            <w:tcW w:w="4277" w:type="pct"/>
            <w:vAlign w:val="center"/>
          </w:tcPr>
          <w:p>
            <w:pPr>
              <w:pStyle w:val="144"/>
              <w:widowControl/>
              <w:adjustRightInd w:val="0"/>
              <w:snapToGrid w:val="0"/>
              <w:spacing w:line="400" w:lineRule="exact"/>
              <w:jc w:val="left"/>
              <w:rPr>
                <w:rFonts w:hint="eastAsia" w:ascii="微软雅黑" w:hAnsi="微软雅黑" w:eastAsia="微软雅黑" w:cs="微软雅黑"/>
                <w:kern w:val="2"/>
                <w:sz w:val="21"/>
                <w:szCs w:val="21"/>
                <w:lang w:val="en-US" w:eastAsia="zh-CN" w:bidi="ar-SA"/>
              </w:rPr>
            </w:pPr>
            <w:r>
              <w:rPr>
                <w:rFonts w:hint="eastAsia" w:ascii="微软雅黑" w:hAnsi="微软雅黑" w:eastAsia="微软雅黑" w:cs="微软雅黑"/>
                <w:kern w:val="2"/>
                <w:sz w:val="21"/>
                <w:szCs w:val="21"/>
                <w:lang w:val="en-US" w:eastAsia="zh-CN" w:bidi="ar-SA"/>
              </w:rPr>
              <w:t>所有产品按照制造商规定的产品包装和随机标准附件为准。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2" w:type="pct"/>
            <w:vAlign w:val="center"/>
          </w:tcPr>
          <w:p>
            <w:pPr>
              <w:pStyle w:val="144"/>
              <w:widowControl/>
              <w:adjustRightInd w:val="0"/>
              <w:snapToGrid w:val="0"/>
              <w:spacing w:line="400" w:lineRule="exact"/>
              <w:jc w:val="center"/>
              <w:rPr>
                <w:rFonts w:hint="eastAsia" w:ascii="微软雅黑" w:hAnsi="微软雅黑" w:eastAsia="微软雅黑" w:cs="微软雅黑"/>
                <w:b/>
                <w:bCs/>
                <w:sz w:val="24"/>
                <w:szCs w:val="24"/>
                <w:lang w:val="en-US" w:eastAsia="zh-CN"/>
              </w:rPr>
            </w:pPr>
            <w:r>
              <w:rPr>
                <w:rFonts w:hint="eastAsia" w:ascii="微软雅黑" w:hAnsi="微软雅黑" w:eastAsia="微软雅黑" w:cs="微软雅黑"/>
                <w:b/>
                <w:bCs/>
                <w:sz w:val="24"/>
                <w:szCs w:val="24"/>
                <w:lang w:val="en-US" w:eastAsia="zh-CN"/>
              </w:rPr>
              <w:t>知识产权</w:t>
            </w:r>
          </w:p>
        </w:tc>
        <w:tc>
          <w:tcPr>
            <w:tcW w:w="4277" w:type="pct"/>
            <w:vAlign w:val="center"/>
          </w:tcPr>
          <w:p>
            <w:pPr>
              <w:pStyle w:val="144"/>
              <w:widowControl/>
              <w:adjustRightInd w:val="0"/>
              <w:snapToGrid w:val="0"/>
              <w:spacing w:line="400" w:lineRule="exact"/>
              <w:jc w:val="left"/>
              <w:rPr>
                <w:rFonts w:hint="eastAsia" w:ascii="微软雅黑" w:hAnsi="微软雅黑" w:eastAsia="微软雅黑" w:cs="微软雅黑"/>
                <w:kern w:val="2"/>
                <w:sz w:val="21"/>
                <w:szCs w:val="21"/>
                <w:lang w:val="en-US" w:eastAsia="zh-CN" w:bidi="ar-SA"/>
              </w:rPr>
            </w:pPr>
            <w:r>
              <w:rPr>
                <w:rFonts w:hint="eastAsia" w:ascii="微软雅黑" w:hAnsi="微软雅黑" w:eastAsia="微软雅黑" w:cs="微软雅黑"/>
                <w:kern w:val="2"/>
                <w:sz w:val="21"/>
                <w:szCs w:val="21"/>
                <w:lang w:val="en-US" w:eastAsia="zh-CN" w:bidi="ar-SA"/>
              </w:rPr>
              <w:t>医院在中国境内使用投标人提供的货物及服务时免受第三方提出的侵犯其专利权或其他知识产权的起诉。如有第三方提出侵权指控，中标人应承担由此引起的一切法律责任和费用。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722" w:type="pct"/>
            <w:vAlign w:val="center"/>
          </w:tcPr>
          <w:p>
            <w:pPr>
              <w:pStyle w:val="144"/>
              <w:widowControl/>
              <w:adjustRightInd w:val="0"/>
              <w:snapToGrid w:val="0"/>
              <w:spacing w:line="400" w:lineRule="exact"/>
              <w:jc w:val="center"/>
              <w:rPr>
                <w:rFonts w:hint="eastAsia" w:ascii="微软雅黑" w:hAnsi="微软雅黑" w:eastAsia="微软雅黑" w:cs="微软雅黑"/>
                <w:b/>
                <w:bCs/>
                <w:sz w:val="24"/>
                <w:szCs w:val="24"/>
              </w:rPr>
            </w:pPr>
            <w:r>
              <w:rPr>
                <w:rFonts w:hint="eastAsia" w:ascii="微软雅黑" w:hAnsi="微软雅黑" w:eastAsia="微软雅黑" w:cs="微软雅黑"/>
                <w:b/>
                <w:bCs/>
                <w:sz w:val="24"/>
                <w:szCs w:val="24"/>
              </w:rPr>
              <w:t>其他</w:t>
            </w:r>
          </w:p>
        </w:tc>
        <w:tc>
          <w:tcPr>
            <w:tcW w:w="4277" w:type="pct"/>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微软雅黑" w:hAnsi="微软雅黑" w:eastAsia="微软雅黑" w:cs="微软雅黑"/>
                <w:kern w:val="2"/>
                <w:sz w:val="21"/>
                <w:szCs w:val="21"/>
                <w:lang w:val="en-US" w:eastAsia="zh-CN" w:bidi="ar-SA"/>
              </w:rPr>
            </w:pPr>
            <w:r>
              <w:rPr>
                <w:rFonts w:hint="eastAsia" w:ascii="微软雅黑" w:hAnsi="微软雅黑" w:eastAsia="微软雅黑" w:cs="微软雅黑"/>
                <w:kern w:val="2"/>
                <w:sz w:val="21"/>
                <w:szCs w:val="21"/>
                <w:lang w:val="en-US" w:eastAsia="zh-CN" w:bidi="ar-SA"/>
              </w:rPr>
              <w:t>1.投标人必须在响应文件中对以上条款和服务承诺明确列出，承诺内容必须达到本篇及协商文件其他条款的要求。</w:t>
            </w:r>
          </w:p>
          <w:p>
            <w:pPr>
              <w:pStyle w:val="144"/>
              <w:widowControl/>
              <w:adjustRightInd w:val="0"/>
              <w:snapToGrid w:val="0"/>
              <w:spacing w:line="400" w:lineRule="exact"/>
              <w:jc w:val="left"/>
              <w:rPr>
                <w:rFonts w:hint="eastAsia"/>
                <w:lang w:val="en-US" w:eastAsia="zh-CN"/>
              </w:rPr>
            </w:pPr>
            <w:r>
              <w:rPr>
                <w:rFonts w:hint="eastAsia" w:ascii="微软雅黑" w:hAnsi="微软雅黑" w:eastAsia="微软雅黑" w:cs="微软雅黑"/>
                <w:kern w:val="2"/>
                <w:sz w:val="21"/>
                <w:szCs w:val="21"/>
                <w:lang w:val="en-US" w:eastAsia="zh-CN" w:bidi="ar-SA"/>
              </w:rPr>
              <w:t>2.其他未尽事宜由供需双方在采购合同中详细约定。</w:t>
            </w:r>
          </w:p>
        </w:tc>
      </w:tr>
    </w:tbl>
    <w:p>
      <w:pPr>
        <w:rPr>
          <w:rFonts w:hint="eastAsia" w:ascii="微软雅黑" w:hAnsi="微软雅黑" w:eastAsia="微软雅黑" w:cs="微软雅黑"/>
          <w:b/>
          <w:sz w:val="44"/>
        </w:rPr>
      </w:pPr>
      <w:bookmarkStart w:id="109" w:name="_Toc76462332"/>
      <w:bookmarkStart w:id="110" w:name="_Toc106030887"/>
      <w:bookmarkStart w:id="111" w:name="_Toc6692"/>
      <w:r>
        <w:rPr>
          <w:rFonts w:hint="eastAsia" w:ascii="微软雅黑" w:hAnsi="微软雅黑" w:eastAsia="微软雅黑" w:cs="微软雅黑"/>
          <w:b/>
          <w:sz w:val="44"/>
        </w:rPr>
        <w:br w:type="page"/>
      </w:r>
    </w:p>
    <w:p>
      <w:pPr>
        <w:pStyle w:val="4"/>
        <w:spacing w:before="200" w:after="200" w:line="240" w:lineRule="auto"/>
        <w:jc w:val="center"/>
        <w:rPr>
          <w:rFonts w:hint="eastAsia" w:ascii="微软雅黑" w:hAnsi="微软雅黑" w:eastAsia="微软雅黑" w:cs="微软雅黑"/>
          <w:sz w:val="44"/>
        </w:rPr>
      </w:pPr>
      <w:bookmarkStart w:id="112" w:name="_Toc14419"/>
      <w:r>
        <w:rPr>
          <w:rFonts w:hint="eastAsia" w:ascii="微软雅黑" w:hAnsi="微软雅黑" w:eastAsia="微软雅黑" w:cs="微软雅黑"/>
          <w:sz w:val="44"/>
        </w:rPr>
        <w:t xml:space="preserve">第四篇  </w:t>
      </w:r>
      <w:r>
        <w:rPr>
          <w:rFonts w:hint="eastAsia" w:ascii="微软雅黑" w:hAnsi="微软雅黑" w:eastAsia="微软雅黑" w:cs="微软雅黑"/>
          <w:sz w:val="44"/>
          <w:lang w:eastAsia="zh-CN"/>
        </w:rPr>
        <w:t>耗材遴选</w:t>
      </w:r>
      <w:r>
        <w:rPr>
          <w:rFonts w:hint="eastAsia" w:ascii="微软雅黑" w:hAnsi="微软雅黑" w:eastAsia="微软雅黑" w:cs="微软雅黑"/>
          <w:sz w:val="44"/>
        </w:rPr>
        <w:t>采购程序及方法、评审标准、无效响应和采购终止</w:t>
      </w:r>
      <w:bookmarkEnd w:id="109"/>
      <w:bookmarkEnd w:id="110"/>
      <w:bookmarkEnd w:id="111"/>
      <w:bookmarkEnd w:id="112"/>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13" w:name="_Toc14958"/>
      <w:bookmarkStart w:id="114" w:name="_Toc76462333"/>
      <w:bookmarkStart w:id="115" w:name="_Toc106030888"/>
      <w:bookmarkStart w:id="116" w:name="_Toc3410"/>
      <w:r>
        <w:rPr>
          <w:rFonts w:hint="eastAsia" w:ascii="微软雅黑" w:hAnsi="微软雅黑" w:eastAsia="微软雅黑" w:cs="微软雅黑"/>
          <w:sz w:val="24"/>
        </w:rPr>
        <w:t>一、</w:t>
      </w:r>
      <w:r>
        <w:rPr>
          <w:rFonts w:hint="eastAsia" w:ascii="微软雅黑" w:hAnsi="微软雅黑" w:eastAsia="微软雅黑" w:cs="微软雅黑"/>
          <w:sz w:val="24"/>
          <w:lang w:eastAsia="zh-CN"/>
        </w:rPr>
        <w:t>耗材遴选</w:t>
      </w:r>
      <w:r>
        <w:rPr>
          <w:rFonts w:hint="eastAsia" w:ascii="微软雅黑" w:hAnsi="微软雅黑" w:eastAsia="微软雅黑" w:cs="微软雅黑"/>
          <w:sz w:val="24"/>
        </w:rPr>
        <w:t>采购程序</w:t>
      </w:r>
      <w:bookmarkEnd w:id="113"/>
      <w:bookmarkEnd w:id="114"/>
      <w:bookmarkEnd w:id="115"/>
      <w:bookmarkEnd w:id="116"/>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（一）按</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采购文件规定的时间和地点进行，投标人须有法定代表人（或其授权代表）或自然人参加。</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（二）比选小组对各投标人的资格条件进行审查。各投标人只有在完全符合要求的前提下，才能参与正式比选。</w:t>
      </w:r>
    </w:p>
    <w:p>
      <w:pPr>
        <w:snapToGrid w:val="0"/>
        <w:spacing w:line="400" w:lineRule="exact"/>
        <w:ind w:firstLine="480" w:firstLineChars="200"/>
        <w:rPr>
          <w:rFonts w:hint="eastAsia" w:ascii="微软雅黑" w:hAnsi="微软雅黑" w:eastAsia="微软雅黑" w:cs="微软雅黑"/>
          <w:kern w:val="0"/>
          <w:sz w:val="24"/>
          <w:szCs w:val="24"/>
        </w:rPr>
      </w:pPr>
      <w:r>
        <w:rPr>
          <w:rFonts w:hint="eastAsia" w:ascii="微软雅黑" w:hAnsi="微软雅黑" w:eastAsia="微软雅黑" w:cs="微软雅黑"/>
          <w:kern w:val="0"/>
          <w:sz w:val="24"/>
          <w:szCs w:val="24"/>
        </w:rPr>
        <w:t>依据法律法规和</w:t>
      </w:r>
      <w:r>
        <w:rPr>
          <w:rFonts w:hint="eastAsia" w:ascii="微软雅黑" w:hAnsi="微软雅黑" w:eastAsia="微软雅黑" w:cs="微软雅黑"/>
          <w:kern w:val="0"/>
          <w:sz w:val="24"/>
          <w:szCs w:val="24"/>
          <w:lang w:eastAsia="zh-CN"/>
        </w:rPr>
        <w:t>耗材遴选</w:t>
      </w:r>
      <w:r>
        <w:rPr>
          <w:rFonts w:hint="eastAsia" w:ascii="微软雅黑" w:hAnsi="微软雅黑" w:eastAsia="微软雅黑" w:cs="微软雅黑"/>
          <w:kern w:val="0"/>
          <w:sz w:val="24"/>
          <w:szCs w:val="24"/>
        </w:rPr>
        <w:t>采购文件的规定，对响应文件中的资格证明等进行审查，以确定投标人是否具备比选资格。资格性审查资料表如下：</w:t>
      </w:r>
    </w:p>
    <w:tbl>
      <w:tblPr>
        <w:tblStyle w:val="5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891"/>
        <w:gridCol w:w="2815"/>
        <w:gridCol w:w="51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Borders>
              <w:top w:val="single" w:color="auto" w:sz="4" w:space="0"/>
              <w:left w:val="single" w:color="auto" w:sz="4" w:space="0"/>
              <w:bottom w:val="single" w:color="auto" w:sz="4" w:space="0"/>
              <w:right w:val="single" w:color="auto" w:sz="4" w:space="0"/>
            </w:tcBorders>
            <w:vAlign w:val="center"/>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序号</w:t>
            </w:r>
          </w:p>
        </w:tc>
        <w:tc>
          <w:tcPr>
            <w:tcW w:w="3706" w:type="dxa"/>
            <w:gridSpan w:val="2"/>
            <w:tcBorders>
              <w:top w:val="single" w:color="auto" w:sz="4" w:space="0"/>
              <w:left w:val="single" w:color="auto" w:sz="4" w:space="0"/>
              <w:bottom w:val="single" w:color="auto" w:sz="4" w:space="0"/>
              <w:right w:val="single" w:color="auto" w:sz="4" w:space="0"/>
            </w:tcBorders>
            <w:vAlign w:val="center"/>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检查因素</w:t>
            </w:r>
          </w:p>
        </w:tc>
        <w:tc>
          <w:tcPr>
            <w:tcW w:w="5105" w:type="dxa"/>
            <w:tcBorders>
              <w:top w:val="single" w:color="auto" w:sz="4" w:space="0"/>
              <w:left w:val="single" w:color="auto" w:sz="4" w:space="0"/>
              <w:bottom w:val="single" w:color="auto" w:sz="4" w:space="0"/>
              <w:right w:val="single" w:color="auto" w:sz="4" w:space="0"/>
            </w:tcBorders>
            <w:vAlign w:val="center"/>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检查内容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restart"/>
            <w:vAlign w:val="center"/>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（一）</w:t>
            </w:r>
          </w:p>
        </w:tc>
        <w:tc>
          <w:tcPr>
            <w:tcW w:w="891" w:type="dxa"/>
            <w:vMerge w:val="restart"/>
            <w:vAlign w:val="center"/>
          </w:tcPr>
          <w:p>
            <w:pPr>
              <w:pStyle w:val="144"/>
              <w:spacing w:line="400" w:lineRule="exact"/>
              <w:rPr>
                <w:rFonts w:hint="eastAsia" w:ascii="微软雅黑" w:hAnsi="微软雅黑" w:eastAsia="微软雅黑" w:cs="微软雅黑"/>
                <w:szCs w:val="21"/>
                <w:lang w:val="zh-CN"/>
              </w:rPr>
            </w:pPr>
            <w:r>
              <w:rPr>
                <w:rFonts w:hint="eastAsia" w:ascii="微软雅黑" w:hAnsi="微软雅黑" w:eastAsia="微软雅黑" w:cs="微软雅黑"/>
                <w:szCs w:val="21"/>
                <w:lang w:val="zh-CN"/>
              </w:rPr>
              <w:t>《中华人民共和国政府采购法》第二十二条规定</w:t>
            </w:r>
          </w:p>
        </w:tc>
        <w:tc>
          <w:tcPr>
            <w:tcW w:w="2815" w:type="dxa"/>
            <w:vAlign w:val="center"/>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1.具有独立承担民事责任的能力</w:t>
            </w:r>
          </w:p>
        </w:tc>
        <w:tc>
          <w:tcPr>
            <w:tcW w:w="5105" w:type="dxa"/>
            <w:vAlign w:val="center"/>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1.投标人法人营业执照（副本）或事业单位法人证书（副本）或个体工商户营业执照或有效的自然人身份证明或社会团体法人登记证书（提供复印件）。 </w:t>
            </w:r>
          </w:p>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2.投标人法定代表人身份证明和法定代表人授权代表委托书。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vAlign w:val="center"/>
          </w:tcPr>
          <w:p>
            <w:pPr>
              <w:pStyle w:val="144"/>
              <w:spacing w:line="400" w:lineRule="exact"/>
              <w:ind w:firstLine="420" w:firstLineChars="200"/>
              <w:rPr>
                <w:rFonts w:hint="eastAsia" w:ascii="微软雅黑" w:hAnsi="微软雅黑" w:eastAsia="微软雅黑" w:cs="微软雅黑"/>
                <w:szCs w:val="21"/>
              </w:rPr>
            </w:pPr>
          </w:p>
        </w:tc>
        <w:tc>
          <w:tcPr>
            <w:tcW w:w="891" w:type="dxa"/>
            <w:vMerge w:val="continue"/>
            <w:vAlign w:val="center"/>
          </w:tcPr>
          <w:p>
            <w:pPr>
              <w:pStyle w:val="144"/>
              <w:spacing w:line="400" w:lineRule="exact"/>
              <w:ind w:firstLine="420" w:firstLineChars="200"/>
              <w:rPr>
                <w:rFonts w:hint="eastAsia" w:ascii="微软雅黑" w:hAnsi="微软雅黑" w:eastAsia="微软雅黑" w:cs="微软雅黑"/>
                <w:szCs w:val="21"/>
                <w:lang w:val="zh-CN"/>
              </w:rPr>
            </w:pPr>
          </w:p>
        </w:tc>
        <w:tc>
          <w:tcPr>
            <w:tcW w:w="2815" w:type="dxa"/>
            <w:vAlign w:val="center"/>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lang w:val="zh-CN"/>
              </w:rPr>
              <w:t>2.</w:t>
            </w:r>
            <w:r>
              <w:rPr>
                <w:rFonts w:hint="eastAsia" w:ascii="微软雅黑" w:hAnsi="微软雅黑" w:eastAsia="微软雅黑" w:cs="微软雅黑"/>
                <w:szCs w:val="21"/>
              </w:rPr>
              <w:t>具有良好的商业信誉和健全的财务会计制度</w:t>
            </w:r>
          </w:p>
        </w:tc>
        <w:tc>
          <w:tcPr>
            <w:tcW w:w="5105" w:type="dxa"/>
            <w:vMerge w:val="restart"/>
            <w:vAlign w:val="center"/>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投标人提供“基本资格条件承诺函”（格式详见第六篇）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vAlign w:val="center"/>
          </w:tcPr>
          <w:p>
            <w:pPr>
              <w:pStyle w:val="144"/>
              <w:spacing w:line="400" w:lineRule="exact"/>
              <w:ind w:firstLine="420" w:firstLineChars="200"/>
              <w:rPr>
                <w:rFonts w:hint="eastAsia" w:ascii="微软雅黑" w:hAnsi="微软雅黑" w:eastAsia="微软雅黑" w:cs="微软雅黑"/>
                <w:szCs w:val="21"/>
              </w:rPr>
            </w:pPr>
          </w:p>
        </w:tc>
        <w:tc>
          <w:tcPr>
            <w:tcW w:w="891" w:type="dxa"/>
            <w:vMerge w:val="continue"/>
            <w:vAlign w:val="center"/>
          </w:tcPr>
          <w:p>
            <w:pPr>
              <w:pStyle w:val="144"/>
              <w:spacing w:line="400" w:lineRule="exact"/>
              <w:ind w:firstLine="420" w:firstLineChars="200"/>
              <w:rPr>
                <w:rFonts w:hint="eastAsia" w:ascii="微软雅黑" w:hAnsi="微软雅黑" w:eastAsia="微软雅黑" w:cs="微软雅黑"/>
                <w:szCs w:val="21"/>
                <w:lang w:val="zh-CN"/>
              </w:rPr>
            </w:pPr>
          </w:p>
        </w:tc>
        <w:tc>
          <w:tcPr>
            <w:tcW w:w="2815" w:type="dxa"/>
            <w:vAlign w:val="center"/>
          </w:tcPr>
          <w:p>
            <w:pPr>
              <w:pStyle w:val="144"/>
              <w:spacing w:line="400" w:lineRule="exact"/>
              <w:rPr>
                <w:rFonts w:hint="eastAsia" w:ascii="微软雅黑" w:hAnsi="微软雅黑" w:eastAsia="微软雅黑" w:cs="微软雅黑"/>
                <w:szCs w:val="21"/>
                <w:lang w:val="zh-CN"/>
              </w:rPr>
            </w:pPr>
            <w:r>
              <w:rPr>
                <w:rFonts w:hint="eastAsia" w:ascii="微软雅黑" w:hAnsi="微软雅黑" w:eastAsia="微软雅黑" w:cs="微软雅黑"/>
                <w:szCs w:val="21"/>
                <w:lang w:val="zh-CN"/>
              </w:rPr>
              <w:t>3.具有履行合同所必需的设备和专业技术能力</w:t>
            </w:r>
          </w:p>
        </w:tc>
        <w:tc>
          <w:tcPr>
            <w:tcW w:w="5105" w:type="dxa"/>
            <w:vMerge w:val="continue"/>
            <w:vAlign w:val="center"/>
          </w:tcPr>
          <w:p>
            <w:pPr>
              <w:pStyle w:val="144"/>
              <w:spacing w:line="400" w:lineRule="exact"/>
              <w:ind w:firstLine="420" w:firstLineChars="200"/>
              <w:rPr>
                <w:rFonts w:hint="eastAsia" w:ascii="微软雅黑" w:hAnsi="微软雅黑" w:eastAsia="微软雅黑" w:cs="微软雅黑"/>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vAlign w:val="center"/>
          </w:tcPr>
          <w:p>
            <w:pPr>
              <w:pStyle w:val="144"/>
              <w:spacing w:line="400" w:lineRule="exact"/>
              <w:ind w:firstLine="420" w:firstLineChars="200"/>
              <w:rPr>
                <w:rFonts w:hint="eastAsia" w:ascii="微软雅黑" w:hAnsi="微软雅黑" w:eastAsia="微软雅黑" w:cs="微软雅黑"/>
                <w:szCs w:val="21"/>
              </w:rPr>
            </w:pPr>
          </w:p>
        </w:tc>
        <w:tc>
          <w:tcPr>
            <w:tcW w:w="891" w:type="dxa"/>
            <w:vMerge w:val="continue"/>
            <w:vAlign w:val="center"/>
          </w:tcPr>
          <w:p>
            <w:pPr>
              <w:pStyle w:val="144"/>
              <w:spacing w:line="400" w:lineRule="exact"/>
              <w:ind w:firstLine="420" w:firstLineChars="200"/>
              <w:rPr>
                <w:rFonts w:hint="eastAsia" w:ascii="微软雅黑" w:hAnsi="微软雅黑" w:eastAsia="微软雅黑" w:cs="微软雅黑"/>
                <w:szCs w:val="21"/>
                <w:lang w:val="zh-CN"/>
              </w:rPr>
            </w:pPr>
          </w:p>
        </w:tc>
        <w:tc>
          <w:tcPr>
            <w:tcW w:w="2815" w:type="dxa"/>
            <w:vAlign w:val="center"/>
          </w:tcPr>
          <w:p>
            <w:pPr>
              <w:pStyle w:val="144"/>
              <w:spacing w:line="400" w:lineRule="exact"/>
              <w:rPr>
                <w:rFonts w:hint="eastAsia" w:ascii="微软雅黑" w:hAnsi="微软雅黑" w:eastAsia="微软雅黑" w:cs="微软雅黑"/>
                <w:szCs w:val="21"/>
                <w:lang w:val="zh-CN"/>
              </w:rPr>
            </w:pPr>
            <w:r>
              <w:rPr>
                <w:rFonts w:hint="eastAsia" w:ascii="微软雅黑" w:hAnsi="微软雅黑" w:eastAsia="微软雅黑" w:cs="微软雅黑"/>
                <w:szCs w:val="21"/>
                <w:lang w:val="zh-CN"/>
              </w:rPr>
              <w:t>4.有依法缴纳税收和社会保障金的良好记录</w:t>
            </w:r>
          </w:p>
        </w:tc>
        <w:tc>
          <w:tcPr>
            <w:tcW w:w="5105" w:type="dxa"/>
            <w:vMerge w:val="continue"/>
            <w:vAlign w:val="center"/>
          </w:tcPr>
          <w:p>
            <w:pPr>
              <w:pStyle w:val="144"/>
              <w:spacing w:line="400" w:lineRule="exact"/>
              <w:ind w:firstLine="420" w:firstLineChars="200"/>
              <w:rPr>
                <w:rFonts w:hint="eastAsia" w:ascii="微软雅黑" w:hAnsi="微软雅黑" w:eastAsia="微软雅黑" w:cs="微软雅黑"/>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vAlign w:val="center"/>
          </w:tcPr>
          <w:p>
            <w:pPr>
              <w:pStyle w:val="144"/>
              <w:spacing w:line="400" w:lineRule="exact"/>
              <w:ind w:firstLine="420" w:firstLineChars="200"/>
              <w:rPr>
                <w:rFonts w:hint="eastAsia" w:ascii="微软雅黑" w:hAnsi="微软雅黑" w:eastAsia="微软雅黑" w:cs="微软雅黑"/>
                <w:szCs w:val="21"/>
              </w:rPr>
            </w:pPr>
          </w:p>
        </w:tc>
        <w:tc>
          <w:tcPr>
            <w:tcW w:w="891" w:type="dxa"/>
            <w:vMerge w:val="continue"/>
            <w:vAlign w:val="center"/>
          </w:tcPr>
          <w:p>
            <w:pPr>
              <w:pStyle w:val="144"/>
              <w:spacing w:line="400" w:lineRule="exact"/>
              <w:ind w:firstLine="420" w:firstLineChars="200"/>
              <w:rPr>
                <w:rFonts w:hint="eastAsia" w:ascii="微软雅黑" w:hAnsi="微软雅黑" w:eastAsia="微软雅黑" w:cs="微软雅黑"/>
                <w:szCs w:val="21"/>
                <w:lang w:val="zh-CN"/>
              </w:rPr>
            </w:pPr>
          </w:p>
        </w:tc>
        <w:tc>
          <w:tcPr>
            <w:tcW w:w="2815" w:type="dxa"/>
            <w:vAlign w:val="center"/>
          </w:tcPr>
          <w:p>
            <w:pPr>
              <w:pStyle w:val="144"/>
              <w:spacing w:line="400" w:lineRule="exact"/>
              <w:rPr>
                <w:rFonts w:hint="eastAsia" w:ascii="微软雅黑" w:hAnsi="微软雅黑" w:eastAsia="微软雅黑" w:cs="微软雅黑"/>
                <w:szCs w:val="21"/>
                <w:lang w:val="zh-CN"/>
              </w:rPr>
            </w:pPr>
            <w:r>
              <w:rPr>
                <w:rFonts w:hint="eastAsia" w:ascii="微软雅黑" w:hAnsi="微软雅黑" w:eastAsia="微软雅黑" w:cs="微软雅黑"/>
                <w:szCs w:val="21"/>
              </w:rPr>
              <w:t>5.参加政府采购活动前三年内，在经营活动中没有重大违法记录</w:t>
            </w:r>
          </w:p>
        </w:tc>
        <w:tc>
          <w:tcPr>
            <w:tcW w:w="5105" w:type="dxa"/>
            <w:vMerge w:val="continue"/>
            <w:vAlign w:val="center"/>
          </w:tcPr>
          <w:p>
            <w:pPr>
              <w:pStyle w:val="144"/>
              <w:spacing w:line="400" w:lineRule="exact"/>
              <w:ind w:firstLine="420" w:firstLineChars="200"/>
              <w:rPr>
                <w:rFonts w:hint="eastAsia" w:ascii="微软雅黑" w:hAnsi="微软雅黑" w:eastAsia="微软雅黑" w:cs="微软雅黑"/>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vMerge w:val="continue"/>
            <w:vAlign w:val="center"/>
          </w:tcPr>
          <w:p>
            <w:pPr>
              <w:pStyle w:val="144"/>
              <w:spacing w:line="400" w:lineRule="exact"/>
              <w:ind w:firstLine="420" w:firstLineChars="200"/>
              <w:rPr>
                <w:rFonts w:hint="eastAsia" w:ascii="微软雅黑" w:hAnsi="微软雅黑" w:eastAsia="微软雅黑" w:cs="微软雅黑"/>
                <w:szCs w:val="21"/>
              </w:rPr>
            </w:pPr>
          </w:p>
        </w:tc>
        <w:tc>
          <w:tcPr>
            <w:tcW w:w="891" w:type="dxa"/>
            <w:vMerge w:val="continue"/>
            <w:vAlign w:val="center"/>
          </w:tcPr>
          <w:p>
            <w:pPr>
              <w:pStyle w:val="144"/>
              <w:spacing w:line="400" w:lineRule="exact"/>
              <w:ind w:firstLine="420" w:firstLineChars="200"/>
              <w:rPr>
                <w:rFonts w:hint="eastAsia" w:ascii="微软雅黑" w:hAnsi="微软雅黑" w:eastAsia="微软雅黑" w:cs="微软雅黑"/>
                <w:szCs w:val="21"/>
              </w:rPr>
            </w:pPr>
          </w:p>
        </w:tc>
        <w:tc>
          <w:tcPr>
            <w:tcW w:w="2815" w:type="dxa"/>
            <w:vAlign w:val="center"/>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6.法律、行政法规规定的其他条件</w:t>
            </w:r>
          </w:p>
        </w:tc>
        <w:tc>
          <w:tcPr>
            <w:tcW w:w="5105" w:type="dxa"/>
            <w:vAlign w:val="center"/>
          </w:tcPr>
          <w:p>
            <w:pPr>
              <w:pStyle w:val="144"/>
              <w:spacing w:line="400" w:lineRule="exact"/>
              <w:ind w:firstLine="420" w:firstLineChars="200"/>
              <w:rPr>
                <w:rFonts w:hint="eastAsia" w:ascii="微软雅黑" w:hAnsi="微软雅黑" w:eastAsia="微软雅黑" w:cs="微软雅黑"/>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vMerge w:val="continue"/>
            <w:vAlign w:val="center"/>
          </w:tcPr>
          <w:p>
            <w:pPr>
              <w:pStyle w:val="144"/>
              <w:spacing w:line="400" w:lineRule="exact"/>
              <w:ind w:firstLine="420" w:firstLineChars="200"/>
              <w:rPr>
                <w:rFonts w:hint="eastAsia" w:ascii="微软雅黑" w:hAnsi="微软雅黑" w:eastAsia="微软雅黑" w:cs="微软雅黑"/>
                <w:szCs w:val="21"/>
              </w:rPr>
            </w:pPr>
          </w:p>
        </w:tc>
        <w:tc>
          <w:tcPr>
            <w:tcW w:w="891" w:type="dxa"/>
            <w:vMerge w:val="continue"/>
            <w:vAlign w:val="center"/>
          </w:tcPr>
          <w:p>
            <w:pPr>
              <w:pStyle w:val="144"/>
              <w:spacing w:line="400" w:lineRule="exact"/>
              <w:ind w:firstLine="420" w:firstLineChars="200"/>
              <w:rPr>
                <w:rFonts w:hint="eastAsia" w:ascii="微软雅黑" w:hAnsi="微软雅黑" w:eastAsia="微软雅黑" w:cs="微软雅黑"/>
                <w:szCs w:val="21"/>
              </w:rPr>
            </w:pPr>
          </w:p>
        </w:tc>
        <w:tc>
          <w:tcPr>
            <w:tcW w:w="2815" w:type="dxa"/>
            <w:vAlign w:val="center"/>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7.本项目的特定资格要求</w:t>
            </w:r>
          </w:p>
        </w:tc>
        <w:tc>
          <w:tcPr>
            <w:tcW w:w="5105" w:type="dxa"/>
            <w:vAlign w:val="center"/>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按“第一篇</w:t>
            </w:r>
            <w:r>
              <w:rPr>
                <w:rFonts w:hint="eastAsia" w:ascii="微软雅黑" w:hAnsi="微软雅黑" w:eastAsia="微软雅黑" w:cs="微软雅黑"/>
                <w:szCs w:val="21"/>
                <w:lang w:val="en-US" w:eastAsia="zh-CN"/>
              </w:rPr>
              <w:t>二</w:t>
            </w:r>
            <w:r>
              <w:rPr>
                <w:rFonts w:hint="eastAsia" w:ascii="微软雅黑" w:hAnsi="微软雅黑" w:eastAsia="微软雅黑" w:cs="微软雅黑"/>
                <w:szCs w:val="21"/>
              </w:rPr>
              <w:t>、投标人资格要求（</w:t>
            </w:r>
            <w:r>
              <w:rPr>
                <w:rFonts w:hint="eastAsia" w:ascii="微软雅黑" w:hAnsi="微软雅黑" w:eastAsia="微软雅黑" w:cs="微软雅黑"/>
                <w:szCs w:val="21"/>
                <w:lang w:val="en-US" w:eastAsia="zh-CN"/>
              </w:rPr>
              <w:t>二</w:t>
            </w:r>
            <w:r>
              <w:rPr>
                <w:rFonts w:hint="eastAsia" w:ascii="微软雅黑" w:hAnsi="微软雅黑" w:eastAsia="微软雅黑" w:cs="微软雅黑"/>
                <w:szCs w:val="21"/>
              </w:rPr>
              <w:t>）本项目的特定资格要求”的要求提交（如果有）。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（二）</w:t>
            </w:r>
          </w:p>
        </w:tc>
        <w:tc>
          <w:tcPr>
            <w:tcW w:w="891" w:type="dxa"/>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保证金</w:t>
            </w:r>
          </w:p>
        </w:tc>
        <w:tc>
          <w:tcPr>
            <w:tcW w:w="2815" w:type="dxa"/>
          </w:tcPr>
          <w:p>
            <w:pPr>
              <w:pStyle w:val="144"/>
              <w:spacing w:line="400" w:lineRule="exact"/>
              <w:ind w:firstLine="420" w:firstLineChars="200"/>
              <w:rPr>
                <w:rFonts w:hint="eastAsia" w:ascii="微软雅黑" w:hAnsi="微软雅黑" w:eastAsia="微软雅黑" w:cs="微软雅黑"/>
                <w:szCs w:val="21"/>
              </w:rPr>
            </w:pPr>
          </w:p>
        </w:tc>
        <w:tc>
          <w:tcPr>
            <w:tcW w:w="5105" w:type="dxa"/>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按照比选文件要求足额交纳保证金。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（三）</w:t>
            </w:r>
          </w:p>
        </w:tc>
        <w:tc>
          <w:tcPr>
            <w:tcW w:w="891" w:type="dxa"/>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IP地址</w:t>
            </w:r>
          </w:p>
        </w:tc>
        <w:tc>
          <w:tcPr>
            <w:tcW w:w="2815" w:type="dxa"/>
          </w:tcPr>
          <w:p>
            <w:pPr>
              <w:pStyle w:val="144"/>
              <w:spacing w:line="400" w:lineRule="exact"/>
              <w:ind w:firstLine="420" w:firstLineChars="200"/>
              <w:rPr>
                <w:rFonts w:hint="eastAsia" w:ascii="微软雅黑" w:hAnsi="微软雅黑" w:eastAsia="微软雅黑" w:cs="微软雅黑"/>
                <w:szCs w:val="21"/>
              </w:rPr>
            </w:pPr>
          </w:p>
        </w:tc>
        <w:tc>
          <w:tcPr>
            <w:tcW w:w="5105" w:type="dxa"/>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投标人在采购人指定招标平台进行报名或提交响应文件时，是否出现与其他投标人IP地址重复的情况。如果有则视为存在围标和串标风险，取消所有IP地址重复的投标人的投标资格。</w:t>
            </w:r>
          </w:p>
        </w:tc>
      </w:tr>
    </w:tbl>
    <w:p>
      <w:pPr>
        <w:snapToGrid w:val="0"/>
        <w:spacing w:line="400" w:lineRule="exact"/>
        <w:ind w:firstLine="480" w:firstLineChars="200"/>
        <w:rPr>
          <w:rFonts w:hint="eastAsia" w:ascii="微软雅黑" w:hAnsi="微软雅黑" w:eastAsia="微软雅黑" w:cs="微软雅黑"/>
          <w:kern w:val="0"/>
          <w:sz w:val="24"/>
          <w:szCs w:val="24"/>
        </w:rPr>
      </w:pPr>
      <w:r>
        <w:rPr>
          <w:rFonts w:hint="eastAsia" w:ascii="微软雅黑" w:hAnsi="微软雅黑" w:eastAsia="微软雅黑" w:cs="微软雅黑"/>
          <w:kern w:val="0"/>
          <w:sz w:val="24"/>
          <w:szCs w:val="24"/>
        </w:rPr>
        <w:t>注：根据《中华人民共和国政府采购法实施条例》第十九条“参加政府采购活动前三年内，在经营活动中没有重大违法记录”中“重大违法记录”，是指投标人因违法经营受到刑事处罚或者责令停产停业、吊销许可证或者执照、较大数额罚款等行政处罚。行政处罚中“较大数额”的认定标准，按照“财政部关于《中华人民共和国政府采购法实施条例》第十九条第一款“较大数额罚款”具体适用问题的意见（财库〔2022〕3 号）”执行。投标人可于响应文件递交截止时间前通过 “信用中国”网站(www.creditchina.gov.cn)、"中国政府采购网"(www.ccgp.gov.cn)等渠道查询信用记录。</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17" w:name="_Toc29068"/>
      <w:r>
        <w:rPr>
          <w:rFonts w:hint="eastAsia" w:ascii="微软雅黑" w:hAnsi="微软雅黑" w:eastAsia="微软雅黑" w:cs="微软雅黑"/>
          <w:sz w:val="24"/>
        </w:rPr>
        <w:t>二、评标方法</w:t>
      </w:r>
      <w:bookmarkEnd w:id="117"/>
    </w:p>
    <w:p>
      <w:pPr>
        <w:snapToGrid w:val="0"/>
        <w:spacing w:line="400" w:lineRule="exact"/>
        <w:ind w:firstLine="480" w:firstLineChars="200"/>
        <w:rPr>
          <w:rFonts w:hint="eastAsia" w:ascii="微软雅黑" w:hAnsi="微软雅黑" w:eastAsia="微软雅黑" w:cs="微软雅黑"/>
          <w:kern w:val="0"/>
          <w:sz w:val="24"/>
          <w:szCs w:val="24"/>
          <w:lang w:val="en-US" w:eastAsia="zh-CN"/>
        </w:rPr>
      </w:pPr>
      <w:bookmarkStart w:id="118" w:name="_Toc76462334"/>
      <w:bookmarkStart w:id="119" w:name="_Toc30944"/>
      <w:bookmarkStart w:id="120" w:name="_Toc106030889"/>
      <w:bookmarkStart w:id="121" w:name="_Toc342913394"/>
      <w:bookmarkStart w:id="122" w:name="_Toc102227320"/>
      <w:r>
        <w:rPr>
          <w:rFonts w:hint="eastAsia" w:ascii="微软雅黑" w:hAnsi="微软雅黑" w:eastAsia="微软雅黑" w:cs="微软雅黑"/>
          <w:kern w:val="0"/>
          <w:sz w:val="24"/>
          <w:szCs w:val="24"/>
          <w:lang w:val="en-US" w:eastAsia="zh-CN"/>
        </w:rPr>
        <w:t>1.评审小组选取满足参数及性能要求的品牌定为入围品牌。</w:t>
      </w:r>
    </w:p>
    <w:p>
      <w:pPr>
        <w:snapToGrid w:val="0"/>
        <w:spacing w:line="400" w:lineRule="exact"/>
        <w:ind w:firstLine="480" w:firstLineChars="200"/>
        <w:rPr>
          <w:rFonts w:hint="eastAsia" w:ascii="微软雅黑" w:hAnsi="微软雅黑" w:eastAsia="微软雅黑" w:cs="微软雅黑"/>
          <w:kern w:val="0"/>
          <w:sz w:val="24"/>
          <w:szCs w:val="24"/>
          <w:lang w:val="en-US" w:eastAsia="zh-CN"/>
        </w:rPr>
      </w:pPr>
      <w:r>
        <w:rPr>
          <w:rFonts w:hint="eastAsia" w:ascii="微软雅黑" w:hAnsi="微软雅黑" w:eastAsia="微软雅黑" w:cs="微软雅黑"/>
          <w:kern w:val="0"/>
          <w:sz w:val="24"/>
          <w:szCs w:val="24"/>
          <w:lang w:val="en-US" w:eastAsia="zh-CN"/>
        </w:rPr>
        <w:t>2.对入围品牌进行价格谈判并排序，同等条件下，低价中标。</w:t>
      </w:r>
      <w:bookmarkStart w:id="123" w:name="_Toc4078"/>
    </w:p>
    <w:p>
      <w:pPr>
        <w:pStyle w:val="4"/>
        <w:adjustRightInd w:val="0"/>
        <w:snapToGrid w:val="0"/>
        <w:spacing w:before="0" w:after="0" w:line="400" w:lineRule="exact"/>
        <w:ind w:firstLine="480" w:firstLineChars="200"/>
        <w:rPr>
          <w:rFonts w:hint="eastAsia" w:ascii="微软雅黑" w:hAnsi="微软雅黑" w:eastAsia="微软雅黑" w:cs="微软雅黑"/>
          <w:sz w:val="24"/>
          <w:lang w:val="en-US" w:eastAsia="zh-CN"/>
        </w:rPr>
      </w:pPr>
      <w:r>
        <w:rPr>
          <w:rFonts w:hint="eastAsia" w:ascii="微软雅黑" w:hAnsi="微软雅黑" w:eastAsia="微软雅黑" w:cs="微软雅黑"/>
          <w:sz w:val="24"/>
          <w:lang w:val="en-US" w:eastAsia="zh-CN"/>
        </w:rPr>
        <w:t>三、报价方式</w:t>
      </w:r>
      <w:bookmarkEnd w:id="123"/>
    </w:p>
    <w:p>
      <w:pPr>
        <w:snapToGrid w:val="0"/>
        <w:spacing w:line="400" w:lineRule="exact"/>
        <w:ind w:firstLine="480" w:firstLineChars="200"/>
        <w:rPr>
          <w:rFonts w:hint="eastAsia" w:ascii="微软雅黑" w:hAnsi="微软雅黑" w:eastAsia="微软雅黑" w:cs="微软雅黑"/>
          <w:kern w:val="0"/>
          <w:sz w:val="24"/>
          <w:szCs w:val="24"/>
          <w:lang w:val="en-US" w:eastAsia="zh-CN"/>
        </w:rPr>
      </w:pPr>
      <w:bookmarkStart w:id="124" w:name="_Toc13703"/>
      <w:bookmarkStart w:id="125" w:name="_Toc5837"/>
      <w:r>
        <w:rPr>
          <w:rFonts w:hint="eastAsia" w:ascii="微软雅黑" w:hAnsi="微软雅黑" w:eastAsia="微软雅黑" w:cs="微软雅黑"/>
          <w:kern w:val="0"/>
          <w:sz w:val="24"/>
          <w:szCs w:val="24"/>
          <w:lang w:val="en-US" w:eastAsia="zh-CN"/>
        </w:rPr>
        <w:t>本项目投标人可在投标现场进行第二次报价。</w:t>
      </w:r>
      <w:bookmarkEnd w:id="124"/>
      <w:bookmarkEnd w:id="125"/>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26" w:name="_Toc23723"/>
      <w:r>
        <w:rPr>
          <w:rFonts w:hint="eastAsia" w:ascii="微软雅黑" w:hAnsi="微软雅黑" w:eastAsia="微软雅黑" w:cs="微软雅黑"/>
          <w:sz w:val="24"/>
        </w:rPr>
        <w:t>四、评审标准</w:t>
      </w:r>
      <w:bookmarkEnd w:id="118"/>
      <w:bookmarkEnd w:id="119"/>
      <w:bookmarkEnd w:id="120"/>
      <w:bookmarkEnd w:id="126"/>
    </w:p>
    <w:p>
      <w:pPr>
        <w:snapToGrid w:val="0"/>
        <w:spacing w:line="400" w:lineRule="exact"/>
        <w:ind w:firstLine="480" w:firstLineChars="200"/>
        <w:rPr>
          <w:rFonts w:hint="eastAsia" w:ascii="微软雅黑" w:hAnsi="微软雅黑" w:eastAsia="微软雅黑" w:cs="微软雅黑"/>
          <w:sz w:val="24"/>
          <w:szCs w:val="24"/>
        </w:rPr>
      </w:pPr>
      <w:bookmarkStart w:id="127" w:name="_Toc106030890"/>
      <w:bookmarkStart w:id="128" w:name="_Toc31497"/>
      <w:bookmarkStart w:id="129" w:name="_Toc76462335"/>
      <w:r>
        <w:rPr>
          <w:rFonts w:hint="eastAsia" w:ascii="微软雅黑" w:hAnsi="微软雅黑" w:eastAsia="微软雅黑" w:cs="微软雅黑"/>
          <w:sz w:val="24"/>
          <w:szCs w:val="24"/>
        </w:rPr>
        <w:t>（一）关于技术（质量）、商务偏离</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1.响应文件投标应答有一条及以上不满足</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采购文件“第二篇 项目技术（质量）需求”要求的，投标人将失去成为中标候选人的资格；</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2.响应文件投标应答有一条及以上不满足</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采购文件“第三篇 项目商务需求”要求的，投标人将失去成为合格投标人的资格；</w:t>
      </w:r>
    </w:p>
    <w:p>
      <w:pPr>
        <w:snapToGrid w:val="0"/>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szCs w:val="24"/>
        </w:rPr>
        <w:t>3.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bookmarkEnd w:id="121"/>
    <w:bookmarkEnd w:id="122"/>
    <w:bookmarkEnd w:id="127"/>
    <w:bookmarkEnd w:id="128"/>
    <w:bookmarkEnd w:id="129"/>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30" w:name="_Toc4326"/>
      <w:bookmarkStart w:id="131" w:name="_Toc3878"/>
      <w:r>
        <w:rPr>
          <w:rFonts w:hint="eastAsia" w:ascii="微软雅黑" w:hAnsi="微软雅黑" w:eastAsia="微软雅黑" w:cs="微软雅黑"/>
          <w:sz w:val="24"/>
        </w:rPr>
        <w:t>五、无效响应</w:t>
      </w:r>
      <w:bookmarkEnd w:id="130"/>
      <w:bookmarkEnd w:id="131"/>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投标人发生以下条款情况之一者，视为无效响应，其响应文件将被拒绝：</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（一）投标人不符合规定的资格条件的；</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（二）投标人的法定代表人（或其授权代表）或自然人未在采购人规定时间内到达开标现场进行签到及提交纸质响应文件的；</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（三）投标人所提交的响应文件不按“第六篇响应文件编制要求”要求签署或盖章；</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（四）投标人的最后报价超过采购预算或最高限价的；</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（五）法定代表人为同一个人的两个及两个以上法人，母公司、全资子公司及其控股公司，在同一包采购中同时参与比选；</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（六）单位负责人为同一人或者存在直接控股、管理关系的不同投标人，参加同一合同项下的采购活动的；</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（七）为采购项目提供整体设计、规范编制或者项目管理、监理、检测等服务的投标人，再参加该采购项目的其他采购活动；</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（八）投标人</w:t>
      </w:r>
      <w:r>
        <w:rPr>
          <w:rFonts w:hint="eastAsia" w:ascii="微软雅黑" w:hAnsi="微软雅黑" w:eastAsia="微软雅黑" w:cs="微软雅黑"/>
          <w:sz w:val="24"/>
          <w:szCs w:val="24"/>
          <w:lang w:val="en-US" w:eastAsia="zh-CN"/>
        </w:rPr>
        <w:t>响应文件</w:t>
      </w:r>
      <w:r>
        <w:rPr>
          <w:rFonts w:hint="eastAsia" w:ascii="微软雅黑" w:hAnsi="微软雅黑" w:eastAsia="微软雅黑" w:cs="微软雅黑"/>
          <w:sz w:val="24"/>
          <w:szCs w:val="24"/>
        </w:rPr>
        <w:t>有效期不满足</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采购文件要求的；</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（九）投标人响应文件内容有与国家现行法律法规相违背的内容，或附有采购人无法接受的条件；</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（十）法律、法规和遴选文件规定的其他无效情形。</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32" w:name="_Toc10687"/>
      <w:bookmarkStart w:id="133" w:name="_Toc76462336"/>
      <w:bookmarkStart w:id="134" w:name="_Toc106030891"/>
      <w:bookmarkStart w:id="135" w:name="_Toc22602"/>
      <w:bookmarkStart w:id="136" w:name="_Toc25327"/>
      <w:r>
        <w:rPr>
          <w:rFonts w:hint="eastAsia" w:ascii="微软雅黑" w:hAnsi="微软雅黑" w:eastAsia="微软雅黑" w:cs="微软雅黑"/>
          <w:sz w:val="24"/>
        </w:rPr>
        <w:t>六、</w:t>
      </w:r>
      <w:bookmarkEnd w:id="132"/>
      <w:bookmarkEnd w:id="133"/>
      <w:bookmarkEnd w:id="134"/>
      <w:r>
        <w:rPr>
          <w:rFonts w:hint="eastAsia" w:ascii="微软雅黑" w:hAnsi="微软雅黑" w:eastAsia="微软雅黑" w:cs="微软雅黑"/>
          <w:sz w:val="24"/>
        </w:rPr>
        <w:t>废标条款</w:t>
      </w:r>
      <w:bookmarkEnd w:id="135"/>
      <w:bookmarkEnd w:id="136"/>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在采购中，出现下列情形之一的，项目应予作废处理：</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（一）因情况变化，不再符合规定的</w:t>
      </w:r>
      <w:r>
        <w:rPr>
          <w:rFonts w:hint="eastAsia" w:ascii="微软雅黑" w:hAnsi="微软雅黑" w:eastAsia="微软雅黑" w:cs="微软雅黑"/>
          <w:sz w:val="24"/>
          <w:szCs w:val="24"/>
          <w:lang w:eastAsia="zh-CN"/>
        </w:rPr>
        <w:t>遴选</w:t>
      </w:r>
      <w:r>
        <w:rPr>
          <w:rFonts w:hint="eastAsia" w:ascii="微软雅黑" w:hAnsi="微软雅黑" w:eastAsia="微软雅黑" w:cs="微软雅黑"/>
          <w:sz w:val="24"/>
          <w:szCs w:val="24"/>
        </w:rPr>
        <w:t>采购方式适用情形的；</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（二）出现影响采购公正的违法、违规行为的；</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（三）符合</w:t>
      </w:r>
      <w:r>
        <w:rPr>
          <w:rFonts w:hint="eastAsia" w:ascii="微软雅黑" w:hAnsi="微软雅黑" w:eastAsia="微软雅黑" w:cs="微软雅黑"/>
          <w:sz w:val="24"/>
          <w:szCs w:val="24"/>
          <w:lang w:val="en-US" w:eastAsia="zh-CN"/>
        </w:rPr>
        <w:t>遴选入围</w:t>
      </w:r>
      <w:r>
        <w:rPr>
          <w:rFonts w:hint="eastAsia" w:ascii="微软雅黑" w:hAnsi="微软雅黑" w:eastAsia="微软雅黑" w:cs="微软雅黑"/>
          <w:sz w:val="24"/>
          <w:szCs w:val="24"/>
        </w:rPr>
        <w:t>要求</w:t>
      </w:r>
      <w:r>
        <w:rPr>
          <w:rFonts w:hint="eastAsia" w:ascii="微软雅黑" w:hAnsi="微软雅黑" w:eastAsia="微软雅黑" w:cs="微软雅黑"/>
          <w:sz w:val="24"/>
          <w:szCs w:val="24"/>
          <w:lang w:val="en-US" w:eastAsia="zh-CN"/>
        </w:rPr>
        <w:t>的投标人不足两家的</w:t>
      </w:r>
      <w:r>
        <w:rPr>
          <w:rFonts w:hint="eastAsia" w:ascii="微软雅黑" w:hAnsi="微软雅黑" w:eastAsia="微软雅黑" w:cs="微软雅黑"/>
          <w:sz w:val="24"/>
          <w:szCs w:val="24"/>
        </w:rPr>
        <w:t>；（挂网公示次数大于等于3次的除外）</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（四）采购任务变更或取消的。</w:t>
      </w:r>
    </w:p>
    <w:p>
      <w:pPr>
        <w:spacing w:line="400" w:lineRule="exact"/>
        <w:ind w:firstLine="480" w:firstLineChars="200"/>
        <w:rPr>
          <w:rFonts w:hint="eastAsia" w:ascii="微软雅黑" w:hAnsi="微软雅黑" w:eastAsia="微软雅黑" w:cs="微软雅黑"/>
          <w:sz w:val="24"/>
          <w:szCs w:val="24"/>
        </w:rPr>
        <w:sectPr>
          <w:footerReference r:id="rId8" w:type="default"/>
          <w:pgSz w:w="11907" w:h="16840"/>
          <w:pgMar w:top="1134" w:right="1191" w:bottom="1134" w:left="1304" w:header="964" w:footer="992" w:gutter="0"/>
          <w:pgNumType w:fmt="numberInDash"/>
          <w:cols w:space="720" w:num="1"/>
          <w:docGrid w:linePitch="312" w:charSpace="0"/>
        </w:sectPr>
      </w:pPr>
    </w:p>
    <w:p>
      <w:pPr>
        <w:pStyle w:val="4"/>
        <w:spacing w:before="200" w:after="200" w:line="240" w:lineRule="auto"/>
        <w:jc w:val="center"/>
        <w:rPr>
          <w:rFonts w:hint="eastAsia" w:ascii="微软雅黑" w:hAnsi="微软雅黑" w:eastAsia="微软雅黑" w:cs="微软雅黑"/>
          <w:sz w:val="44"/>
        </w:rPr>
      </w:pPr>
      <w:bookmarkStart w:id="137" w:name="_Toc29948"/>
      <w:bookmarkStart w:id="138" w:name="_Toc106030892"/>
      <w:bookmarkStart w:id="139" w:name="_Toc102227313"/>
      <w:bookmarkStart w:id="140" w:name="_Toc76462337"/>
      <w:bookmarkStart w:id="141" w:name="_Toc7572"/>
      <w:r>
        <w:rPr>
          <w:rFonts w:hint="eastAsia" w:ascii="微软雅黑" w:hAnsi="微软雅黑" w:eastAsia="微软雅黑" w:cs="微软雅黑"/>
          <w:sz w:val="44"/>
        </w:rPr>
        <w:t>第五篇  投标人须知</w:t>
      </w:r>
      <w:bookmarkEnd w:id="137"/>
      <w:bookmarkEnd w:id="138"/>
      <w:bookmarkEnd w:id="139"/>
      <w:bookmarkEnd w:id="140"/>
      <w:bookmarkEnd w:id="141"/>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42" w:name="_Toc76462338"/>
      <w:bookmarkStart w:id="143" w:name="_Toc342913389"/>
      <w:bookmarkStart w:id="144" w:name="_Toc106030893"/>
      <w:bookmarkStart w:id="145" w:name="_Toc9364"/>
      <w:bookmarkStart w:id="146" w:name="_Toc26717"/>
      <w:r>
        <w:rPr>
          <w:rFonts w:hint="eastAsia" w:ascii="微软雅黑" w:hAnsi="微软雅黑" w:eastAsia="微软雅黑" w:cs="微软雅黑"/>
          <w:sz w:val="24"/>
        </w:rPr>
        <w:t>一、</w:t>
      </w:r>
      <w:r>
        <w:rPr>
          <w:rFonts w:hint="eastAsia" w:ascii="微软雅黑" w:hAnsi="微软雅黑" w:eastAsia="微软雅黑" w:cs="微软雅黑"/>
          <w:sz w:val="24"/>
          <w:lang w:eastAsia="zh-CN"/>
        </w:rPr>
        <w:t>耗材遴选</w:t>
      </w:r>
      <w:r>
        <w:rPr>
          <w:rFonts w:hint="eastAsia" w:ascii="微软雅黑" w:hAnsi="微软雅黑" w:eastAsia="微软雅黑" w:cs="微软雅黑"/>
          <w:sz w:val="24"/>
        </w:rPr>
        <w:t>费用</w:t>
      </w:r>
      <w:bookmarkEnd w:id="142"/>
      <w:bookmarkEnd w:id="143"/>
      <w:bookmarkEnd w:id="144"/>
      <w:bookmarkEnd w:id="145"/>
      <w:bookmarkEnd w:id="146"/>
    </w:p>
    <w:p>
      <w:pPr>
        <w:pStyle w:val="144"/>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参与比选的投标人应承担其编制响应文件与递交响应文件所涉及的一切费用，不论比选结果如何，采购人在任何情况下无义务也无责任承担这些费用。</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47" w:name="_Toc76462339"/>
      <w:bookmarkStart w:id="148" w:name="_Toc106030894"/>
      <w:bookmarkStart w:id="149" w:name="_Toc342913391"/>
      <w:bookmarkStart w:id="150" w:name="_Toc20281"/>
      <w:bookmarkStart w:id="151" w:name="_Toc15712"/>
      <w:r>
        <w:rPr>
          <w:rFonts w:hint="eastAsia" w:ascii="微软雅黑" w:hAnsi="微软雅黑" w:eastAsia="微软雅黑" w:cs="微软雅黑"/>
          <w:sz w:val="24"/>
        </w:rPr>
        <w:t>二、</w:t>
      </w:r>
      <w:r>
        <w:rPr>
          <w:rFonts w:hint="eastAsia" w:ascii="微软雅黑" w:hAnsi="微软雅黑" w:eastAsia="微软雅黑" w:cs="微软雅黑"/>
          <w:sz w:val="24"/>
          <w:lang w:eastAsia="zh-CN"/>
        </w:rPr>
        <w:t>耗材遴选</w:t>
      </w:r>
      <w:r>
        <w:rPr>
          <w:rFonts w:hint="eastAsia" w:ascii="微软雅黑" w:hAnsi="微软雅黑" w:eastAsia="微软雅黑" w:cs="微软雅黑"/>
          <w:sz w:val="24"/>
        </w:rPr>
        <w:t>采购文件</w:t>
      </w:r>
      <w:bookmarkEnd w:id="147"/>
      <w:bookmarkEnd w:id="148"/>
      <w:bookmarkEnd w:id="149"/>
      <w:bookmarkEnd w:id="150"/>
      <w:bookmarkEnd w:id="151"/>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采购文件由采购邀请书、项目服务需求、投标人须知、项目商务需求、比选程序及方法、评审标准、无效响应和采购终止、投标人须知</w:t>
      </w:r>
      <w:r>
        <w:rPr>
          <w:rFonts w:hint="eastAsia" w:ascii="微软雅黑" w:hAnsi="微软雅黑" w:eastAsia="微软雅黑" w:cs="微软雅黑"/>
          <w:b/>
          <w:sz w:val="24"/>
          <w:szCs w:val="24"/>
        </w:rPr>
        <w:t>、</w:t>
      </w:r>
      <w:r>
        <w:rPr>
          <w:rFonts w:hint="eastAsia" w:ascii="微软雅黑" w:hAnsi="微软雅黑" w:eastAsia="微软雅黑" w:cs="微软雅黑"/>
          <w:sz w:val="24"/>
          <w:szCs w:val="24"/>
        </w:rPr>
        <w:t>响应文件编制要求六部分组成。</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（二）采购人所作的一切有效的书面通知、修改及补充，都是</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采购文件不可分割的部分。</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采购文件的解释</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投标人如对</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采购文件有疑问，必须以书面形式在提交响应文件截止时间2个工作日前向采购人要求澄清，采购人可视具体情况做出处理或答复。如投标人未提出疑问，视为完全理解并同意本</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采购文件。一经进入比选程序，即视为投标人已详细阅读全部文件资料，完全理解</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采购文件所有条款内容并同意放弃对这方面有不明白及误解的权利。</w:t>
      </w:r>
      <w:bookmarkStart w:id="152" w:name="_Toc318166429"/>
      <w:bookmarkStart w:id="153" w:name="_Toc318159160"/>
      <w:bookmarkStart w:id="154" w:name="_Toc318159349"/>
      <w:bookmarkStart w:id="155" w:name="_Toc318159780"/>
    </w:p>
    <w:bookmarkEnd w:id="152"/>
    <w:bookmarkEnd w:id="153"/>
    <w:bookmarkEnd w:id="154"/>
    <w:bookmarkEnd w:id="155"/>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56" w:name="_Toc106030895"/>
      <w:bookmarkStart w:id="157" w:name="_Toc102227318"/>
      <w:bookmarkStart w:id="158" w:name="_Toc8971"/>
      <w:bookmarkStart w:id="159" w:name="_Toc76462340"/>
      <w:bookmarkStart w:id="160" w:name="_Toc179714297"/>
      <w:bookmarkStart w:id="161" w:name="_Toc26007"/>
      <w:bookmarkStart w:id="162" w:name="_Toc342913392"/>
      <w:r>
        <w:rPr>
          <w:rFonts w:hint="eastAsia" w:ascii="微软雅黑" w:hAnsi="微软雅黑" w:eastAsia="微软雅黑" w:cs="微软雅黑"/>
          <w:sz w:val="24"/>
        </w:rPr>
        <w:t>三、比选要求</w:t>
      </w:r>
      <w:bookmarkEnd w:id="156"/>
      <w:bookmarkEnd w:id="157"/>
      <w:bookmarkEnd w:id="158"/>
      <w:bookmarkEnd w:id="159"/>
      <w:bookmarkEnd w:id="160"/>
      <w:bookmarkEnd w:id="161"/>
      <w:bookmarkEnd w:id="162"/>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（一）响应文件</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1.投标人应当按照</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采购文件的要求编制响应文件，并对</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采购文件提出的要求和条件作出实质性响应，响应文件原则上采用软面订本，同时应编制完整的页码、目录。</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2.响应文件组成</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响应文件由“第六篇响应文件编制要求”规定的部分和投标人所作的一切有效补充、修改和承诺等文件组成，投标人应按照“第六篇响应文件编制要求”规定的目录顺序组织编写和装订，也可在基本格式基础上对表格进行扩展，未规定格式的由投标人自定格式。</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（二）比选有效期：响应文件及有关承诺文件有效期为提交响应文件截止时间起90天。</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（三）修正错误</w:t>
      </w:r>
    </w:p>
    <w:p>
      <w:pPr>
        <w:pStyle w:val="51"/>
        <w:widowControl w:val="0"/>
        <w:adjustRightInd w:val="0"/>
        <w:snapToGrid w:val="0"/>
        <w:spacing w:before="0" w:beforeAutospacing="0" w:after="0" w:afterAutospacing="0" w:line="400" w:lineRule="exact"/>
        <w:ind w:firstLine="480" w:firstLineChars="200"/>
        <w:jc w:val="both"/>
        <w:rPr>
          <w:rFonts w:hint="eastAsia" w:ascii="微软雅黑" w:hAnsi="微软雅黑" w:eastAsia="微软雅黑" w:cs="微软雅黑"/>
        </w:rPr>
      </w:pPr>
      <w:r>
        <w:rPr>
          <w:rFonts w:hint="eastAsia" w:ascii="微软雅黑" w:hAnsi="微软雅黑" w:eastAsia="微软雅黑" w:cs="微软雅黑"/>
          <w:kern w:val="2"/>
          <w:lang w:bidi="ar"/>
        </w:rPr>
        <w:t>若响应文件出现计算或表达上的错误，修正错误的原则如下：</w:t>
      </w:r>
    </w:p>
    <w:p>
      <w:pPr>
        <w:pStyle w:val="51"/>
        <w:widowControl w:val="0"/>
        <w:adjustRightInd w:val="0"/>
        <w:snapToGrid w:val="0"/>
        <w:spacing w:before="0" w:beforeAutospacing="0" w:after="0" w:afterAutospacing="0" w:line="400" w:lineRule="exact"/>
        <w:ind w:firstLine="480" w:firstLineChars="200"/>
        <w:jc w:val="both"/>
        <w:rPr>
          <w:rFonts w:hint="eastAsia" w:ascii="微软雅黑" w:hAnsi="微软雅黑" w:eastAsia="微软雅黑" w:cs="微软雅黑"/>
        </w:rPr>
      </w:pPr>
      <w:r>
        <w:rPr>
          <w:rFonts w:hint="eastAsia" w:ascii="微软雅黑" w:hAnsi="微软雅黑" w:eastAsia="微软雅黑" w:cs="微软雅黑"/>
          <w:kern w:val="2"/>
          <w:lang w:bidi="ar"/>
        </w:rPr>
        <w:t>1.响应文件中开标一览表（报价表）内容与响应文件中相应内容不一致的，以开标一览表（报价表）为准；</w:t>
      </w:r>
    </w:p>
    <w:p>
      <w:pPr>
        <w:pStyle w:val="51"/>
        <w:widowControl w:val="0"/>
        <w:adjustRightInd w:val="0"/>
        <w:snapToGrid w:val="0"/>
        <w:spacing w:before="0" w:beforeAutospacing="0" w:after="0" w:afterAutospacing="0" w:line="400" w:lineRule="exact"/>
        <w:ind w:firstLine="480" w:firstLineChars="200"/>
        <w:jc w:val="both"/>
        <w:rPr>
          <w:rFonts w:hint="eastAsia" w:ascii="微软雅黑" w:hAnsi="微软雅黑" w:eastAsia="微软雅黑" w:cs="微软雅黑"/>
        </w:rPr>
      </w:pPr>
      <w:r>
        <w:rPr>
          <w:rFonts w:hint="eastAsia" w:ascii="微软雅黑" w:hAnsi="微软雅黑" w:eastAsia="微软雅黑" w:cs="微软雅黑"/>
          <w:kern w:val="2"/>
          <w:lang w:bidi="ar"/>
        </w:rPr>
        <w:t>2.大写金额和小写金额不一致的，以大写金额为准；</w:t>
      </w:r>
    </w:p>
    <w:p>
      <w:pPr>
        <w:pStyle w:val="51"/>
        <w:widowControl w:val="0"/>
        <w:adjustRightInd w:val="0"/>
        <w:snapToGrid w:val="0"/>
        <w:spacing w:before="0" w:beforeAutospacing="0" w:after="0" w:afterAutospacing="0" w:line="400" w:lineRule="exact"/>
        <w:ind w:firstLine="480" w:firstLineChars="200"/>
        <w:jc w:val="both"/>
        <w:rPr>
          <w:rFonts w:hint="eastAsia" w:ascii="微软雅黑" w:hAnsi="微软雅黑" w:eastAsia="微软雅黑" w:cs="微软雅黑"/>
        </w:rPr>
      </w:pPr>
      <w:r>
        <w:rPr>
          <w:rFonts w:hint="eastAsia" w:ascii="微软雅黑" w:hAnsi="微软雅黑" w:eastAsia="微软雅黑" w:cs="微软雅黑"/>
          <w:kern w:val="2"/>
          <w:lang w:bidi="ar"/>
        </w:rPr>
        <w:t>3.单价金额小数点或者百分比有明显错位的，以开标一览表的总价为准，并修改单价；</w:t>
      </w:r>
    </w:p>
    <w:p>
      <w:pPr>
        <w:pStyle w:val="51"/>
        <w:widowControl w:val="0"/>
        <w:adjustRightInd w:val="0"/>
        <w:snapToGrid w:val="0"/>
        <w:spacing w:before="0" w:beforeAutospacing="0" w:after="0" w:afterAutospacing="0" w:line="400" w:lineRule="exact"/>
        <w:ind w:firstLine="480" w:firstLineChars="200"/>
        <w:jc w:val="both"/>
        <w:rPr>
          <w:rFonts w:hint="eastAsia" w:ascii="微软雅黑" w:hAnsi="微软雅黑" w:eastAsia="微软雅黑" w:cs="微软雅黑"/>
        </w:rPr>
      </w:pPr>
      <w:r>
        <w:rPr>
          <w:rFonts w:hint="eastAsia" w:ascii="微软雅黑" w:hAnsi="微软雅黑" w:eastAsia="微软雅黑" w:cs="微软雅黑"/>
          <w:kern w:val="2"/>
          <w:lang w:bidi="ar"/>
        </w:rPr>
        <w:t>4.总价金额与按单价汇总金额不一致的，以单价金额计算结果为准。</w:t>
      </w:r>
    </w:p>
    <w:p>
      <w:pPr>
        <w:widowControl/>
        <w:ind w:firstLine="480" w:firstLineChars="200"/>
        <w:jc w:val="left"/>
        <w:rPr>
          <w:rFonts w:hint="eastAsia" w:ascii="微软雅黑" w:hAnsi="微软雅黑" w:eastAsia="微软雅黑" w:cs="微软雅黑"/>
        </w:rPr>
      </w:pPr>
      <w:r>
        <w:rPr>
          <w:rFonts w:hint="eastAsia" w:ascii="微软雅黑" w:hAnsi="微软雅黑" w:eastAsia="微软雅黑" w:cs="微软雅黑"/>
          <w:sz w:val="24"/>
          <w:szCs w:val="24"/>
        </w:rPr>
        <w:t>比选小组</w:t>
      </w:r>
      <w:r>
        <w:rPr>
          <w:rFonts w:hint="eastAsia" w:ascii="微软雅黑" w:hAnsi="微软雅黑" w:eastAsia="微软雅黑" w:cs="微软雅黑"/>
          <w:sz w:val="24"/>
          <w:lang w:bidi="ar"/>
        </w:rPr>
        <w:t>按上述修正错误的原则及方法调整或修正投标人投标报价，若同时出现两种以上不一致的，按照前款规定的顺序修正，投标人同意并签字确认后，调整后的投标报价对投标人具有约束作用。如果投标人不接受修正后的报价，则其投标将作为无效投标处理。</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（四）提交响应文件的份数和签署</w:t>
      </w:r>
    </w:p>
    <w:p>
      <w:pPr>
        <w:snapToGrid w:val="0"/>
        <w:spacing w:line="400" w:lineRule="exact"/>
        <w:ind w:firstLine="480" w:firstLineChars="200"/>
        <w:rPr>
          <w:rFonts w:hint="default" w:ascii="微软雅黑" w:hAnsi="微软雅黑" w:eastAsia="微软雅黑" w:cs="微软雅黑"/>
          <w:color w:val="auto"/>
          <w:sz w:val="24"/>
          <w:szCs w:val="24"/>
          <w:lang w:val="en-US" w:eastAsia="zh-CN"/>
        </w:rPr>
      </w:pPr>
      <w:r>
        <w:rPr>
          <w:rFonts w:hint="eastAsia" w:ascii="微软雅黑" w:hAnsi="微软雅黑" w:eastAsia="微软雅黑" w:cs="微软雅黑"/>
          <w:b w:val="0"/>
          <w:bCs w:val="0"/>
          <w:color w:val="auto"/>
          <w:sz w:val="24"/>
          <w:szCs w:val="24"/>
          <w:u w:val="single"/>
        </w:rPr>
        <w:t>1.响应文件一式</w:t>
      </w:r>
      <w:r>
        <w:rPr>
          <w:rFonts w:hint="eastAsia" w:ascii="微软雅黑" w:hAnsi="微软雅黑" w:eastAsia="微软雅黑" w:cs="微软雅黑"/>
          <w:b w:val="0"/>
          <w:bCs w:val="0"/>
          <w:color w:val="auto"/>
          <w:sz w:val="24"/>
          <w:szCs w:val="24"/>
          <w:u w:val="single"/>
          <w:lang w:eastAsia="zh-CN"/>
        </w:rPr>
        <w:t>七</w:t>
      </w:r>
      <w:r>
        <w:rPr>
          <w:rFonts w:hint="eastAsia" w:ascii="微软雅黑" w:hAnsi="微软雅黑" w:eastAsia="微软雅黑" w:cs="微软雅黑"/>
          <w:b w:val="0"/>
          <w:bCs w:val="0"/>
          <w:color w:val="auto"/>
          <w:sz w:val="24"/>
          <w:szCs w:val="24"/>
          <w:u w:val="single"/>
        </w:rPr>
        <w:t>份，其中正本一份，副本</w:t>
      </w:r>
      <w:r>
        <w:rPr>
          <w:rFonts w:hint="eastAsia" w:ascii="微软雅黑" w:hAnsi="微软雅黑" w:eastAsia="微软雅黑" w:cs="微软雅黑"/>
          <w:b w:val="0"/>
          <w:bCs w:val="0"/>
          <w:color w:val="auto"/>
          <w:sz w:val="24"/>
          <w:szCs w:val="24"/>
          <w:u w:val="single"/>
          <w:lang w:eastAsia="zh-CN"/>
        </w:rPr>
        <w:t>六</w:t>
      </w:r>
      <w:r>
        <w:rPr>
          <w:rFonts w:hint="eastAsia" w:ascii="微软雅黑" w:hAnsi="微软雅黑" w:eastAsia="微软雅黑" w:cs="微软雅黑"/>
          <w:b w:val="0"/>
          <w:bCs w:val="0"/>
          <w:color w:val="auto"/>
          <w:sz w:val="24"/>
          <w:szCs w:val="24"/>
          <w:u w:val="single"/>
        </w:rPr>
        <w:t>份，电子文档一份（</w:t>
      </w:r>
      <w:r>
        <w:rPr>
          <w:rFonts w:hint="eastAsia" w:ascii="微软雅黑" w:hAnsi="微软雅黑" w:eastAsia="微软雅黑" w:cs="微软雅黑"/>
          <w:b w:val="0"/>
          <w:bCs w:val="0"/>
          <w:color w:val="auto"/>
          <w:sz w:val="24"/>
          <w:szCs w:val="24"/>
          <w:u w:val="single"/>
          <w:lang w:val="en-US" w:eastAsia="zh-CN"/>
        </w:rPr>
        <w:t>电子文档为完整的响应文件正本PDF版，须上传至</w:t>
      </w:r>
      <w:r>
        <w:rPr>
          <w:rFonts w:hint="eastAsia" w:ascii="微软雅黑" w:hAnsi="微软雅黑" w:eastAsia="微软雅黑" w:cs="微软雅黑"/>
          <w:b w:val="0"/>
          <w:bCs w:val="0"/>
          <w:color w:val="auto"/>
          <w:sz w:val="24"/>
          <w:szCs w:val="24"/>
          <w:u w:val="single"/>
        </w:rPr>
        <w:t>电子招投标平台）</w:t>
      </w:r>
      <w:r>
        <w:rPr>
          <w:rFonts w:hint="eastAsia" w:ascii="微软雅黑" w:hAnsi="微软雅黑" w:eastAsia="微软雅黑" w:cs="微软雅黑"/>
          <w:color w:val="auto"/>
          <w:sz w:val="24"/>
          <w:szCs w:val="24"/>
        </w:rPr>
        <w:t>；副本可为正本的复印件，应与正本一致，如出现不一致情况以正本为准。</w:t>
      </w:r>
      <w:r>
        <w:rPr>
          <w:rFonts w:hint="eastAsia" w:ascii="微软雅黑" w:hAnsi="微软雅黑" w:eastAsia="微软雅黑" w:cs="微软雅黑"/>
          <w:color w:val="auto"/>
          <w:sz w:val="24"/>
          <w:szCs w:val="24"/>
          <w:u w:val="single"/>
          <w:lang w:val="en-US" w:eastAsia="zh-CN"/>
        </w:rPr>
        <w:t>若电子文档与纸质响应文件内容存在实质性偏差，视为未报名成功。</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2.</w:t>
      </w:r>
      <w:r>
        <w:rPr>
          <w:rFonts w:hint="eastAsia" w:ascii="微软雅黑" w:hAnsi="微软雅黑" w:eastAsia="微软雅黑" w:cs="微软雅黑"/>
          <w:sz w:val="24"/>
        </w:rPr>
        <w:t>响应文件按</w:t>
      </w:r>
      <w:r>
        <w:rPr>
          <w:rFonts w:hint="eastAsia" w:ascii="微软雅黑" w:hAnsi="微软雅黑" w:eastAsia="微软雅黑" w:cs="微软雅黑"/>
          <w:sz w:val="24"/>
          <w:lang w:eastAsia="zh-CN"/>
        </w:rPr>
        <w:t>耗材遴选</w:t>
      </w:r>
      <w:r>
        <w:rPr>
          <w:rFonts w:hint="eastAsia" w:ascii="微软雅黑" w:hAnsi="微软雅黑" w:eastAsia="微软雅黑" w:cs="微软雅黑"/>
          <w:sz w:val="24"/>
        </w:rPr>
        <w:t>采购文件“第六篇响应文件编制要求”要求签署或盖章。</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（五）响应文件的递交</w:t>
      </w:r>
    </w:p>
    <w:p>
      <w:pPr>
        <w:pStyle w:val="31"/>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响应文件的正本、副本均应密封送达</w:t>
      </w:r>
      <w:r>
        <w:rPr>
          <w:rFonts w:hint="eastAsia" w:ascii="微软雅黑" w:hAnsi="微软雅黑" w:eastAsia="微软雅黑" w:cs="微软雅黑"/>
          <w:sz w:val="24"/>
          <w:szCs w:val="24"/>
        </w:rPr>
        <w:t>比选</w:t>
      </w:r>
      <w:r>
        <w:rPr>
          <w:rFonts w:hint="eastAsia" w:ascii="微软雅黑" w:hAnsi="微软雅黑" w:eastAsia="微软雅黑" w:cs="微软雅黑"/>
          <w:sz w:val="24"/>
        </w:rPr>
        <w:t>地点，应在封套上注明</w:t>
      </w:r>
      <w:r>
        <w:rPr>
          <w:rFonts w:hint="eastAsia" w:ascii="微软雅黑" w:hAnsi="微软雅黑" w:eastAsia="微软雅黑" w:cs="微软雅黑"/>
          <w:sz w:val="24"/>
          <w:szCs w:val="24"/>
        </w:rPr>
        <w:t>比选</w:t>
      </w:r>
      <w:r>
        <w:rPr>
          <w:rFonts w:hint="eastAsia" w:ascii="微软雅黑" w:hAnsi="微软雅黑" w:eastAsia="微软雅黑" w:cs="微软雅黑"/>
          <w:sz w:val="24"/>
        </w:rPr>
        <w:t>项目名称、投标人名称。若正本、副本分别进行密封的，还应在封套上注明“正本”、“副本”字样；电子文档应在报名截止之前上传至电子招投标平台。</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（六）投标人参与人员</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各个投标人应当派1-2名代表参与比选，至少1人应为法定代表人（或其授权代表）或自然人（投标人为自然人）。</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63" w:name="_Toc6435"/>
      <w:bookmarkStart w:id="164" w:name="_Toc76462341"/>
      <w:bookmarkStart w:id="165" w:name="_Toc106030896"/>
      <w:bookmarkStart w:id="166" w:name="_Toc13378"/>
      <w:r>
        <w:rPr>
          <w:rFonts w:hint="eastAsia" w:ascii="微软雅黑" w:hAnsi="微软雅黑" w:eastAsia="微软雅黑" w:cs="微软雅黑"/>
          <w:sz w:val="24"/>
        </w:rPr>
        <w:t>四、成交供应商的确认和变更</w:t>
      </w:r>
      <w:bookmarkEnd w:id="163"/>
      <w:bookmarkEnd w:id="164"/>
      <w:bookmarkEnd w:id="165"/>
      <w:bookmarkEnd w:id="166"/>
    </w:p>
    <w:p>
      <w:pPr>
        <w:snapToGrid w:val="0"/>
        <w:spacing w:line="400" w:lineRule="exact"/>
        <w:ind w:firstLine="480" w:firstLineChars="200"/>
        <w:outlineLvl w:val="2"/>
        <w:rPr>
          <w:rFonts w:hint="eastAsia" w:ascii="微软雅黑" w:hAnsi="微软雅黑" w:eastAsia="微软雅黑" w:cs="微软雅黑"/>
          <w:sz w:val="24"/>
          <w:szCs w:val="24"/>
        </w:rPr>
      </w:pPr>
      <w:r>
        <w:rPr>
          <w:rFonts w:hint="eastAsia" w:ascii="微软雅黑" w:hAnsi="微软雅黑" w:eastAsia="微软雅黑" w:cs="微软雅黑"/>
          <w:sz w:val="24"/>
          <w:szCs w:val="24"/>
        </w:rPr>
        <w:t>（一）成交供应商的确认</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采购人从评审报告提出的成交候选投标人中，按照排序由高到低的原则确定成交供应商。</w:t>
      </w:r>
    </w:p>
    <w:p>
      <w:pPr>
        <w:snapToGrid w:val="0"/>
        <w:spacing w:line="400" w:lineRule="exact"/>
        <w:ind w:firstLine="480" w:firstLineChars="200"/>
        <w:outlineLvl w:val="2"/>
        <w:rPr>
          <w:rFonts w:hint="eastAsia" w:ascii="微软雅黑" w:hAnsi="微软雅黑" w:eastAsia="微软雅黑" w:cs="微软雅黑"/>
          <w:sz w:val="24"/>
          <w:szCs w:val="24"/>
        </w:rPr>
      </w:pPr>
      <w:r>
        <w:rPr>
          <w:rFonts w:hint="eastAsia" w:ascii="微软雅黑" w:hAnsi="微软雅黑" w:eastAsia="微软雅黑" w:cs="微软雅黑"/>
          <w:sz w:val="24"/>
          <w:szCs w:val="24"/>
        </w:rPr>
        <w:t>（二）成交供应商的变更</w:t>
      </w:r>
    </w:p>
    <w:p>
      <w:pPr>
        <w:snapToGrid w:val="0"/>
        <w:spacing w:line="400" w:lineRule="exact"/>
        <w:ind w:firstLine="480" w:firstLineChars="200"/>
        <w:rPr>
          <w:rFonts w:hint="eastAsia" w:ascii="微软雅黑" w:hAnsi="微软雅黑" w:eastAsia="微软雅黑" w:cs="微软雅黑"/>
          <w:color w:val="FF0000"/>
          <w:sz w:val="24"/>
          <w:szCs w:val="24"/>
        </w:rPr>
      </w:pPr>
      <w:r>
        <w:rPr>
          <w:rFonts w:hint="eastAsia" w:ascii="微软雅黑" w:hAnsi="微软雅黑" w:eastAsia="微软雅黑" w:cs="微软雅黑"/>
          <w:sz w:val="24"/>
        </w:rPr>
        <w:t>成交供应商拒绝与采购人签订合同的，采购人可以按照评标报告推荐的成交候选投标人顺序，确定排名下一位的候选人为成交供应商，也可以重新开展采购活动。</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67" w:name="_Toc21532"/>
      <w:bookmarkStart w:id="168" w:name="_Toc76462342"/>
      <w:bookmarkStart w:id="169" w:name="_Toc342913395"/>
      <w:bookmarkStart w:id="170" w:name="_Toc106030897"/>
      <w:bookmarkStart w:id="171" w:name="_Toc712"/>
      <w:bookmarkStart w:id="172" w:name="_Toc102227321"/>
      <w:r>
        <w:rPr>
          <w:rFonts w:hint="eastAsia" w:ascii="微软雅黑" w:hAnsi="微软雅黑" w:eastAsia="微软雅黑" w:cs="微软雅黑"/>
          <w:sz w:val="24"/>
        </w:rPr>
        <w:t>五、成交通知</w:t>
      </w:r>
      <w:bookmarkEnd w:id="167"/>
      <w:bookmarkEnd w:id="168"/>
      <w:bookmarkEnd w:id="169"/>
      <w:bookmarkEnd w:id="170"/>
      <w:bookmarkEnd w:id="171"/>
      <w:bookmarkEnd w:id="172"/>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（一）成交供应商确定后，</w:t>
      </w:r>
      <w:r>
        <w:rPr>
          <w:rFonts w:hint="eastAsia" w:ascii="微软雅黑" w:hAnsi="微软雅黑" w:eastAsia="微软雅黑" w:cs="微软雅黑"/>
          <w:sz w:val="24"/>
          <w:szCs w:val="24"/>
          <w:lang w:eastAsia="zh-CN"/>
        </w:rPr>
        <w:t>采购管理处</w:t>
      </w:r>
      <w:r>
        <w:rPr>
          <w:rFonts w:hint="eastAsia" w:ascii="微软雅黑" w:hAnsi="微软雅黑" w:eastAsia="微软雅黑" w:cs="微软雅黑"/>
          <w:sz w:val="24"/>
          <w:szCs w:val="24"/>
        </w:rPr>
        <w:t>将在重庆医科大学附属儿童医院电子招投标平台（zbb.chcmu</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com</w:t>
      </w:r>
      <w:r>
        <w:rPr>
          <w:rFonts w:hint="eastAsia" w:ascii="微软雅黑" w:hAnsi="微软雅黑" w:eastAsia="微软雅黑" w:cs="微软雅黑"/>
          <w:sz w:val="24"/>
          <w:szCs w:val="24"/>
          <w:lang w:val="en-US" w:eastAsia="zh-CN"/>
        </w:rPr>
        <w:t>.cn</w:t>
      </w:r>
      <w:r>
        <w:rPr>
          <w:rFonts w:hint="eastAsia" w:ascii="微软雅黑" w:hAnsi="微软雅黑" w:eastAsia="微软雅黑" w:cs="微软雅黑"/>
          <w:sz w:val="24"/>
          <w:szCs w:val="24"/>
        </w:rPr>
        <w:t>）上发布成交结果公告，结果公告发出同时，</w:t>
      </w:r>
      <w:r>
        <w:rPr>
          <w:rFonts w:hint="eastAsia" w:ascii="微软雅黑" w:hAnsi="微软雅黑" w:eastAsia="微软雅黑" w:cs="微软雅黑"/>
          <w:sz w:val="24"/>
          <w:szCs w:val="24"/>
          <w:lang w:eastAsia="zh-CN"/>
        </w:rPr>
        <w:t>采购管理处</w:t>
      </w:r>
      <w:r>
        <w:rPr>
          <w:rFonts w:hint="eastAsia" w:ascii="微软雅黑" w:hAnsi="微软雅黑" w:eastAsia="微软雅黑" w:cs="微软雅黑"/>
          <w:sz w:val="24"/>
          <w:szCs w:val="24"/>
        </w:rPr>
        <w:t>将平台内发出《中标通知书》。</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（二）《中标通知书》将作为签订合同的依据。</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73" w:name="_Toc22564"/>
      <w:bookmarkStart w:id="174" w:name="_Toc106030898"/>
      <w:bookmarkStart w:id="175" w:name="_Toc21448"/>
      <w:bookmarkStart w:id="176" w:name="_Toc76462343"/>
      <w:r>
        <w:rPr>
          <w:rFonts w:hint="eastAsia" w:ascii="微软雅黑" w:hAnsi="微软雅黑" w:eastAsia="微软雅黑" w:cs="微软雅黑"/>
          <w:sz w:val="24"/>
        </w:rPr>
        <w:t>六、质疑处理</w:t>
      </w:r>
      <w:bookmarkEnd w:id="173"/>
      <w:bookmarkEnd w:id="174"/>
      <w:bookmarkEnd w:id="175"/>
      <w:bookmarkEnd w:id="176"/>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投标人认为采购文件、采购过程和成交结果使自己的权益收到伤害的，可向采购人以书面形式</w:t>
      </w:r>
      <w:r>
        <w:rPr>
          <w:rFonts w:hint="eastAsia" w:ascii="微软雅黑" w:hAnsi="微软雅黑" w:eastAsia="微软雅黑" w:cs="微软雅黑"/>
          <w:sz w:val="24"/>
          <w:szCs w:val="24"/>
          <w:lang w:eastAsia="zh-CN"/>
        </w:rPr>
        <w:t>（</w:t>
      </w:r>
      <w:r>
        <w:rPr>
          <w:rFonts w:hint="eastAsia" w:ascii="微软雅黑" w:hAnsi="微软雅黑" w:eastAsia="微软雅黑" w:cs="微软雅黑"/>
          <w:sz w:val="24"/>
          <w:szCs w:val="24"/>
          <w:lang w:val="en-US" w:eastAsia="zh-CN"/>
        </w:rPr>
        <w:t>纸质文件</w:t>
      </w:r>
      <w:r>
        <w:rPr>
          <w:rFonts w:hint="eastAsia" w:ascii="微软雅黑" w:hAnsi="微软雅黑" w:eastAsia="微软雅黑" w:cs="微软雅黑"/>
          <w:sz w:val="24"/>
          <w:szCs w:val="24"/>
          <w:lang w:eastAsia="zh-CN"/>
        </w:rPr>
        <w:t>）</w:t>
      </w:r>
      <w:r>
        <w:rPr>
          <w:rFonts w:hint="eastAsia" w:ascii="微软雅黑" w:hAnsi="微软雅黑" w:eastAsia="微软雅黑" w:cs="微软雅黑"/>
          <w:sz w:val="24"/>
          <w:szCs w:val="24"/>
        </w:rPr>
        <w:t>提出质疑</w:t>
      </w:r>
      <w:r>
        <w:rPr>
          <w:rFonts w:hint="eastAsia" w:ascii="微软雅黑" w:hAnsi="微软雅黑" w:eastAsia="微软雅黑" w:cs="微软雅黑"/>
          <w:sz w:val="24"/>
          <w:szCs w:val="24"/>
          <w:lang w:eastAsia="zh-CN"/>
        </w:rPr>
        <w:t>（</w:t>
      </w:r>
      <w:r>
        <w:rPr>
          <w:rFonts w:hint="eastAsia" w:ascii="微软雅黑" w:hAnsi="微软雅黑" w:eastAsia="微软雅黑" w:cs="微软雅黑"/>
          <w:sz w:val="24"/>
          <w:szCs w:val="24"/>
          <w:lang w:val="en-US" w:eastAsia="zh-CN"/>
        </w:rPr>
        <w:t>不接受快递</w:t>
      </w:r>
      <w:r>
        <w:rPr>
          <w:rFonts w:hint="eastAsia" w:ascii="微软雅黑" w:hAnsi="微软雅黑" w:eastAsia="微软雅黑" w:cs="微软雅黑"/>
          <w:sz w:val="24"/>
          <w:szCs w:val="24"/>
          <w:lang w:eastAsia="zh-CN"/>
        </w:rPr>
        <w:t>）</w:t>
      </w:r>
      <w:r>
        <w:rPr>
          <w:rFonts w:hint="eastAsia" w:ascii="微软雅黑" w:hAnsi="微软雅黑" w:eastAsia="微软雅黑" w:cs="微软雅黑"/>
          <w:sz w:val="24"/>
          <w:szCs w:val="24"/>
        </w:rPr>
        <w:t>。</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提出质疑的应当是参与所质疑项目采购活动的投标人。 </w:t>
      </w:r>
    </w:p>
    <w:p>
      <w:pPr>
        <w:spacing w:line="400" w:lineRule="exact"/>
        <w:ind w:right="12" w:firstLine="480"/>
        <w:outlineLvl w:val="2"/>
        <w:rPr>
          <w:rFonts w:hint="eastAsia" w:ascii="微软雅黑" w:hAnsi="微软雅黑" w:eastAsia="微软雅黑" w:cs="微软雅黑"/>
          <w:sz w:val="24"/>
        </w:rPr>
      </w:pPr>
      <w:r>
        <w:rPr>
          <w:rFonts w:hint="eastAsia" w:ascii="微软雅黑" w:hAnsi="微软雅黑" w:eastAsia="微软雅黑" w:cs="微软雅黑"/>
          <w:sz w:val="24"/>
        </w:rPr>
        <w:t>（一）质疑时限、内容</w:t>
      </w:r>
    </w:p>
    <w:p>
      <w:pPr>
        <w:snapToGrid w:val="0"/>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1.质疑时限</w:t>
      </w:r>
    </w:p>
    <w:p>
      <w:pPr>
        <w:snapToGrid w:val="0"/>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1.1对采购文件的质疑。</w:t>
      </w:r>
      <w:r>
        <w:rPr>
          <w:rFonts w:hint="eastAsia" w:ascii="微软雅黑" w:hAnsi="微软雅黑" w:eastAsia="微软雅黑" w:cs="微软雅黑"/>
          <w:sz w:val="24"/>
          <w:szCs w:val="24"/>
        </w:rPr>
        <w:t>投标人如对本比选文件有任何实质性疑问，应当以书面形式向采购人提出质疑，并须将该质疑文件纸质版（须加盖提出质疑单位的公章确认）在投标截至时间之前送达采购人</w:t>
      </w:r>
      <w:r>
        <w:rPr>
          <w:rFonts w:hint="eastAsia" w:ascii="微软雅黑" w:hAnsi="微软雅黑" w:eastAsia="微软雅黑" w:cs="微软雅黑"/>
          <w:sz w:val="24"/>
          <w:szCs w:val="24"/>
          <w:lang w:eastAsia="zh-CN"/>
        </w:rPr>
        <w:t>（</w:t>
      </w:r>
      <w:r>
        <w:rPr>
          <w:rFonts w:hint="eastAsia" w:ascii="微软雅黑" w:hAnsi="微软雅黑" w:eastAsia="微软雅黑" w:cs="微软雅黑"/>
          <w:sz w:val="24"/>
          <w:szCs w:val="24"/>
          <w:lang w:val="en-US" w:eastAsia="zh-CN"/>
        </w:rPr>
        <w:t>不接受快递</w:t>
      </w:r>
      <w:r>
        <w:rPr>
          <w:rFonts w:hint="eastAsia" w:ascii="微软雅黑" w:hAnsi="微软雅黑" w:eastAsia="微软雅黑" w:cs="微软雅黑"/>
          <w:sz w:val="24"/>
          <w:szCs w:val="24"/>
          <w:lang w:eastAsia="zh-CN"/>
        </w:rPr>
        <w:t>）</w:t>
      </w:r>
      <w:r>
        <w:rPr>
          <w:rFonts w:hint="eastAsia" w:ascii="微软雅黑" w:hAnsi="微软雅黑" w:eastAsia="微软雅黑" w:cs="微软雅黑"/>
          <w:sz w:val="24"/>
          <w:szCs w:val="24"/>
        </w:rPr>
        <w:t>。</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1.2投标人认为采购过程、成交结果使自己的权益受到损害的，可以在知道或者应知其权益受到损害之日起5个工作日内，以书面形式向采购人提出质疑。</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2.投标人提出质疑应当提交质疑函和必要的证明材料，质疑函应当包括下列内容：</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2.1投标人的姓名或者名称、地址、邮编、联系人及联系电话；</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2.2质疑项目的名称、项目号以及采购执行编号；</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2.3具体、明确的质疑事项和与质疑事项相关的请求；</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2.4事实依据；</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2.5必要的法律依据；</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2.6提出质疑的日期；</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2.7营业执照（或事业单位法人证书，或个体工商户营业执照或有效的自然人身份证明）复印件；</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2.8法定代表人授权委托书原件、法定代表人身份证复印件和其授权代表的身份证复印件（投标人为自然人的提供自然人身份证复印件）；</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3.投标人为自然人的，质疑函应当由本人签字；投标人为法人或者其他组织的，质疑函应当由法定代表人、主要负责人，或者其授权代表签字或者盖章，并加盖公章。</w:t>
      </w:r>
    </w:p>
    <w:p>
      <w:pPr>
        <w:spacing w:line="400" w:lineRule="exact"/>
        <w:ind w:right="12" w:firstLine="480"/>
        <w:outlineLvl w:val="2"/>
        <w:rPr>
          <w:rFonts w:hint="eastAsia" w:ascii="微软雅黑" w:hAnsi="微软雅黑" w:eastAsia="微软雅黑" w:cs="微软雅黑"/>
          <w:sz w:val="24"/>
        </w:rPr>
      </w:pPr>
      <w:r>
        <w:rPr>
          <w:rFonts w:hint="eastAsia" w:ascii="微软雅黑" w:hAnsi="微软雅黑" w:eastAsia="微软雅黑" w:cs="微软雅黑"/>
          <w:sz w:val="24"/>
        </w:rPr>
        <w:t>（二）质疑答复</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采购人应当在收到投标人的书面质疑后7个工作日内作出答复，并以书面形式通知质疑投标人和其他有关投标人。</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（三）投标人应在质疑期内一次性提出针对同一采购程序环节的质疑。</w:t>
      </w:r>
      <w:bookmarkStart w:id="177" w:name="_Toc106030899"/>
      <w:bookmarkStart w:id="178" w:name="_Toc28334"/>
      <w:bookmarkStart w:id="179" w:name="_Toc76462344"/>
    </w:p>
    <w:p>
      <w:pPr>
        <w:pStyle w:val="4"/>
        <w:numPr>
          <w:ilvl w:val="255"/>
          <w:numId w:val="0"/>
        </w:numPr>
        <w:adjustRightInd w:val="0"/>
        <w:snapToGrid w:val="0"/>
        <w:spacing w:before="0" w:after="0" w:line="400" w:lineRule="exact"/>
        <w:ind w:firstLine="480" w:firstLineChars="200"/>
        <w:rPr>
          <w:rFonts w:hint="eastAsia" w:ascii="微软雅黑" w:hAnsi="微软雅黑" w:eastAsia="微软雅黑" w:cs="微软雅黑"/>
          <w:sz w:val="24"/>
        </w:rPr>
      </w:pPr>
      <w:bookmarkStart w:id="180" w:name="_Toc32500"/>
      <w:r>
        <w:rPr>
          <w:rFonts w:hint="eastAsia" w:ascii="微软雅黑" w:hAnsi="微软雅黑" w:eastAsia="微软雅黑" w:cs="微软雅黑"/>
          <w:sz w:val="24"/>
        </w:rPr>
        <w:t>七、</w:t>
      </w:r>
      <w:bookmarkEnd w:id="177"/>
      <w:bookmarkEnd w:id="178"/>
      <w:bookmarkEnd w:id="179"/>
      <w:bookmarkStart w:id="181" w:name="_Toc102227322"/>
      <w:bookmarkStart w:id="182" w:name="_Toc3372"/>
      <w:bookmarkStart w:id="183" w:name="_Toc106030901"/>
      <w:bookmarkStart w:id="184" w:name="_Toc342913396"/>
      <w:bookmarkStart w:id="185" w:name="_Toc76462346"/>
      <w:bookmarkStart w:id="186" w:name="_Toc12789059"/>
      <w:bookmarkStart w:id="187" w:name="_Toc11641055"/>
      <w:r>
        <w:rPr>
          <w:rFonts w:hint="eastAsia" w:ascii="微软雅黑" w:hAnsi="微软雅黑" w:eastAsia="微软雅黑" w:cs="微软雅黑"/>
          <w:sz w:val="24"/>
        </w:rPr>
        <w:t>签订</w:t>
      </w:r>
      <w:bookmarkEnd w:id="181"/>
      <w:r>
        <w:rPr>
          <w:rFonts w:hint="eastAsia" w:ascii="微软雅黑" w:hAnsi="微软雅黑" w:eastAsia="微软雅黑" w:cs="微软雅黑"/>
          <w:sz w:val="24"/>
        </w:rPr>
        <w:t>合同</w:t>
      </w:r>
      <w:bookmarkEnd w:id="180"/>
      <w:bookmarkEnd w:id="182"/>
      <w:bookmarkEnd w:id="183"/>
      <w:bookmarkEnd w:id="184"/>
      <w:bookmarkEnd w:id="185"/>
    </w:p>
    <w:p>
      <w:pPr>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（一）中标人应于收到中标通知书之日起5个工作日内，按照中标项目的</w:t>
      </w:r>
      <w:r>
        <w:rPr>
          <w:rFonts w:hint="eastAsia" w:ascii="微软雅黑" w:hAnsi="微软雅黑" w:eastAsia="微软雅黑" w:cs="微软雅黑"/>
          <w:sz w:val="24"/>
          <w:lang w:eastAsia="zh-CN"/>
        </w:rPr>
        <w:t>耗材遴选</w:t>
      </w:r>
      <w:r>
        <w:rPr>
          <w:rFonts w:hint="eastAsia" w:ascii="微软雅黑" w:hAnsi="微软雅黑" w:eastAsia="微软雅黑" w:cs="微软雅黑"/>
          <w:sz w:val="24"/>
        </w:rPr>
        <w:t>采购文件与响应文件递交采购合同。</w:t>
      </w:r>
    </w:p>
    <w:p>
      <w:pPr>
        <w:spacing w:line="400" w:lineRule="exact"/>
        <w:ind w:firstLine="360" w:firstLineChars="150"/>
        <w:rPr>
          <w:rFonts w:hint="eastAsia" w:ascii="微软雅黑" w:hAnsi="微软雅黑" w:eastAsia="微软雅黑" w:cs="微软雅黑"/>
          <w:sz w:val="24"/>
        </w:rPr>
      </w:pPr>
      <w:r>
        <w:rPr>
          <w:rFonts w:hint="eastAsia" w:ascii="微软雅黑" w:hAnsi="微软雅黑" w:eastAsia="微软雅黑" w:cs="微软雅黑"/>
          <w:sz w:val="24"/>
        </w:rPr>
        <w:t xml:space="preserve"> （二）中标人未在规定时间内递交合同或放弃中标资格，则</w:t>
      </w:r>
      <w:r>
        <w:rPr>
          <w:rFonts w:hint="eastAsia" w:ascii="微软雅黑" w:hAnsi="微软雅黑" w:eastAsia="微软雅黑" w:cs="微软雅黑"/>
          <w:sz w:val="24"/>
          <w:lang w:eastAsia="zh-CN"/>
        </w:rPr>
        <w:t>采购人</w:t>
      </w:r>
      <w:r>
        <w:rPr>
          <w:rFonts w:hint="eastAsia" w:ascii="微软雅黑" w:hAnsi="微软雅黑" w:eastAsia="微软雅黑" w:cs="微软雅黑"/>
          <w:sz w:val="24"/>
        </w:rPr>
        <w:t>将有充分的理由废除授标，将中标人纳入</w:t>
      </w:r>
      <w:r>
        <w:rPr>
          <w:rFonts w:hint="eastAsia" w:ascii="微软雅黑" w:hAnsi="微软雅黑" w:eastAsia="微软雅黑" w:cs="微软雅黑"/>
          <w:sz w:val="24"/>
          <w:lang w:eastAsia="zh-CN"/>
        </w:rPr>
        <w:t>采购人</w:t>
      </w:r>
      <w:r>
        <w:rPr>
          <w:rFonts w:hint="eastAsia" w:ascii="微软雅黑" w:hAnsi="微软雅黑" w:eastAsia="微软雅黑" w:cs="微软雅黑"/>
          <w:sz w:val="24"/>
        </w:rPr>
        <w:t>失信投标人名单并扣除该项目的投标保证金，两年之内不得参与</w:t>
      </w:r>
      <w:r>
        <w:rPr>
          <w:rFonts w:hint="eastAsia" w:ascii="微软雅黑" w:hAnsi="微软雅黑" w:eastAsia="微软雅黑" w:cs="微软雅黑"/>
          <w:sz w:val="24"/>
          <w:lang w:eastAsia="zh-CN"/>
        </w:rPr>
        <w:t>采购人</w:t>
      </w:r>
      <w:r>
        <w:rPr>
          <w:rFonts w:hint="eastAsia" w:ascii="微软雅黑" w:hAnsi="微软雅黑" w:eastAsia="微软雅黑" w:cs="微软雅黑"/>
          <w:sz w:val="24"/>
        </w:rPr>
        <w:t>任何级别的招标项目。</w:t>
      </w:r>
    </w:p>
    <w:p>
      <w:pPr>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（三）如</w:t>
      </w:r>
      <w:r>
        <w:rPr>
          <w:rFonts w:hint="eastAsia" w:ascii="微软雅黑" w:hAnsi="微软雅黑" w:eastAsia="微软雅黑" w:cs="微软雅黑"/>
          <w:sz w:val="24"/>
          <w:lang w:eastAsia="zh-CN"/>
        </w:rPr>
        <w:t>采购人</w:t>
      </w:r>
      <w:r>
        <w:rPr>
          <w:rFonts w:hint="eastAsia" w:ascii="微软雅黑" w:hAnsi="微软雅黑" w:eastAsia="微软雅黑" w:cs="微软雅黑"/>
          <w:sz w:val="24"/>
        </w:rPr>
        <w:t>因中标人未按时递交合同或放弃中标资格而造成损失，中标人应予以赔偿，同时依法承担相应法律责任。</w:t>
      </w:r>
    </w:p>
    <w:p>
      <w:pPr>
        <w:spacing w:line="400" w:lineRule="exact"/>
        <w:ind w:firstLine="480" w:firstLineChars="200"/>
        <w:jc w:val="left"/>
        <w:rPr>
          <w:rFonts w:hint="eastAsia" w:ascii="微软雅黑" w:hAnsi="微软雅黑" w:eastAsia="微软雅黑" w:cs="微软雅黑"/>
        </w:rPr>
        <w:sectPr>
          <w:footerReference r:id="rId9" w:type="default"/>
          <w:footerReference r:id="rId10" w:type="even"/>
          <w:pgSz w:w="11907" w:h="16840"/>
          <w:pgMar w:top="1134" w:right="1191" w:bottom="1134" w:left="1304" w:header="964" w:footer="992" w:gutter="0"/>
          <w:pgNumType w:fmt="numberInDash"/>
          <w:cols w:space="720" w:num="1"/>
          <w:docGrid w:linePitch="312" w:charSpace="0"/>
        </w:sectPr>
      </w:pPr>
      <w:r>
        <w:rPr>
          <w:rFonts w:hint="eastAsia" w:ascii="微软雅黑" w:hAnsi="微软雅黑" w:eastAsia="微软雅黑" w:cs="微软雅黑"/>
          <w:sz w:val="24"/>
        </w:rPr>
        <w:t>（四）中标人应当按照合同约定履行义务，完成中标项目，不得将中标项目转让(转包)或分包给他人。</w:t>
      </w:r>
      <w:bookmarkEnd w:id="186"/>
      <w:bookmarkEnd w:id="187"/>
    </w:p>
    <w:p>
      <w:pPr>
        <w:pStyle w:val="4"/>
        <w:spacing w:before="200" w:after="200" w:line="240" w:lineRule="auto"/>
        <w:jc w:val="center"/>
        <w:rPr>
          <w:rFonts w:hint="eastAsia" w:ascii="微软雅黑" w:hAnsi="微软雅黑" w:eastAsia="微软雅黑" w:cs="微软雅黑"/>
          <w:sz w:val="44"/>
        </w:rPr>
      </w:pPr>
      <w:bookmarkStart w:id="188" w:name="_Hlt41879464"/>
      <w:bookmarkEnd w:id="188"/>
      <w:bookmarkStart w:id="189" w:name="_Toc106030905"/>
      <w:bookmarkStart w:id="190" w:name="_Toc76462349"/>
      <w:bookmarkStart w:id="191" w:name="_Toc27984"/>
      <w:bookmarkStart w:id="192" w:name="_Toc6345"/>
      <w:r>
        <w:rPr>
          <w:rFonts w:hint="eastAsia" w:ascii="微软雅黑" w:hAnsi="微软雅黑" w:eastAsia="微软雅黑" w:cs="微软雅黑"/>
          <w:sz w:val="44"/>
        </w:rPr>
        <w:t>第六篇  响应文件编制要求</w:t>
      </w:r>
      <w:bookmarkEnd w:id="189"/>
      <w:bookmarkEnd w:id="190"/>
      <w:bookmarkEnd w:id="191"/>
      <w:bookmarkEnd w:id="192"/>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一、经济部分</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（一）耗材专用报价表</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（二）开标现场最终报价表</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二、技术部分</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（一）技术响应偏离表</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val="en-US" w:eastAsia="zh-CN"/>
        </w:rPr>
        <w:t>技术响应证明材料</w:t>
      </w:r>
      <w:r>
        <w:rPr>
          <w:rFonts w:hint="eastAsia" w:ascii="微软雅黑" w:hAnsi="微软雅黑" w:eastAsia="微软雅黑" w:cs="微软雅黑"/>
          <w:sz w:val="24"/>
          <w:szCs w:val="24"/>
        </w:rPr>
        <w:t>（格式</w:t>
      </w:r>
      <w:r>
        <w:rPr>
          <w:rFonts w:hint="eastAsia" w:ascii="微软雅黑" w:hAnsi="微软雅黑" w:eastAsia="微软雅黑" w:cs="微软雅黑"/>
          <w:sz w:val="24"/>
          <w:szCs w:val="24"/>
          <w:lang w:val="en-US" w:eastAsia="zh-CN"/>
        </w:rPr>
        <w:t>内容</w:t>
      </w:r>
      <w:r>
        <w:rPr>
          <w:rFonts w:hint="eastAsia" w:ascii="微软雅黑" w:hAnsi="微软雅黑" w:eastAsia="微软雅黑" w:cs="微软雅黑"/>
          <w:sz w:val="24"/>
          <w:szCs w:val="24"/>
        </w:rPr>
        <w:t>自定）</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三、商务部分</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（一）商务响应偏离表</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（二）其它优惠服务承诺（格式</w:t>
      </w:r>
      <w:r>
        <w:rPr>
          <w:rFonts w:hint="eastAsia" w:ascii="微软雅黑" w:hAnsi="微软雅黑" w:eastAsia="微软雅黑" w:cs="微软雅黑"/>
          <w:sz w:val="24"/>
          <w:szCs w:val="24"/>
          <w:lang w:val="en-US" w:eastAsia="zh-CN"/>
        </w:rPr>
        <w:t>内容</w:t>
      </w:r>
      <w:r>
        <w:rPr>
          <w:rFonts w:hint="eastAsia" w:ascii="微软雅黑" w:hAnsi="微软雅黑" w:eastAsia="微软雅黑" w:cs="微软雅黑"/>
          <w:sz w:val="24"/>
          <w:szCs w:val="24"/>
        </w:rPr>
        <w:t>自定）</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四、资格条件及其他</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（一）法人营业执照（副本）或事业单位法人证书（副本）或个体工商户营业执照或有效的自然人身份证明或社会团体法人登记证书复印件</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（二）法定代表人身份证明书（格式）</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（三）法定代表人授权委托书（格式）</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（四）投标函（格式）</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（五）基本资格条件承诺函（格式）</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（六）特定资格条件证书或证明文件</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五、其他资料</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其他与项目有关的资料</w:t>
      </w:r>
    </w:p>
    <w:p>
      <w:pPr>
        <w:snapToGrid w:val="0"/>
        <w:spacing w:line="360" w:lineRule="auto"/>
        <w:rPr>
          <w:rFonts w:hint="eastAsia" w:ascii="微软雅黑" w:hAnsi="微软雅黑" w:eastAsia="微软雅黑" w:cs="微软雅黑"/>
          <w:sz w:val="24"/>
          <w:szCs w:val="24"/>
          <w:bdr w:val="single" w:color="auto" w:sz="4" w:space="0"/>
        </w:rPr>
        <w:sectPr>
          <w:pgSz w:w="11907" w:h="16840"/>
          <w:pgMar w:top="1134" w:right="1191" w:bottom="1134" w:left="1304" w:header="851" w:footer="992" w:gutter="0"/>
          <w:pgNumType w:fmt="numberInDash"/>
          <w:cols w:space="720" w:num="1"/>
          <w:docGrid w:linePitch="380" w:charSpace="-5735"/>
        </w:sectPr>
      </w:pPr>
    </w:p>
    <w:p>
      <w:pPr>
        <w:spacing w:line="360" w:lineRule="auto"/>
        <w:ind w:firstLine="560" w:firstLineChars="200"/>
        <w:jc w:val="center"/>
        <w:outlineLvl w:val="0"/>
        <w:rPr>
          <w:rFonts w:hint="eastAsia" w:ascii="微软雅黑" w:hAnsi="微软雅黑" w:eastAsia="微软雅黑" w:cs="微软雅黑"/>
        </w:rPr>
      </w:pPr>
    </w:p>
    <w:sectPr>
      <w:headerReference r:id="rId11" w:type="default"/>
      <w:footerReference r:id="rId12" w:type="default"/>
      <w:pgSz w:w="11907" w:h="16840"/>
      <w:pgMar w:top="1134" w:right="1191" w:bottom="1134" w:left="1304" w:header="851" w:footer="992" w:gutter="0"/>
      <w:pgNumType w:fmt="numberInDash"/>
      <w:cols w:space="720" w:num="1"/>
      <w:docGrid w:linePitch="380" w:charSpace="-573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swiss"/>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PMingLiU">
    <w:altName w:val="Microsoft JhengHei UI"/>
    <w:panose1 w:val="02010601000101010101"/>
    <w:charset w:val="88"/>
    <w:family w:val="roman"/>
    <w:pitch w:val="default"/>
    <w:sig w:usb0="00000000" w:usb1="00000000" w:usb2="00000016" w:usb3="00000000" w:csb0="00100001" w:csb1="00000000"/>
  </w:font>
  <w:font w:name="_x000B__x000C_">
    <w:altName w:val="Times New Roman"/>
    <w:panose1 w:val="00000000000000000000"/>
    <w:charset w:val="00"/>
    <w:family w:val="roman"/>
    <w:pitch w:val="default"/>
    <w:sig w:usb0="00000000" w:usb1="00000000" w:usb2="00000000" w:usb3="00000000" w:csb0="00000001" w:csb1="00000000"/>
  </w:font>
  <w:font w:name="Arial Narrow">
    <w:altName w:val="Arial"/>
    <w:panose1 w:val="020B0606020202030204"/>
    <w:charset w:val="00"/>
    <w:family w:val="swiss"/>
    <w:pitch w:val="default"/>
    <w:sig w:usb0="00000000" w:usb1="00000000" w:usb2="00000000" w:usb3="00000000" w:csb0="0000009F"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文鼎粗黑">
    <w:altName w:val="黑体"/>
    <w:panose1 w:val="00000000000000000000"/>
    <w:charset w:val="86"/>
    <w:family w:val="modern"/>
    <w:pitch w:val="default"/>
    <w:sig w:usb0="00000000" w:usb1="00000000" w:usb2="00000010" w:usb3="00000000" w:csb0="00040000" w:csb1="00000000"/>
  </w:font>
  <w:font w:name="昆仑楷体">
    <w:altName w:val="宋体"/>
    <w:panose1 w:val="00000000000000000000"/>
    <w:charset w:val="86"/>
    <w:family w:val="modern"/>
    <w:pitch w:val="default"/>
    <w:sig w:usb0="00000000" w:usb1="00000000" w:usb2="00000010" w:usb3="00000000" w:csb0="00040000" w:csb1="00000000"/>
  </w:font>
  <w:font w:name="楷体_GB2312">
    <w:altName w:val="楷体"/>
    <w:panose1 w:val="00000000000000000000"/>
    <w:charset w:val="86"/>
    <w:family w:val="modern"/>
    <w:pitch w:val="default"/>
    <w:sig w:usb0="00000000" w:usb1="00000000" w:usb2="00000010" w:usb3="00000000" w:csb0="00040000" w:csb1="00000000"/>
  </w:font>
  <w:font w:name="微软雅黑">
    <w:panose1 w:val="020B0503020204020204"/>
    <w:charset w:val="86"/>
    <w:family w:val="swiss"/>
    <w:pitch w:val="default"/>
    <w:sig w:usb0="80000287" w:usb1="2ACF3C50" w:usb2="00000016" w:usb3="00000000" w:csb0="0004001F" w:csb1="00000000"/>
  </w:font>
  <w:font w:name="方正仿宋_GBK">
    <w:panose1 w:val="03000509000000000000"/>
    <w:charset w:val="86"/>
    <w:family w:val="script"/>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framePr w:wrap="around" w:vAnchor="text" w:hAnchor="margin" w:xAlign="center" w:y="1"/>
      <w:jc w:val="center"/>
      <w:rPr>
        <w:rStyle w:val="62"/>
        <w:rFonts w:ascii="宋体"/>
        <w:sz w:val="21"/>
        <w:szCs w:val="21"/>
      </w:rPr>
    </w:pPr>
    <w:r>
      <w:rPr>
        <w:rFonts w:ascii="宋体"/>
        <w:sz w:val="21"/>
        <w:szCs w:val="21"/>
      </w:rPr>
      <w:fldChar w:fldCharType="begin"/>
    </w:r>
    <w:r>
      <w:rPr>
        <w:rStyle w:val="62"/>
        <w:rFonts w:ascii="宋体"/>
        <w:sz w:val="21"/>
        <w:szCs w:val="21"/>
      </w:rPr>
      <w:instrText xml:space="preserve">PAGE  </w:instrText>
    </w:r>
    <w:r>
      <w:rPr>
        <w:rFonts w:ascii="宋体"/>
        <w:sz w:val="21"/>
        <w:szCs w:val="21"/>
      </w:rPr>
      <w:fldChar w:fldCharType="separate"/>
    </w:r>
    <w:r>
      <w:rPr>
        <w:rStyle w:val="62"/>
        <w:rFonts w:ascii="宋体"/>
        <w:sz w:val="21"/>
        <w:szCs w:val="21"/>
      </w:rPr>
      <w:t>- 5 -</w:t>
    </w:r>
    <w:r>
      <w:rPr>
        <w:rFonts w:ascii="宋体"/>
        <w:sz w:val="21"/>
        <w:szCs w:val="21"/>
      </w:rPr>
      <w:fldChar w:fldCharType="end"/>
    </w:r>
  </w:p>
  <w:p>
    <w:pPr>
      <w:pStyle w:val="3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framePr w:wrap="around" w:vAnchor="text" w:hAnchor="margin" w:xAlign="center" w:y="1"/>
      <w:rPr>
        <w:rStyle w:val="62"/>
      </w:rPr>
    </w:pPr>
    <w:r>
      <w:fldChar w:fldCharType="begin"/>
    </w:r>
    <w:r>
      <w:rPr>
        <w:rStyle w:val="62"/>
      </w:rPr>
      <w:instrText xml:space="preserve">PAGE  </w:instrText>
    </w:r>
    <w:r>
      <w:fldChar w:fldCharType="separate"/>
    </w:r>
    <w:r>
      <w:fldChar w:fldCharType="end"/>
    </w:r>
  </w:p>
  <w:p>
    <w:pPr>
      <w:pStyle w:val="3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framePr w:wrap="around" w:vAnchor="text" w:hAnchor="margin" w:xAlign="center" w:y="1"/>
      <w:rPr>
        <w:rStyle w:val="62"/>
      </w:rPr>
    </w:pPr>
  </w:p>
  <w:p>
    <w:pPr>
      <w:pStyle w:val="36"/>
      <w:jc w:val="center"/>
      <w:rPr>
        <w:rFonts w:hint="eastAsia" w:ascii="宋体" w:hAnsi="宋体"/>
        <w:sz w:val="28"/>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jc w:val="center"/>
      <w:rPr>
        <w:rFonts w:hint="eastAsia" w:ascii="宋体" w:hAnsi="宋体"/>
        <w:sz w:val="21"/>
        <w:szCs w:val="21"/>
      </w:rPr>
    </w:pPr>
    <w:r>
      <w:rPr>
        <w:rFonts w:ascii="宋体" w:hAnsi="宋体"/>
        <w:sz w:val="21"/>
        <w:szCs w:val="21"/>
      </w:rPr>
      <w:fldChar w:fldCharType="begin"/>
    </w:r>
    <w:r>
      <w:rPr>
        <w:rStyle w:val="62"/>
        <w:rFonts w:ascii="宋体" w:hAnsi="宋体"/>
        <w:sz w:val="21"/>
        <w:szCs w:val="21"/>
      </w:rPr>
      <w:instrText xml:space="preserve"> PAGE </w:instrText>
    </w:r>
    <w:r>
      <w:rPr>
        <w:rFonts w:ascii="宋体" w:hAnsi="宋体"/>
        <w:sz w:val="21"/>
        <w:szCs w:val="21"/>
      </w:rPr>
      <w:fldChar w:fldCharType="separate"/>
    </w:r>
    <w:r>
      <w:rPr>
        <w:rStyle w:val="62"/>
        <w:rFonts w:ascii="宋体" w:hAnsi="宋体"/>
        <w:sz w:val="21"/>
        <w:szCs w:val="21"/>
      </w:rPr>
      <w:t>- 11 -</w:t>
    </w:r>
    <w:r>
      <w:rPr>
        <w:rFonts w:ascii="宋体" w:hAnsi="宋体"/>
        <w:sz w:val="21"/>
        <w:szCs w:val="21"/>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jc w:val="center"/>
      <w:rPr>
        <w:rFonts w:hint="eastAsia" w:ascii="宋体" w:hAnsi="宋体"/>
        <w:sz w:val="21"/>
        <w:szCs w:val="21"/>
      </w:rPr>
    </w:pPr>
    <w:r>
      <w:rPr>
        <w:rFonts w:ascii="宋体" w:hAnsi="宋体"/>
        <w:sz w:val="21"/>
        <w:szCs w:val="21"/>
      </w:rPr>
      <w:fldChar w:fldCharType="begin"/>
    </w:r>
    <w:r>
      <w:rPr>
        <w:rStyle w:val="62"/>
        <w:rFonts w:ascii="宋体" w:hAnsi="宋体"/>
        <w:sz w:val="21"/>
        <w:szCs w:val="21"/>
      </w:rPr>
      <w:instrText xml:space="preserve"> PAGE </w:instrText>
    </w:r>
    <w:r>
      <w:rPr>
        <w:rFonts w:ascii="宋体" w:hAnsi="宋体"/>
        <w:sz w:val="21"/>
        <w:szCs w:val="21"/>
      </w:rPr>
      <w:fldChar w:fldCharType="separate"/>
    </w:r>
    <w:r>
      <w:rPr>
        <w:rStyle w:val="62"/>
        <w:rFonts w:ascii="宋体" w:hAnsi="宋体"/>
        <w:sz w:val="21"/>
        <w:szCs w:val="21"/>
      </w:rPr>
      <w:t>- 30 -</w:t>
    </w:r>
    <w:r>
      <w:rPr>
        <w:rFonts w:ascii="宋体" w:hAnsi="宋体"/>
        <w:sz w:val="21"/>
        <w:szCs w:val="21"/>
      </w:rP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framePr w:wrap="around" w:vAnchor="text" w:hAnchor="margin" w:xAlign="center" w:y="1"/>
      <w:rPr>
        <w:rStyle w:val="62"/>
      </w:rPr>
    </w:pPr>
    <w:r>
      <w:fldChar w:fldCharType="begin"/>
    </w:r>
    <w:r>
      <w:rPr>
        <w:rStyle w:val="62"/>
      </w:rPr>
      <w:instrText xml:space="preserve">PAGE  </w:instrText>
    </w:r>
    <w:r>
      <w:fldChar w:fldCharType="separate"/>
    </w:r>
    <w:r>
      <w:rPr>
        <w:rStyle w:val="62"/>
      </w:rPr>
      <w:t>- 14 -</w:t>
    </w:r>
    <w:r>
      <w:fldChar w:fldCharType="end"/>
    </w:r>
  </w:p>
  <w:p>
    <w:pPr>
      <w:pStyle w:val="36"/>
      <w:ind w:right="360"/>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LQ8m0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By0PJtKwIAAFUEAAAOAAAAAAAAAAEAIAAAAB8BAABkcnMvZTJvRG9jLnhtbFBLBQYAAAAABgAG&#10;AFkBAAC8BQAAAAA=&#10;">
              <v:fill on="f" focussize="0,0"/>
              <v:stroke on="f" weight="0.5pt"/>
              <v:imagedata o:title=""/>
              <o:lock v:ext="edit" aspectratio="f"/>
              <v:textbox inset="0mm,0mm,0mm,0mm" style="mso-fit-shape-to-text:t;">
                <w:txbxContent>
                  <w:p>
                    <w:pPr>
                      <w:pStyle w:val="36"/>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jc w:val="both"/>
      <w:rPr>
        <w:rFonts w:ascii="方正仿宋_GBK" w:eastAsia="方正仿宋_GBK"/>
        <w:sz w:val="21"/>
        <w:szCs w:val="21"/>
      </w:rPr>
    </w:pPr>
    <w:r>
      <w:rPr>
        <w:rFonts w:hint="eastAsia" w:ascii="方正仿宋_GBK" w:eastAsia="方正仿宋_GBK"/>
        <w:sz w:val="21"/>
        <w:szCs w:val="21"/>
      </w:rPr>
      <w:t xml:space="preserve">                                                                        </w:t>
    </w:r>
    <w:r>
      <w:rPr>
        <w:rFonts w:hint="eastAsia" w:ascii="方正仿宋_GBK" w:eastAsia="方正仿宋_GBK"/>
        <w:sz w:val="21"/>
        <w:szCs w:val="21"/>
        <w:lang w:eastAsia="zh-CN"/>
      </w:rPr>
      <w:t>耗材遴选</w:t>
    </w:r>
    <w:r>
      <w:rPr>
        <w:rFonts w:hint="eastAsia" w:ascii="方正仿宋_GBK" w:eastAsia="方正仿宋_GBK"/>
        <w:sz w:val="21"/>
        <w:szCs w:val="21"/>
      </w:rPr>
      <w:t>采购文件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pBdr>
        <w:bottom w:val="single" w:color="auto" w:sz="4" w:space="0"/>
      </w:pBdr>
    </w:pPr>
    <w:r>
      <w:rPr>
        <w:rFonts w:hint="eastAsia"/>
      </w:rPr>
      <w:t>重庆医科大学附属儿童医院</w:t>
    </w:r>
    <w:r>
      <w:rPr>
        <w:rFonts w:hint="eastAsia"/>
        <w:lang w:val="en-US" w:eastAsia="zh-CN"/>
      </w:rPr>
      <w:t>采购</w:t>
    </w:r>
    <w:r>
      <w:rPr>
        <w:rFonts w:hint="eastAsia"/>
      </w:rPr>
      <w:t>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jc w:val="both"/>
      <w:rPr>
        <w:rFonts w:ascii="方正仿宋_GBK" w:eastAsia="方正仿宋_GBK"/>
        <w:sz w:val="21"/>
        <w:szCs w:val="21"/>
      </w:rPr>
    </w:pPr>
    <w:r>
      <w:rPr>
        <w:rFonts w:hint="eastAsia" w:ascii="方正仿宋_GBK" w:eastAsia="方正仿宋_GBK"/>
        <w:sz w:val="21"/>
        <w:szCs w:val="21"/>
      </w:rPr>
      <w:t xml:space="preserve">                                                                         </w:t>
    </w:r>
    <w:r>
      <w:rPr>
        <w:rFonts w:hint="eastAsia" w:ascii="方正仿宋_GBK" w:eastAsia="方正仿宋_GBK"/>
        <w:sz w:val="21"/>
        <w:szCs w:val="21"/>
        <w:lang w:eastAsia="zh-CN"/>
      </w:rPr>
      <w:t>耗材遴选</w:t>
    </w:r>
    <w:r>
      <w:rPr>
        <w:rFonts w:hint="eastAsia" w:ascii="方正仿宋_GBK" w:eastAsia="方正仿宋_GBK"/>
        <w:sz w:val="21"/>
        <w:szCs w:val="21"/>
      </w:rPr>
      <w:t>采购文件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9"/>
    <w:multiLevelType w:val="multilevel"/>
    <w:tmpl w:val="00000009"/>
    <w:lvl w:ilvl="0" w:tentative="0">
      <w:start w:val="1"/>
      <w:numFmt w:val="upperLetter"/>
      <w:pStyle w:val="124"/>
      <w:suff w:val="nothing"/>
      <w:lvlText w:val="附　录　%1"/>
      <w:lvlJc w:val="left"/>
      <w:pPr>
        <w:ind w:left="0" w:firstLine="0"/>
      </w:pPr>
      <w:rPr>
        <w:rFonts w:hint="eastAsia" w:ascii="黑体" w:hAnsi="Times New Roman" w:eastAsia="黑体"/>
        <w:b w:val="0"/>
        <w:i w:val="0"/>
        <w:sz w:val="21"/>
      </w:rPr>
    </w:lvl>
    <w:lvl w:ilvl="1" w:tentative="0">
      <w:start w:val="1"/>
      <w:numFmt w:val="decimal"/>
      <w:pStyle w:val="117"/>
      <w:suff w:val="nothing"/>
      <w:lvlText w:val="%1.%2　"/>
      <w:lvlJc w:val="left"/>
      <w:pPr>
        <w:ind w:left="210" w:firstLine="0"/>
      </w:pPr>
      <w:rPr>
        <w:rFonts w:hint="eastAsia" w:ascii="黑体" w:hAnsi="Times New Roman" w:eastAsia="黑体"/>
        <w:b w:val="0"/>
        <w:i w:val="0"/>
        <w:snapToGrid/>
        <w:spacing w:val="0"/>
        <w:w w:val="100"/>
        <w:kern w:val="21"/>
        <w:sz w:val="21"/>
      </w:rPr>
    </w:lvl>
    <w:lvl w:ilvl="2" w:tentative="0">
      <w:start w:val="1"/>
      <w:numFmt w:val="decimal"/>
      <w:suff w:val="nothing"/>
      <w:lvlText w:val="%1.%2.%3　"/>
      <w:lvlJc w:val="left"/>
      <w:pPr>
        <w:ind w:left="0" w:firstLine="0"/>
      </w:pPr>
      <w:rPr>
        <w:rFonts w:hint="eastAsia" w:ascii="黑体" w:hAnsi="Times New Roman" w:eastAsia="黑体"/>
        <w:b w:val="0"/>
        <w:i w:val="0"/>
        <w:sz w:val="21"/>
      </w:rPr>
    </w:lvl>
    <w:lvl w:ilvl="3" w:tentative="0">
      <w:start w:val="1"/>
      <w:numFmt w:val="decimal"/>
      <w:suff w:val="nothing"/>
      <w:lvlText w:val="%1.%2.%3.%4　"/>
      <w:lvlJc w:val="left"/>
      <w:pPr>
        <w:ind w:left="0" w:firstLine="0"/>
      </w:pPr>
      <w:rPr>
        <w:rFonts w:hint="eastAsia" w:ascii="黑体" w:hAnsi="Times New Roman" w:eastAsia="黑体"/>
        <w:b w:val="0"/>
        <w:i w:val="0"/>
        <w:sz w:val="21"/>
      </w:rPr>
    </w:lvl>
    <w:lvl w:ilvl="4" w:tentative="0">
      <w:start w:val="1"/>
      <w:numFmt w:val="decimal"/>
      <w:suff w:val="nothing"/>
      <w:lvlText w:val="%1.%2.%3.%4.%5　"/>
      <w:lvlJc w:val="left"/>
      <w:pPr>
        <w:ind w:left="0"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1">
    <w:nsid w:val="0000000A"/>
    <w:multiLevelType w:val="multilevel"/>
    <w:tmpl w:val="0000000A"/>
    <w:lvl w:ilvl="0" w:tentative="0">
      <w:start w:val="1"/>
      <w:numFmt w:val="bullet"/>
      <w:pStyle w:val="150"/>
      <w:lvlText w:val=""/>
      <w:lvlJc w:val="left"/>
      <w:pPr>
        <w:tabs>
          <w:tab w:val="left" w:pos="987"/>
        </w:tabs>
        <w:ind w:left="987" w:hanging="420"/>
      </w:pPr>
      <w:rPr>
        <w:rFonts w:hint="default" w:ascii="Wingdings" w:hAnsi="Wingdings"/>
      </w:rPr>
    </w:lvl>
    <w:lvl w:ilvl="1" w:tentative="0">
      <w:start w:val="1"/>
      <w:numFmt w:val="lowerLetter"/>
      <w:lvlText w:val="%2)"/>
      <w:lvlJc w:val="left"/>
      <w:pPr>
        <w:tabs>
          <w:tab w:val="left" w:pos="840"/>
        </w:tabs>
        <w:ind w:left="840" w:hanging="420"/>
      </w:pPr>
    </w:lvl>
    <w:lvl w:ilvl="2" w:tentative="0">
      <w:start w:val="1"/>
      <w:numFmt w:val="decimal"/>
      <w:lvlText w:val="%3、"/>
      <w:lvlJc w:val="left"/>
      <w:pPr>
        <w:tabs>
          <w:tab w:val="left" w:pos="1200"/>
        </w:tabs>
        <w:ind w:left="1200" w:hanging="360"/>
      </w:pPr>
      <w:rPr>
        <w:rFonts w:hint="eastAsia"/>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
    <w:nsid w:val="0000000B"/>
    <w:multiLevelType w:val="singleLevel"/>
    <w:tmpl w:val="0000000B"/>
    <w:lvl w:ilvl="0" w:tentative="0">
      <w:start w:val="1"/>
      <w:numFmt w:val="bullet"/>
      <w:pStyle w:val="173"/>
      <w:lvlText w:val=""/>
      <w:lvlJc w:val="left"/>
      <w:pPr>
        <w:tabs>
          <w:tab w:val="left" w:pos="360"/>
        </w:tabs>
        <w:ind w:left="360" w:hanging="360"/>
      </w:pPr>
      <w:rPr>
        <w:rFonts w:hint="default" w:ascii="Wingdings" w:hAnsi="Wingdings"/>
      </w:rPr>
    </w:lvl>
  </w:abstractNum>
  <w:abstractNum w:abstractNumId="3">
    <w:nsid w:val="0000000D"/>
    <w:multiLevelType w:val="singleLevel"/>
    <w:tmpl w:val="0000000D"/>
    <w:lvl w:ilvl="0" w:tentative="0">
      <w:start w:val="1"/>
      <w:numFmt w:val="bullet"/>
      <w:pStyle w:val="22"/>
      <w:lvlText w:val=""/>
      <w:lvlJc w:val="left"/>
      <w:pPr>
        <w:tabs>
          <w:tab w:val="left" w:pos="1200"/>
        </w:tabs>
        <w:ind w:left="1200" w:hanging="360"/>
      </w:pPr>
      <w:rPr>
        <w:rFonts w:hint="default" w:ascii="Wingdings" w:hAnsi="Wingdings"/>
      </w:rPr>
    </w:lvl>
  </w:abstractNum>
  <w:abstractNum w:abstractNumId="4">
    <w:nsid w:val="0000000E"/>
    <w:multiLevelType w:val="multilevel"/>
    <w:tmpl w:val="0000000E"/>
    <w:lvl w:ilvl="0" w:tentative="0">
      <w:start w:val="1"/>
      <w:numFmt w:val="bullet"/>
      <w:pStyle w:val="206"/>
      <w:lvlText w:val=""/>
      <w:lvlJc w:val="left"/>
      <w:pPr>
        <w:tabs>
          <w:tab w:val="left" w:pos="540"/>
        </w:tabs>
        <w:ind w:left="540" w:firstLine="0"/>
      </w:pPr>
      <w:rPr>
        <w:rFonts w:hint="default" w:ascii="Wingdings" w:hAnsi="Wingdings"/>
        <w:sz w:val="16"/>
      </w:rPr>
    </w:lvl>
    <w:lvl w:ilvl="1" w:tentative="0">
      <w:start w:val="1"/>
      <w:numFmt w:val="bullet"/>
      <w:lvlText w:val=""/>
      <w:lvlJc w:val="left"/>
      <w:pPr>
        <w:tabs>
          <w:tab w:val="left" w:pos="1940"/>
        </w:tabs>
        <w:ind w:left="1940" w:hanging="420"/>
      </w:pPr>
      <w:rPr>
        <w:rFonts w:hint="default" w:ascii="Wingdings" w:hAnsi="Wingdings"/>
      </w:rPr>
    </w:lvl>
    <w:lvl w:ilvl="2" w:tentative="0">
      <w:start w:val="1"/>
      <w:numFmt w:val="bullet"/>
      <w:lvlText w:val=""/>
      <w:lvlJc w:val="left"/>
      <w:pPr>
        <w:tabs>
          <w:tab w:val="left" w:pos="2360"/>
        </w:tabs>
        <w:ind w:left="2360" w:hanging="420"/>
      </w:pPr>
      <w:rPr>
        <w:rFonts w:hint="default" w:ascii="Wingdings" w:hAnsi="Wingdings"/>
      </w:rPr>
    </w:lvl>
    <w:lvl w:ilvl="3" w:tentative="0">
      <w:start w:val="1"/>
      <w:numFmt w:val="bullet"/>
      <w:lvlText w:val=""/>
      <w:lvlJc w:val="left"/>
      <w:pPr>
        <w:tabs>
          <w:tab w:val="left" w:pos="2780"/>
        </w:tabs>
        <w:ind w:left="2780" w:hanging="420"/>
      </w:pPr>
      <w:rPr>
        <w:rFonts w:hint="default" w:ascii="Wingdings" w:hAnsi="Wingdings"/>
      </w:rPr>
    </w:lvl>
    <w:lvl w:ilvl="4" w:tentative="0">
      <w:start w:val="1"/>
      <w:numFmt w:val="bullet"/>
      <w:lvlText w:val=""/>
      <w:lvlJc w:val="left"/>
      <w:pPr>
        <w:tabs>
          <w:tab w:val="left" w:pos="3200"/>
        </w:tabs>
        <w:ind w:left="3200" w:hanging="420"/>
      </w:pPr>
      <w:rPr>
        <w:rFonts w:hint="default" w:ascii="Wingdings" w:hAnsi="Wingdings"/>
      </w:rPr>
    </w:lvl>
    <w:lvl w:ilvl="5" w:tentative="0">
      <w:start w:val="1"/>
      <w:numFmt w:val="bullet"/>
      <w:lvlText w:val=""/>
      <w:lvlJc w:val="left"/>
      <w:pPr>
        <w:tabs>
          <w:tab w:val="left" w:pos="3620"/>
        </w:tabs>
        <w:ind w:left="3620" w:hanging="420"/>
      </w:pPr>
      <w:rPr>
        <w:rFonts w:hint="default" w:ascii="Wingdings" w:hAnsi="Wingdings"/>
      </w:rPr>
    </w:lvl>
    <w:lvl w:ilvl="6" w:tentative="0">
      <w:start w:val="1"/>
      <w:numFmt w:val="bullet"/>
      <w:lvlText w:val=""/>
      <w:lvlJc w:val="left"/>
      <w:pPr>
        <w:tabs>
          <w:tab w:val="left" w:pos="4040"/>
        </w:tabs>
        <w:ind w:left="4040" w:hanging="420"/>
      </w:pPr>
      <w:rPr>
        <w:rFonts w:hint="default" w:ascii="Wingdings" w:hAnsi="Wingdings"/>
      </w:rPr>
    </w:lvl>
    <w:lvl w:ilvl="7" w:tentative="0">
      <w:start w:val="1"/>
      <w:numFmt w:val="bullet"/>
      <w:lvlText w:val=""/>
      <w:lvlJc w:val="left"/>
      <w:pPr>
        <w:tabs>
          <w:tab w:val="left" w:pos="4460"/>
        </w:tabs>
        <w:ind w:left="4460" w:hanging="420"/>
      </w:pPr>
      <w:rPr>
        <w:rFonts w:hint="default" w:ascii="Wingdings" w:hAnsi="Wingdings"/>
      </w:rPr>
    </w:lvl>
    <w:lvl w:ilvl="8" w:tentative="0">
      <w:start w:val="1"/>
      <w:numFmt w:val="bullet"/>
      <w:lvlText w:val=""/>
      <w:lvlJc w:val="left"/>
      <w:pPr>
        <w:tabs>
          <w:tab w:val="left" w:pos="4880"/>
        </w:tabs>
        <w:ind w:left="4880" w:hanging="420"/>
      </w:pPr>
      <w:rPr>
        <w:rFonts w:hint="default" w:ascii="Wingdings" w:hAnsi="Wingdings"/>
      </w:rPr>
    </w:lvl>
  </w:abstractNum>
  <w:abstractNum w:abstractNumId="5">
    <w:nsid w:val="00000010"/>
    <w:multiLevelType w:val="singleLevel"/>
    <w:tmpl w:val="00000010"/>
    <w:lvl w:ilvl="0" w:tentative="0">
      <w:start w:val="1"/>
      <w:numFmt w:val="bullet"/>
      <w:lvlText w:val=""/>
      <w:lvlJc w:val="left"/>
      <w:pPr>
        <w:tabs>
          <w:tab w:val="left" w:pos="1620"/>
        </w:tabs>
        <w:ind w:left="1620" w:hanging="360"/>
      </w:pPr>
      <w:rPr>
        <w:rFonts w:hint="default" w:ascii="Wingdings" w:hAnsi="Wingdings"/>
      </w:rPr>
    </w:lvl>
  </w:abstractNum>
  <w:abstractNum w:abstractNumId="6">
    <w:nsid w:val="00000011"/>
    <w:multiLevelType w:val="multilevel"/>
    <w:tmpl w:val="00000011"/>
    <w:lvl w:ilvl="0" w:tentative="0">
      <w:start w:val="1"/>
      <w:numFmt w:val="decimal"/>
      <w:pStyle w:val="135"/>
      <w:lvlText w:val="（%1）"/>
      <w:lvlJc w:val="left"/>
      <w:pPr>
        <w:tabs>
          <w:tab w:val="left" w:pos="1230"/>
        </w:tabs>
        <w:ind w:left="0" w:firstLine="510"/>
      </w:pPr>
      <w:rPr>
        <w:rFonts w:hint="default" w:ascii="Arial" w:hAnsi="Arial"/>
        <w:b w:val="0"/>
        <w:i w:val="0"/>
        <w:sz w:val="24"/>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7">
    <w:nsid w:val="00000012"/>
    <w:multiLevelType w:val="multilevel"/>
    <w:tmpl w:val="00000012"/>
    <w:lvl w:ilvl="0" w:tentative="0">
      <w:start w:val="1"/>
      <w:numFmt w:val="bullet"/>
      <w:pStyle w:val="192"/>
      <w:lvlText w:val=""/>
      <w:lvlJc w:val="left"/>
      <w:pPr>
        <w:tabs>
          <w:tab w:val="left" w:pos="1644"/>
        </w:tabs>
        <w:ind w:left="1644" w:hanging="510"/>
      </w:pPr>
      <w:rPr>
        <w:rFonts w:hint="default" w:ascii="Wingdings" w:hAnsi="Wingdings"/>
        <w:color w:val="auto"/>
        <w:sz w:val="13"/>
        <w:u w:val="none"/>
      </w:rPr>
    </w:lvl>
    <w:lvl w:ilvl="1" w:tentative="0">
      <w:start w:val="1"/>
      <w:numFmt w:val="bullet"/>
      <w:lvlText w:val=""/>
      <w:lvlJc w:val="left"/>
      <w:pPr>
        <w:tabs>
          <w:tab w:val="left" w:pos="840"/>
        </w:tabs>
        <w:ind w:left="840" w:hanging="420"/>
      </w:pPr>
      <w:rPr>
        <w:rFonts w:hint="default" w:ascii="Wingdings" w:hAnsi="Wingdings"/>
        <w:color w:val="auto"/>
        <w:sz w:val="13"/>
        <w:u w:val="none"/>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8">
    <w:nsid w:val="00000013"/>
    <w:multiLevelType w:val="singleLevel"/>
    <w:tmpl w:val="00000013"/>
    <w:lvl w:ilvl="0" w:tentative="0">
      <w:start w:val="1"/>
      <w:numFmt w:val="decimal"/>
      <w:pStyle w:val="14"/>
      <w:lvlText w:val="%1."/>
      <w:lvlJc w:val="left"/>
      <w:pPr>
        <w:tabs>
          <w:tab w:val="left" w:pos="425"/>
        </w:tabs>
        <w:ind w:left="425" w:hanging="425"/>
      </w:pPr>
      <w:rPr>
        <w:rFonts w:hint="default"/>
      </w:rPr>
    </w:lvl>
  </w:abstractNum>
  <w:abstractNum w:abstractNumId="9">
    <w:nsid w:val="00000014"/>
    <w:multiLevelType w:val="singleLevel"/>
    <w:tmpl w:val="00000014"/>
    <w:lvl w:ilvl="0" w:tentative="0">
      <w:start w:val="1"/>
      <w:numFmt w:val="bullet"/>
      <w:pStyle w:val="27"/>
      <w:lvlText w:val=""/>
      <w:lvlJc w:val="left"/>
      <w:pPr>
        <w:tabs>
          <w:tab w:val="left" w:pos="780"/>
        </w:tabs>
        <w:ind w:left="780" w:hanging="360"/>
      </w:pPr>
      <w:rPr>
        <w:rFonts w:hint="default" w:ascii="Wingdings" w:hAnsi="Wingdings"/>
      </w:rPr>
    </w:lvl>
  </w:abstractNum>
  <w:abstractNum w:abstractNumId="10">
    <w:nsid w:val="00000016"/>
    <w:multiLevelType w:val="singleLevel"/>
    <w:tmpl w:val="00000016"/>
    <w:lvl w:ilvl="0" w:tentative="0">
      <w:start w:val="1"/>
      <w:numFmt w:val="decimal"/>
      <w:pStyle w:val="235"/>
      <w:lvlText w:val="%1)"/>
      <w:lvlJc w:val="left"/>
      <w:pPr>
        <w:tabs>
          <w:tab w:val="left" w:pos="425"/>
        </w:tabs>
        <w:ind w:left="425" w:hanging="425"/>
      </w:pPr>
      <w:rPr>
        <w:rFonts w:hint="eastAsia"/>
      </w:rPr>
    </w:lvl>
  </w:abstractNum>
  <w:abstractNum w:abstractNumId="11">
    <w:nsid w:val="00000017"/>
    <w:multiLevelType w:val="multilevel"/>
    <w:tmpl w:val="00000017"/>
    <w:lvl w:ilvl="0" w:tentative="0">
      <w:start w:val="1"/>
      <w:numFmt w:val="chineseCountingThousand"/>
      <w:pStyle w:val="141"/>
      <w:lvlText w:val="%1、"/>
      <w:lvlJc w:val="left"/>
      <w:pPr>
        <w:tabs>
          <w:tab w:val="left" w:pos="720"/>
        </w:tabs>
        <w:ind w:left="420" w:hanging="4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2">
    <w:nsid w:val="3EBB3C91"/>
    <w:multiLevelType w:val="multilevel"/>
    <w:tmpl w:val="3EBB3C91"/>
    <w:lvl w:ilvl="0" w:tentative="0">
      <w:start w:val="1"/>
      <w:numFmt w:val="chineseCountingThousand"/>
      <w:suff w:val="space"/>
      <w:lvlText w:val="%1. "/>
      <w:lvlJc w:val="left"/>
      <w:pPr>
        <w:ind w:left="907" w:hanging="907"/>
      </w:pPr>
      <w:rPr>
        <w:rFonts w:hint="eastAsia"/>
      </w:rPr>
    </w:lvl>
    <w:lvl w:ilvl="1" w:tentative="0">
      <w:start w:val="1"/>
      <w:numFmt w:val="decimal"/>
      <w:isLgl/>
      <w:suff w:val="space"/>
      <w:lvlText w:val="%1.%2 "/>
      <w:lvlJc w:val="left"/>
      <w:pPr>
        <w:ind w:left="794" w:hanging="794"/>
      </w:pPr>
    </w:lvl>
    <w:lvl w:ilvl="2" w:tentative="0">
      <w:start w:val="0"/>
      <w:numFmt w:val="none"/>
      <w:lvlText w:val=""/>
      <w:lvlJc w:val="left"/>
      <w:pPr>
        <w:tabs>
          <w:tab w:val="left" w:pos="360"/>
        </w:tabs>
      </w:pPr>
    </w:lvl>
    <w:lvl w:ilvl="3" w:tentative="0">
      <w:start w:val="0"/>
      <w:numFmt w:val="none"/>
      <w:lvlText w:val=""/>
      <w:lvlJc w:val="left"/>
      <w:pPr>
        <w:tabs>
          <w:tab w:val="left" w:pos="360"/>
        </w:tabs>
      </w:pPr>
    </w:lvl>
    <w:lvl w:ilvl="4" w:tentative="0">
      <w:start w:val="0"/>
      <w:numFmt w:val="decimal"/>
      <w:pStyle w:val="69"/>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13">
    <w:nsid w:val="592954C3"/>
    <w:multiLevelType w:val="multilevel"/>
    <w:tmpl w:val="592954C3"/>
    <w:lvl w:ilvl="0" w:tentative="0">
      <w:start w:val="1"/>
      <w:numFmt w:val="japaneseCounting"/>
      <w:lvlText w:val="%1、"/>
      <w:lvlJc w:val="left"/>
      <w:pPr>
        <w:ind w:left="1200" w:hanging="720"/>
      </w:pPr>
      <w:rPr>
        <w:rFonts w:hint="default"/>
      </w:rPr>
    </w:lvl>
    <w:lvl w:ilvl="1" w:tentative="0">
      <w:start w:val="1"/>
      <w:numFmt w:val="lowerLetter"/>
      <w:lvlText w:val="%2)"/>
      <w:lvlJc w:val="left"/>
      <w:pPr>
        <w:ind w:left="1360" w:hanging="440"/>
      </w:pPr>
    </w:lvl>
    <w:lvl w:ilvl="2" w:tentative="0">
      <w:start w:val="1"/>
      <w:numFmt w:val="lowerRoman"/>
      <w:lvlText w:val="%3."/>
      <w:lvlJc w:val="right"/>
      <w:pPr>
        <w:ind w:left="1800" w:hanging="440"/>
      </w:pPr>
    </w:lvl>
    <w:lvl w:ilvl="3" w:tentative="0">
      <w:start w:val="1"/>
      <w:numFmt w:val="decimal"/>
      <w:lvlText w:val="%4."/>
      <w:lvlJc w:val="left"/>
      <w:pPr>
        <w:ind w:left="2240" w:hanging="440"/>
      </w:pPr>
    </w:lvl>
    <w:lvl w:ilvl="4" w:tentative="0">
      <w:start w:val="1"/>
      <w:numFmt w:val="lowerLetter"/>
      <w:lvlText w:val="%5)"/>
      <w:lvlJc w:val="left"/>
      <w:pPr>
        <w:ind w:left="2680" w:hanging="440"/>
      </w:pPr>
    </w:lvl>
    <w:lvl w:ilvl="5" w:tentative="0">
      <w:start w:val="1"/>
      <w:numFmt w:val="lowerRoman"/>
      <w:lvlText w:val="%6."/>
      <w:lvlJc w:val="right"/>
      <w:pPr>
        <w:ind w:left="3120" w:hanging="440"/>
      </w:pPr>
    </w:lvl>
    <w:lvl w:ilvl="6" w:tentative="0">
      <w:start w:val="1"/>
      <w:numFmt w:val="decimal"/>
      <w:lvlText w:val="%7."/>
      <w:lvlJc w:val="left"/>
      <w:pPr>
        <w:ind w:left="3560" w:hanging="440"/>
      </w:pPr>
    </w:lvl>
    <w:lvl w:ilvl="7" w:tentative="0">
      <w:start w:val="1"/>
      <w:numFmt w:val="lowerLetter"/>
      <w:lvlText w:val="%8)"/>
      <w:lvlJc w:val="left"/>
      <w:pPr>
        <w:ind w:left="4000" w:hanging="440"/>
      </w:pPr>
    </w:lvl>
    <w:lvl w:ilvl="8" w:tentative="0">
      <w:start w:val="1"/>
      <w:numFmt w:val="lowerRoman"/>
      <w:lvlText w:val="%9."/>
      <w:lvlJc w:val="right"/>
      <w:pPr>
        <w:ind w:left="4440" w:hanging="440"/>
      </w:pPr>
    </w:lvl>
  </w:abstractNum>
  <w:num w:numId="1">
    <w:abstractNumId w:val="8"/>
  </w:num>
  <w:num w:numId="2">
    <w:abstractNumId w:val="3"/>
  </w:num>
  <w:num w:numId="3">
    <w:abstractNumId w:val="9"/>
  </w:num>
  <w:num w:numId="4">
    <w:abstractNumId w:val="12"/>
  </w:num>
  <w:num w:numId="5">
    <w:abstractNumId w:val="0"/>
  </w:num>
  <w:num w:numId="6">
    <w:abstractNumId w:val="6"/>
  </w:num>
  <w:num w:numId="7">
    <w:abstractNumId w:val="11"/>
  </w:num>
  <w:num w:numId="8">
    <w:abstractNumId w:val="1"/>
  </w:num>
  <w:num w:numId="9">
    <w:abstractNumId w:val="2"/>
  </w:num>
  <w:num w:numId="10">
    <w:abstractNumId w:val="5"/>
  </w:num>
  <w:num w:numId="11">
    <w:abstractNumId w:val="7"/>
  </w:num>
  <w:num w:numId="12">
    <w:abstractNumId w:val="4"/>
  </w:num>
  <w:num w:numId="13">
    <w:abstractNumId w:val="10"/>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doNotDisplayPageBoundaries w:val="1"/>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jZmOWViNmJjOTMzYjVjMDQ0OWFjZmMzYzViOTI0ODIifQ=="/>
  </w:docVars>
  <w:rsids>
    <w:rsidRoot w:val="00172A27"/>
    <w:rsid w:val="000014C5"/>
    <w:rsid w:val="00002AE4"/>
    <w:rsid w:val="00003626"/>
    <w:rsid w:val="000040DE"/>
    <w:rsid w:val="000070F0"/>
    <w:rsid w:val="000075E8"/>
    <w:rsid w:val="00011B4B"/>
    <w:rsid w:val="00016B79"/>
    <w:rsid w:val="00017816"/>
    <w:rsid w:val="00032ACA"/>
    <w:rsid w:val="0003632F"/>
    <w:rsid w:val="00042D29"/>
    <w:rsid w:val="00043835"/>
    <w:rsid w:val="0004739C"/>
    <w:rsid w:val="00051E02"/>
    <w:rsid w:val="000523C9"/>
    <w:rsid w:val="0005298B"/>
    <w:rsid w:val="0005417C"/>
    <w:rsid w:val="000576E1"/>
    <w:rsid w:val="00061A7C"/>
    <w:rsid w:val="00063981"/>
    <w:rsid w:val="00074C38"/>
    <w:rsid w:val="000816AD"/>
    <w:rsid w:val="00082CC1"/>
    <w:rsid w:val="00090C5A"/>
    <w:rsid w:val="00091B1C"/>
    <w:rsid w:val="00091D22"/>
    <w:rsid w:val="000A164E"/>
    <w:rsid w:val="000A3057"/>
    <w:rsid w:val="000B1068"/>
    <w:rsid w:val="000B3002"/>
    <w:rsid w:val="000B42F4"/>
    <w:rsid w:val="000B7377"/>
    <w:rsid w:val="000B7F54"/>
    <w:rsid w:val="000C08C1"/>
    <w:rsid w:val="000C1E0E"/>
    <w:rsid w:val="000C20E6"/>
    <w:rsid w:val="000C2C03"/>
    <w:rsid w:val="000C6D64"/>
    <w:rsid w:val="000C6D89"/>
    <w:rsid w:val="000D305D"/>
    <w:rsid w:val="000D776F"/>
    <w:rsid w:val="000E01C9"/>
    <w:rsid w:val="000E0DD7"/>
    <w:rsid w:val="000E3259"/>
    <w:rsid w:val="000E4835"/>
    <w:rsid w:val="000E5AB0"/>
    <w:rsid w:val="000F302A"/>
    <w:rsid w:val="000F3D5B"/>
    <w:rsid w:val="000F64D7"/>
    <w:rsid w:val="000F7DBF"/>
    <w:rsid w:val="0010014A"/>
    <w:rsid w:val="00100639"/>
    <w:rsid w:val="0010088E"/>
    <w:rsid w:val="001028FD"/>
    <w:rsid w:val="00105638"/>
    <w:rsid w:val="00106175"/>
    <w:rsid w:val="0010716D"/>
    <w:rsid w:val="001140DC"/>
    <w:rsid w:val="00114CFE"/>
    <w:rsid w:val="00115337"/>
    <w:rsid w:val="001166B8"/>
    <w:rsid w:val="0011683E"/>
    <w:rsid w:val="00116856"/>
    <w:rsid w:val="00116C42"/>
    <w:rsid w:val="0011780F"/>
    <w:rsid w:val="00117B26"/>
    <w:rsid w:val="00120259"/>
    <w:rsid w:val="00122F9D"/>
    <w:rsid w:val="001264A8"/>
    <w:rsid w:val="001266BF"/>
    <w:rsid w:val="00133D16"/>
    <w:rsid w:val="00134037"/>
    <w:rsid w:val="001342AC"/>
    <w:rsid w:val="00135BAE"/>
    <w:rsid w:val="00145224"/>
    <w:rsid w:val="00146EC3"/>
    <w:rsid w:val="00147FB4"/>
    <w:rsid w:val="0015011C"/>
    <w:rsid w:val="00150204"/>
    <w:rsid w:val="0015033B"/>
    <w:rsid w:val="00150429"/>
    <w:rsid w:val="001523C5"/>
    <w:rsid w:val="00152B00"/>
    <w:rsid w:val="00152CAD"/>
    <w:rsid w:val="00153556"/>
    <w:rsid w:val="0016265A"/>
    <w:rsid w:val="001641DE"/>
    <w:rsid w:val="00171E05"/>
    <w:rsid w:val="00172A27"/>
    <w:rsid w:val="00180ACB"/>
    <w:rsid w:val="00181A6C"/>
    <w:rsid w:val="00183B60"/>
    <w:rsid w:val="00186623"/>
    <w:rsid w:val="001879FD"/>
    <w:rsid w:val="0019571D"/>
    <w:rsid w:val="001963A2"/>
    <w:rsid w:val="00196465"/>
    <w:rsid w:val="001A1B93"/>
    <w:rsid w:val="001A64A1"/>
    <w:rsid w:val="001A6DCC"/>
    <w:rsid w:val="001A773E"/>
    <w:rsid w:val="001B0396"/>
    <w:rsid w:val="001B1400"/>
    <w:rsid w:val="001B3DBD"/>
    <w:rsid w:val="001B4377"/>
    <w:rsid w:val="001D0DF7"/>
    <w:rsid w:val="001D1038"/>
    <w:rsid w:val="001D2321"/>
    <w:rsid w:val="001D2DCD"/>
    <w:rsid w:val="001D5055"/>
    <w:rsid w:val="001D630C"/>
    <w:rsid w:val="001E1467"/>
    <w:rsid w:val="001E1A2F"/>
    <w:rsid w:val="001E201B"/>
    <w:rsid w:val="001E5CAC"/>
    <w:rsid w:val="001E64A9"/>
    <w:rsid w:val="001E6841"/>
    <w:rsid w:val="001E725F"/>
    <w:rsid w:val="001F1AF5"/>
    <w:rsid w:val="001F1AF7"/>
    <w:rsid w:val="001F4964"/>
    <w:rsid w:val="001F4A96"/>
    <w:rsid w:val="001F7063"/>
    <w:rsid w:val="00202B04"/>
    <w:rsid w:val="00203052"/>
    <w:rsid w:val="00204936"/>
    <w:rsid w:val="002049D5"/>
    <w:rsid w:val="00206AE4"/>
    <w:rsid w:val="002100EE"/>
    <w:rsid w:val="00210168"/>
    <w:rsid w:val="00210ED7"/>
    <w:rsid w:val="00212A06"/>
    <w:rsid w:val="00214E7A"/>
    <w:rsid w:val="00215DEE"/>
    <w:rsid w:val="0021618E"/>
    <w:rsid w:val="0021704D"/>
    <w:rsid w:val="002216C7"/>
    <w:rsid w:val="00222097"/>
    <w:rsid w:val="002227DB"/>
    <w:rsid w:val="00227202"/>
    <w:rsid w:val="00227377"/>
    <w:rsid w:val="00227851"/>
    <w:rsid w:val="002339D3"/>
    <w:rsid w:val="00234257"/>
    <w:rsid w:val="002348E0"/>
    <w:rsid w:val="00254E1A"/>
    <w:rsid w:val="002606E3"/>
    <w:rsid w:val="00262555"/>
    <w:rsid w:val="002643C1"/>
    <w:rsid w:val="00265203"/>
    <w:rsid w:val="00270223"/>
    <w:rsid w:val="0027199E"/>
    <w:rsid w:val="00271D47"/>
    <w:rsid w:val="002721EA"/>
    <w:rsid w:val="002752BA"/>
    <w:rsid w:val="00280E8A"/>
    <w:rsid w:val="00285164"/>
    <w:rsid w:val="002855B0"/>
    <w:rsid w:val="00286959"/>
    <w:rsid w:val="00295FA5"/>
    <w:rsid w:val="00297A6F"/>
    <w:rsid w:val="002A4956"/>
    <w:rsid w:val="002A6710"/>
    <w:rsid w:val="002A7778"/>
    <w:rsid w:val="002B1FDA"/>
    <w:rsid w:val="002B2ACF"/>
    <w:rsid w:val="002B578B"/>
    <w:rsid w:val="002B5ECC"/>
    <w:rsid w:val="002B6D71"/>
    <w:rsid w:val="002B7904"/>
    <w:rsid w:val="002C2507"/>
    <w:rsid w:val="002C2E6E"/>
    <w:rsid w:val="002C3A3D"/>
    <w:rsid w:val="002C7927"/>
    <w:rsid w:val="002D41FF"/>
    <w:rsid w:val="002D608F"/>
    <w:rsid w:val="002D7053"/>
    <w:rsid w:val="002D7208"/>
    <w:rsid w:val="002D7725"/>
    <w:rsid w:val="002E0CC2"/>
    <w:rsid w:val="002E3527"/>
    <w:rsid w:val="002E3824"/>
    <w:rsid w:val="002E78F7"/>
    <w:rsid w:val="002F031F"/>
    <w:rsid w:val="002F0ED3"/>
    <w:rsid w:val="002F3278"/>
    <w:rsid w:val="002F3DE3"/>
    <w:rsid w:val="002F632E"/>
    <w:rsid w:val="003021BC"/>
    <w:rsid w:val="0030440F"/>
    <w:rsid w:val="00310AF9"/>
    <w:rsid w:val="00310DAA"/>
    <w:rsid w:val="0031465E"/>
    <w:rsid w:val="00315742"/>
    <w:rsid w:val="003163B3"/>
    <w:rsid w:val="003200C6"/>
    <w:rsid w:val="00322A7A"/>
    <w:rsid w:val="00326C5B"/>
    <w:rsid w:val="003336F0"/>
    <w:rsid w:val="0033663D"/>
    <w:rsid w:val="003366D9"/>
    <w:rsid w:val="00340777"/>
    <w:rsid w:val="00341D8A"/>
    <w:rsid w:val="00341DEB"/>
    <w:rsid w:val="00344242"/>
    <w:rsid w:val="00346A3D"/>
    <w:rsid w:val="00350510"/>
    <w:rsid w:val="00350C20"/>
    <w:rsid w:val="003548FA"/>
    <w:rsid w:val="00355643"/>
    <w:rsid w:val="00355A74"/>
    <w:rsid w:val="0035764D"/>
    <w:rsid w:val="00361427"/>
    <w:rsid w:val="00363702"/>
    <w:rsid w:val="0036458B"/>
    <w:rsid w:val="003703E8"/>
    <w:rsid w:val="00371D2F"/>
    <w:rsid w:val="00373122"/>
    <w:rsid w:val="0037612E"/>
    <w:rsid w:val="0038033A"/>
    <w:rsid w:val="003816ED"/>
    <w:rsid w:val="003840E9"/>
    <w:rsid w:val="00384161"/>
    <w:rsid w:val="00387610"/>
    <w:rsid w:val="0039432A"/>
    <w:rsid w:val="003953EA"/>
    <w:rsid w:val="00395C2F"/>
    <w:rsid w:val="003973D3"/>
    <w:rsid w:val="00397F89"/>
    <w:rsid w:val="003A0495"/>
    <w:rsid w:val="003A0892"/>
    <w:rsid w:val="003A3162"/>
    <w:rsid w:val="003A422B"/>
    <w:rsid w:val="003A449E"/>
    <w:rsid w:val="003A71F3"/>
    <w:rsid w:val="003B19F5"/>
    <w:rsid w:val="003D0E0A"/>
    <w:rsid w:val="003D3B22"/>
    <w:rsid w:val="003D7B3D"/>
    <w:rsid w:val="003E0348"/>
    <w:rsid w:val="003F3DB1"/>
    <w:rsid w:val="003F451E"/>
    <w:rsid w:val="003F4939"/>
    <w:rsid w:val="003F626F"/>
    <w:rsid w:val="003F6794"/>
    <w:rsid w:val="00402B32"/>
    <w:rsid w:val="0040519F"/>
    <w:rsid w:val="0040781E"/>
    <w:rsid w:val="00410C93"/>
    <w:rsid w:val="004115FB"/>
    <w:rsid w:val="00411B4A"/>
    <w:rsid w:val="004134DD"/>
    <w:rsid w:val="00417E99"/>
    <w:rsid w:val="00421507"/>
    <w:rsid w:val="00424D02"/>
    <w:rsid w:val="0042525A"/>
    <w:rsid w:val="0042733C"/>
    <w:rsid w:val="0044185A"/>
    <w:rsid w:val="0044193A"/>
    <w:rsid w:val="00453B8F"/>
    <w:rsid w:val="004556B7"/>
    <w:rsid w:val="00456144"/>
    <w:rsid w:val="00460489"/>
    <w:rsid w:val="004608C7"/>
    <w:rsid w:val="00462878"/>
    <w:rsid w:val="0046404F"/>
    <w:rsid w:val="00465B7A"/>
    <w:rsid w:val="00471121"/>
    <w:rsid w:val="00472AA2"/>
    <w:rsid w:val="00473B39"/>
    <w:rsid w:val="00474175"/>
    <w:rsid w:val="00481309"/>
    <w:rsid w:val="004928A2"/>
    <w:rsid w:val="00494610"/>
    <w:rsid w:val="004953EC"/>
    <w:rsid w:val="00497ADD"/>
    <w:rsid w:val="004A0D29"/>
    <w:rsid w:val="004A0DE1"/>
    <w:rsid w:val="004A2410"/>
    <w:rsid w:val="004A27AC"/>
    <w:rsid w:val="004A3995"/>
    <w:rsid w:val="004B3AB3"/>
    <w:rsid w:val="004C1DD0"/>
    <w:rsid w:val="004C2685"/>
    <w:rsid w:val="004C64E4"/>
    <w:rsid w:val="004C6673"/>
    <w:rsid w:val="004D2334"/>
    <w:rsid w:val="004D433D"/>
    <w:rsid w:val="004D4410"/>
    <w:rsid w:val="004E156F"/>
    <w:rsid w:val="004E2F88"/>
    <w:rsid w:val="004E5500"/>
    <w:rsid w:val="004E550E"/>
    <w:rsid w:val="004E55DB"/>
    <w:rsid w:val="004E67C6"/>
    <w:rsid w:val="004F5959"/>
    <w:rsid w:val="004F670C"/>
    <w:rsid w:val="00502B2F"/>
    <w:rsid w:val="00512D00"/>
    <w:rsid w:val="00512D44"/>
    <w:rsid w:val="00514179"/>
    <w:rsid w:val="00516243"/>
    <w:rsid w:val="005164D4"/>
    <w:rsid w:val="005406A0"/>
    <w:rsid w:val="00540E03"/>
    <w:rsid w:val="00541D5F"/>
    <w:rsid w:val="00544BEA"/>
    <w:rsid w:val="005460D5"/>
    <w:rsid w:val="00553CF0"/>
    <w:rsid w:val="00557C75"/>
    <w:rsid w:val="00566A85"/>
    <w:rsid w:val="005709DA"/>
    <w:rsid w:val="00570C78"/>
    <w:rsid w:val="00573AE3"/>
    <w:rsid w:val="00581EF9"/>
    <w:rsid w:val="00583690"/>
    <w:rsid w:val="005902D9"/>
    <w:rsid w:val="0059075F"/>
    <w:rsid w:val="00596AB7"/>
    <w:rsid w:val="005A1B5C"/>
    <w:rsid w:val="005A1EA7"/>
    <w:rsid w:val="005A6A12"/>
    <w:rsid w:val="005B0724"/>
    <w:rsid w:val="005B1E46"/>
    <w:rsid w:val="005B5AA4"/>
    <w:rsid w:val="005C3DB5"/>
    <w:rsid w:val="005C3F4B"/>
    <w:rsid w:val="005C42AC"/>
    <w:rsid w:val="005C4F84"/>
    <w:rsid w:val="005D2EC6"/>
    <w:rsid w:val="005D37D0"/>
    <w:rsid w:val="005D41E8"/>
    <w:rsid w:val="005D703E"/>
    <w:rsid w:val="005E35E9"/>
    <w:rsid w:val="005E5525"/>
    <w:rsid w:val="005F38BB"/>
    <w:rsid w:val="005F7895"/>
    <w:rsid w:val="0060003E"/>
    <w:rsid w:val="00602BBE"/>
    <w:rsid w:val="0060315D"/>
    <w:rsid w:val="00613410"/>
    <w:rsid w:val="00614D04"/>
    <w:rsid w:val="00617986"/>
    <w:rsid w:val="006256CA"/>
    <w:rsid w:val="00627729"/>
    <w:rsid w:val="00627F21"/>
    <w:rsid w:val="0063025A"/>
    <w:rsid w:val="0063604F"/>
    <w:rsid w:val="0064583B"/>
    <w:rsid w:val="006468B8"/>
    <w:rsid w:val="00651127"/>
    <w:rsid w:val="0065190C"/>
    <w:rsid w:val="006542F1"/>
    <w:rsid w:val="00654A48"/>
    <w:rsid w:val="0065651B"/>
    <w:rsid w:val="00664607"/>
    <w:rsid w:val="00665941"/>
    <w:rsid w:val="0066755F"/>
    <w:rsid w:val="00670089"/>
    <w:rsid w:val="00670C89"/>
    <w:rsid w:val="00671233"/>
    <w:rsid w:val="006763DC"/>
    <w:rsid w:val="00680AE4"/>
    <w:rsid w:val="00682205"/>
    <w:rsid w:val="006822B0"/>
    <w:rsid w:val="00684E51"/>
    <w:rsid w:val="0068793C"/>
    <w:rsid w:val="00694288"/>
    <w:rsid w:val="00694F91"/>
    <w:rsid w:val="006A100B"/>
    <w:rsid w:val="006A143A"/>
    <w:rsid w:val="006A3285"/>
    <w:rsid w:val="006A4C56"/>
    <w:rsid w:val="006B0567"/>
    <w:rsid w:val="006B4535"/>
    <w:rsid w:val="006B72DE"/>
    <w:rsid w:val="006B75CB"/>
    <w:rsid w:val="006C5FC1"/>
    <w:rsid w:val="006D44E1"/>
    <w:rsid w:val="006D6350"/>
    <w:rsid w:val="006D6662"/>
    <w:rsid w:val="006E21FA"/>
    <w:rsid w:val="006E477D"/>
    <w:rsid w:val="006E6D5F"/>
    <w:rsid w:val="006F0FB7"/>
    <w:rsid w:val="006F5925"/>
    <w:rsid w:val="006F5E40"/>
    <w:rsid w:val="006F6E4A"/>
    <w:rsid w:val="00704E5D"/>
    <w:rsid w:val="00705739"/>
    <w:rsid w:val="007073D6"/>
    <w:rsid w:val="00710AE5"/>
    <w:rsid w:val="00712E83"/>
    <w:rsid w:val="00712FF5"/>
    <w:rsid w:val="0071464D"/>
    <w:rsid w:val="00714BF1"/>
    <w:rsid w:val="00715FB5"/>
    <w:rsid w:val="00716C50"/>
    <w:rsid w:val="007171A6"/>
    <w:rsid w:val="0071799D"/>
    <w:rsid w:val="00726088"/>
    <w:rsid w:val="00730B6A"/>
    <w:rsid w:val="00731B91"/>
    <w:rsid w:val="00736D88"/>
    <w:rsid w:val="00736DD2"/>
    <w:rsid w:val="00736EE0"/>
    <w:rsid w:val="00746307"/>
    <w:rsid w:val="0074681C"/>
    <w:rsid w:val="00746EC2"/>
    <w:rsid w:val="007504DE"/>
    <w:rsid w:val="00762B70"/>
    <w:rsid w:val="007636FE"/>
    <w:rsid w:val="0077408E"/>
    <w:rsid w:val="00780577"/>
    <w:rsid w:val="00781AD3"/>
    <w:rsid w:val="00781BFB"/>
    <w:rsid w:val="00786FA7"/>
    <w:rsid w:val="0079177C"/>
    <w:rsid w:val="00794382"/>
    <w:rsid w:val="007959AC"/>
    <w:rsid w:val="00796323"/>
    <w:rsid w:val="007A20E0"/>
    <w:rsid w:val="007B2204"/>
    <w:rsid w:val="007B4B60"/>
    <w:rsid w:val="007B7278"/>
    <w:rsid w:val="007C1691"/>
    <w:rsid w:val="007C6B0F"/>
    <w:rsid w:val="007D0625"/>
    <w:rsid w:val="007D7A44"/>
    <w:rsid w:val="007D7E65"/>
    <w:rsid w:val="007E19E0"/>
    <w:rsid w:val="007E517D"/>
    <w:rsid w:val="007E6CF0"/>
    <w:rsid w:val="007F6769"/>
    <w:rsid w:val="008041D4"/>
    <w:rsid w:val="00806938"/>
    <w:rsid w:val="00807818"/>
    <w:rsid w:val="0081156A"/>
    <w:rsid w:val="00827398"/>
    <w:rsid w:val="008275B6"/>
    <w:rsid w:val="0083653E"/>
    <w:rsid w:val="008369DC"/>
    <w:rsid w:val="00842974"/>
    <w:rsid w:val="00842F87"/>
    <w:rsid w:val="00843A88"/>
    <w:rsid w:val="00843D2E"/>
    <w:rsid w:val="0085550A"/>
    <w:rsid w:val="00856181"/>
    <w:rsid w:val="008616EF"/>
    <w:rsid w:val="00863C25"/>
    <w:rsid w:val="008641B7"/>
    <w:rsid w:val="00864D80"/>
    <w:rsid w:val="00864DC1"/>
    <w:rsid w:val="00866C55"/>
    <w:rsid w:val="00870530"/>
    <w:rsid w:val="008705BC"/>
    <w:rsid w:val="00871999"/>
    <w:rsid w:val="00872E27"/>
    <w:rsid w:val="00875A42"/>
    <w:rsid w:val="0088192C"/>
    <w:rsid w:val="008904A8"/>
    <w:rsid w:val="00891D94"/>
    <w:rsid w:val="00896589"/>
    <w:rsid w:val="008A0CEE"/>
    <w:rsid w:val="008A19AF"/>
    <w:rsid w:val="008A20FB"/>
    <w:rsid w:val="008A4D88"/>
    <w:rsid w:val="008C1B22"/>
    <w:rsid w:val="008C4C84"/>
    <w:rsid w:val="008C510F"/>
    <w:rsid w:val="008D067F"/>
    <w:rsid w:val="008D3283"/>
    <w:rsid w:val="008E437B"/>
    <w:rsid w:val="008E4D3F"/>
    <w:rsid w:val="008E66B8"/>
    <w:rsid w:val="008F0A2E"/>
    <w:rsid w:val="008F1988"/>
    <w:rsid w:val="008F2B05"/>
    <w:rsid w:val="008F5E76"/>
    <w:rsid w:val="008F6252"/>
    <w:rsid w:val="009023F3"/>
    <w:rsid w:val="0090383C"/>
    <w:rsid w:val="00905D85"/>
    <w:rsid w:val="00912132"/>
    <w:rsid w:val="00913CAA"/>
    <w:rsid w:val="009226D2"/>
    <w:rsid w:val="00922FAD"/>
    <w:rsid w:val="00924F0A"/>
    <w:rsid w:val="00925082"/>
    <w:rsid w:val="00925726"/>
    <w:rsid w:val="00926904"/>
    <w:rsid w:val="0092708B"/>
    <w:rsid w:val="0093049D"/>
    <w:rsid w:val="00936A01"/>
    <w:rsid w:val="00937713"/>
    <w:rsid w:val="009404E7"/>
    <w:rsid w:val="009409CD"/>
    <w:rsid w:val="0094759E"/>
    <w:rsid w:val="00952C13"/>
    <w:rsid w:val="0095455D"/>
    <w:rsid w:val="00962BF1"/>
    <w:rsid w:val="00963237"/>
    <w:rsid w:val="00966820"/>
    <w:rsid w:val="00971E57"/>
    <w:rsid w:val="009723CF"/>
    <w:rsid w:val="00972F46"/>
    <w:rsid w:val="00973D3A"/>
    <w:rsid w:val="009741DC"/>
    <w:rsid w:val="0097652A"/>
    <w:rsid w:val="00980037"/>
    <w:rsid w:val="00983B43"/>
    <w:rsid w:val="00984742"/>
    <w:rsid w:val="0099161D"/>
    <w:rsid w:val="00991B37"/>
    <w:rsid w:val="009B6208"/>
    <w:rsid w:val="009B71FF"/>
    <w:rsid w:val="009C3034"/>
    <w:rsid w:val="009C4BFF"/>
    <w:rsid w:val="009C7522"/>
    <w:rsid w:val="009D0FDD"/>
    <w:rsid w:val="009D3162"/>
    <w:rsid w:val="009D3181"/>
    <w:rsid w:val="009D7B9B"/>
    <w:rsid w:val="009E067B"/>
    <w:rsid w:val="009E717E"/>
    <w:rsid w:val="009E737D"/>
    <w:rsid w:val="009F18FA"/>
    <w:rsid w:val="00A0197B"/>
    <w:rsid w:val="00A02768"/>
    <w:rsid w:val="00A03977"/>
    <w:rsid w:val="00A06013"/>
    <w:rsid w:val="00A104A7"/>
    <w:rsid w:val="00A12904"/>
    <w:rsid w:val="00A15FBF"/>
    <w:rsid w:val="00A1616D"/>
    <w:rsid w:val="00A1696E"/>
    <w:rsid w:val="00A1783B"/>
    <w:rsid w:val="00A224AC"/>
    <w:rsid w:val="00A26FF7"/>
    <w:rsid w:val="00A27159"/>
    <w:rsid w:val="00A37A20"/>
    <w:rsid w:val="00A445DC"/>
    <w:rsid w:val="00A44BEA"/>
    <w:rsid w:val="00A47C22"/>
    <w:rsid w:val="00A55B14"/>
    <w:rsid w:val="00A5689C"/>
    <w:rsid w:val="00A569E8"/>
    <w:rsid w:val="00A57FAF"/>
    <w:rsid w:val="00A601C4"/>
    <w:rsid w:val="00A61D6E"/>
    <w:rsid w:val="00A70193"/>
    <w:rsid w:val="00A711C6"/>
    <w:rsid w:val="00A730F3"/>
    <w:rsid w:val="00A74B68"/>
    <w:rsid w:val="00A77EE1"/>
    <w:rsid w:val="00A84863"/>
    <w:rsid w:val="00A91750"/>
    <w:rsid w:val="00A95D95"/>
    <w:rsid w:val="00A977EC"/>
    <w:rsid w:val="00AA3FD1"/>
    <w:rsid w:val="00AA52DE"/>
    <w:rsid w:val="00AB11B3"/>
    <w:rsid w:val="00AB1DAF"/>
    <w:rsid w:val="00AB40EF"/>
    <w:rsid w:val="00AB43D9"/>
    <w:rsid w:val="00AB5ED3"/>
    <w:rsid w:val="00AB6B0C"/>
    <w:rsid w:val="00AB70CD"/>
    <w:rsid w:val="00AB7800"/>
    <w:rsid w:val="00AC1860"/>
    <w:rsid w:val="00AC4898"/>
    <w:rsid w:val="00AC48B3"/>
    <w:rsid w:val="00AC7893"/>
    <w:rsid w:val="00AC7AC9"/>
    <w:rsid w:val="00AD1C54"/>
    <w:rsid w:val="00AE1920"/>
    <w:rsid w:val="00AE76F8"/>
    <w:rsid w:val="00AF01B3"/>
    <w:rsid w:val="00AF0F13"/>
    <w:rsid w:val="00AF7992"/>
    <w:rsid w:val="00AF7CDD"/>
    <w:rsid w:val="00B00AB3"/>
    <w:rsid w:val="00B14C52"/>
    <w:rsid w:val="00B200AA"/>
    <w:rsid w:val="00B203A9"/>
    <w:rsid w:val="00B229A5"/>
    <w:rsid w:val="00B2488E"/>
    <w:rsid w:val="00B25EB3"/>
    <w:rsid w:val="00B42056"/>
    <w:rsid w:val="00B478C3"/>
    <w:rsid w:val="00B52715"/>
    <w:rsid w:val="00B61348"/>
    <w:rsid w:val="00B6263F"/>
    <w:rsid w:val="00B67114"/>
    <w:rsid w:val="00B678C7"/>
    <w:rsid w:val="00B70368"/>
    <w:rsid w:val="00B7097C"/>
    <w:rsid w:val="00B72BCC"/>
    <w:rsid w:val="00B75449"/>
    <w:rsid w:val="00B81284"/>
    <w:rsid w:val="00B86DA1"/>
    <w:rsid w:val="00B87401"/>
    <w:rsid w:val="00B96B1E"/>
    <w:rsid w:val="00BA527C"/>
    <w:rsid w:val="00BA5B9C"/>
    <w:rsid w:val="00BA7D51"/>
    <w:rsid w:val="00BA7F31"/>
    <w:rsid w:val="00BB0A64"/>
    <w:rsid w:val="00BB4AD5"/>
    <w:rsid w:val="00BB7494"/>
    <w:rsid w:val="00BB76A5"/>
    <w:rsid w:val="00BC089B"/>
    <w:rsid w:val="00BC183F"/>
    <w:rsid w:val="00BC1C37"/>
    <w:rsid w:val="00BC2390"/>
    <w:rsid w:val="00BC775D"/>
    <w:rsid w:val="00BD0051"/>
    <w:rsid w:val="00BD2939"/>
    <w:rsid w:val="00BD5A75"/>
    <w:rsid w:val="00BD6BF7"/>
    <w:rsid w:val="00BE07A9"/>
    <w:rsid w:val="00BE1700"/>
    <w:rsid w:val="00BE2E36"/>
    <w:rsid w:val="00BE4D8F"/>
    <w:rsid w:val="00BF0A3E"/>
    <w:rsid w:val="00BF26AC"/>
    <w:rsid w:val="00BF46A7"/>
    <w:rsid w:val="00BF5230"/>
    <w:rsid w:val="00BF6DA8"/>
    <w:rsid w:val="00C00289"/>
    <w:rsid w:val="00C1090C"/>
    <w:rsid w:val="00C201FC"/>
    <w:rsid w:val="00C240C8"/>
    <w:rsid w:val="00C249AF"/>
    <w:rsid w:val="00C26513"/>
    <w:rsid w:val="00C328C9"/>
    <w:rsid w:val="00C339ED"/>
    <w:rsid w:val="00C35BA8"/>
    <w:rsid w:val="00C37F72"/>
    <w:rsid w:val="00C40246"/>
    <w:rsid w:val="00C420C1"/>
    <w:rsid w:val="00C43FEE"/>
    <w:rsid w:val="00C45963"/>
    <w:rsid w:val="00C472B8"/>
    <w:rsid w:val="00C50723"/>
    <w:rsid w:val="00C529FD"/>
    <w:rsid w:val="00C53124"/>
    <w:rsid w:val="00C538A9"/>
    <w:rsid w:val="00C53B2E"/>
    <w:rsid w:val="00C6160A"/>
    <w:rsid w:val="00C62B51"/>
    <w:rsid w:val="00C65711"/>
    <w:rsid w:val="00C66460"/>
    <w:rsid w:val="00C76ECD"/>
    <w:rsid w:val="00C8221C"/>
    <w:rsid w:val="00C8356A"/>
    <w:rsid w:val="00C84B63"/>
    <w:rsid w:val="00C84E04"/>
    <w:rsid w:val="00C86DC6"/>
    <w:rsid w:val="00C910BE"/>
    <w:rsid w:val="00C922BE"/>
    <w:rsid w:val="00CA10F9"/>
    <w:rsid w:val="00CA14F4"/>
    <w:rsid w:val="00CA583F"/>
    <w:rsid w:val="00CA5844"/>
    <w:rsid w:val="00CA7415"/>
    <w:rsid w:val="00CB265C"/>
    <w:rsid w:val="00CB2BDD"/>
    <w:rsid w:val="00CB32BC"/>
    <w:rsid w:val="00CB4540"/>
    <w:rsid w:val="00CB4951"/>
    <w:rsid w:val="00CB7A07"/>
    <w:rsid w:val="00CC59BB"/>
    <w:rsid w:val="00CD1B93"/>
    <w:rsid w:val="00CD3BD4"/>
    <w:rsid w:val="00CD3CC8"/>
    <w:rsid w:val="00CD4915"/>
    <w:rsid w:val="00CD60BD"/>
    <w:rsid w:val="00CD635D"/>
    <w:rsid w:val="00CD6DEE"/>
    <w:rsid w:val="00CD7C5B"/>
    <w:rsid w:val="00CD7CED"/>
    <w:rsid w:val="00CE04C7"/>
    <w:rsid w:val="00CE2AC9"/>
    <w:rsid w:val="00CE2AFE"/>
    <w:rsid w:val="00CE7B14"/>
    <w:rsid w:val="00CF156B"/>
    <w:rsid w:val="00CF1E02"/>
    <w:rsid w:val="00CF4BD6"/>
    <w:rsid w:val="00CF597A"/>
    <w:rsid w:val="00D00228"/>
    <w:rsid w:val="00D00DA0"/>
    <w:rsid w:val="00D0103F"/>
    <w:rsid w:val="00D03E34"/>
    <w:rsid w:val="00D05BAA"/>
    <w:rsid w:val="00D07F26"/>
    <w:rsid w:val="00D11A09"/>
    <w:rsid w:val="00D11BCD"/>
    <w:rsid w:val="00D13B7A"/>
    <w:rsid w:val="00D17FD1"/>
    <w:rsid w:val="00D22C4B"/>
    <w:rsid w:val="00D230C7"/>
    <w:rsid w:val="00D23583"/>
    <w:rsid w:val="00D23E7D"/>
    <w:rsid w:val="00D2405F"/>
    <w:rsid w:val="00D26C71"/>
    <w:rsid w:val="00D30C7F"/>
    <w:rsid w:val="00D32DFB"/>
    <w:rsid w:val="00D41421"/>
    <w:rsid w:val="00D41998"/>
    <w:rsid w:val="00D41BA9"/>
    <w:rsid w:val="00D44059"/>
    <w:rsid w:val="00D4511A"/>
    <w:rsid w:val="00D51813"/>
    <w:rsid w:val="00D52376"/>
    <w:rsid w:val="00D53EE6"/>
    <w:rsid w:val="00D612C2"/>
    <w:rsid w:val="00D625A0"/>
    <w:rsid w:val="00D64D38"/>
    <w:rsid w:val="00D745E0"/>
    <w:rsid w:val="00D76AA3"/>
    <w:rsid w:val="00D80604"/>
    <w:rsid w:val="00D86529"/>
    <w:rsid w:val="00D86A86"/>
    <w:rsid w:val="00D8791E"/>
    <w:rsid w:val="00D92438"/>
    <w:rsid w:val="00DA0040"/>
    <w:rsid w:val="00DA086B"/>
    <w:rsid w:val="00DA1D7A"/>
    <w:rsid w:val="00DA5E0A"/>
    <w:rsid w:val="00DA6834"/>
    <w:rsid w:val="00DA7145"/>
    <w:rsid w:val="00DA78D8"/>
    <w:rsid w:val="00DA7E05"/>
    <w:rsid w:val="00DB4794"/>
    <w:rsid w:val="00DB5C3E"/>
    <w:rsid w:val="00DB628E"/>
    <w:rsid w:val="00DC4070"/>
    <w:rsid w:val="00DE1DE6"/>
    <w:rsid w:val="00DE1E39"/>
    <w:rsid w:val="00DE513D"/>
    <w:rsid w:val="00DF235C"/>
    <w:rsid w:val="00DF426D"/>
    <w:rsid w:val="00DF47D6"/>
    <w:rsid w:val="00DF4D5A"/>
    <w:rsid w:val="00DF5425"/>
    <w:rsid w:val="00DF782C"/>
    <w:rsid w:val="00E030A0"/>
    <w:rsid w:val="00E04F16"/>
    <w:rsid w:val="00E075A1"/>
    <w:rsid w:val="00E0797A"/>
    <w:rsid w:val="00E11D5D"/>
    <w:rsid w:val="00E124E3"/>
    <w:rsid w:val="00E12F81"/>
    <w:rsid w:val="00E14812"/>
    <w:rsid w:val="00E15231"/>
    <w:rsid w:val="00E15DDE"/>
    <w:rsid w:val="00E17B19"/>
    <w:rsid w:val="00E2339E"/>
    <w:rsid w:val="00E300BB"/>
    <w:rsid w:val="00E31D0A"/>
    <w:rsid w:val="00E3245B"/>
    <w:rsid w:val="00E32DCD"/>
    <w:rsid w:val="00E32DF0"/>
    <w:rsid w:val="00E3707B"/>
    <w:rsid w:val="00E50685"/>
    <w:rsid w:val="00E545B6"/>
    <w:rsid w:val="00E57F6B"/>
    <w:rsid w:val="00E609CE"/>
    <w:rsid w:val="00E6234F"/>
    <w:rsid w:val="00E67AC7"/>
    <w:rsid w:val="00E7134F"/>
    <w:rsid w:val="00E7342C"/>
    <w:rsid w:val="00E736E9"/>
    <w:rsid w:val="00E76363"/>
    <w:rsid w:val="00E90BE3"/>
    <w:rsid w:val="00E91374"/>
    <w:rsid w:val="00E91D81"/>
    <w:rsid w:val="00E92BC2"/>
    <w:rsid w:val="00EA010E"/>
    <w:rsid w:val="00EA28AB"/>
    <w:rsid w:val="00EA6FBF"/>
    <w:rsid w:val="00EB1E33"/>
    <w:rsid w:val="00EB4DA6"/>
    <w:rsid w:val="00EB7B0A"/>
    <w:rsid w:val="00EC0881"/>
    <w:rsid w:val="00EC74F9"/>
    <w:rsid w:val="00ED13DE"/>
    <w:rsid w:val="00ED1996"/>
    <w:rsid w:val="00ED2843"/>
    <w:rsid w:val="00ED2F55"/>
    <w:rsid w:val="00ED5ED8"/>
    <w:rsid w:val="00EE0C95"/>
    <w:rsid w:val="00EE3A2C"/>
    <w:rsid w:val="00EE3F0F"/>
    <w:rsid w:val="00EF0199"/>
    <w:rsid w:val="00F0263C"/>
    <w:rsid w:val="00F0402A"/>
    <w:rsid w:val="00F07266"/>
    <w:rsid w:val="00F16313"/>
    <w:rsid w:val="00F1700E"/>
    <w:rsid w:val="00F20820"/>
    <w:rsid w:val="00F20FF1"/>
    <w:rsid w:val="00F24317"/>
    <w:rsid w:val="00F27AC7"/>
    <w:rsid w:val="00F32641"/>
    <w:rsid w:val="00F34974"/>
    <w:rsid w:val="00F35457"/>
    <w:rsid w:val="00F3595B"/>
    <w:rsid w:val="00F367F3"/>
    <w:rsid w:val="00F36A26"/>
    <w:rsid w:val="00F41F54"/>
    <w:rsid w:val="00F426A6"/>
    <w:rsid w:val="00F429FD"/>
    <w:rsid w:val="00F45572"/>
    <w:rsid w:val="00F4623C"/>
    <w:rsid w:val="00F46AD7"/>
    <w:rsid w:val="00F56399"/>
    <w:rsid w:val="00F606BB"/>
    <w:rsid w:val="00F70113"/>
    <w:rsid w:val="00F746E3"/>
    <w:rsid w:val="00F76C17"/>
    <w:rsid w:val="00F7709C"/>
    <w:rsid w:val="00F7750A"/>
    <w:rsid w:val="00F80006"/>
    <w:rsid w:val="00F80084"/>
    <w:rsid w:val="00F95676"/>
    <w:rsid w:val="00F96401"/>
    <w:rsid w:val="00F9690B"/>
    <w:rsid w:val="00FA3F8B"/>
    <w:rsid w:val="00FA4498"/>
    <w:rsid w:val="00FA56FF"/>
    <w:rsid w:val="00FA767D"/>
    <w:rsid w:val="00FB693B"/>
    <w:rsid w:val="00FC3C96"/>
    <w:rsid w:val="00FD2470"/>
    <w:rsid w:val="00FD5823"/>
    <w:rsid w:val="00FD7BE0"/>
    <w:rsid w:val="00FE1C27"/>
    <w:rsid w:val="00FE326F"/>
    <w:rsid w:val="00FE5C31"/>
    <w:rsid w:val="00FF0F20"/>
    <w:rsid w:val="00FF1B0E"/>
    <w:rsid w:val="00FF268A"/>
    <w:rsid w:val="00FF748B"/>
    <w:rsid w:val="026C7369"/>
    <w:rsid w:val="030620E3"/>
    <w:rsid w:val="0394384B"/>
    <w:rsid w:val="043B13F3"/>
    <w:rsid w:val="04EC2E74"/>
    <w:rsid w:val="0501052E"/>
    <w:rsid w:val="05B83278"/>
    <w:rsid w:val="067530C0"/>
    <w:rsid w:val="079B568B"/>
    <w:rsid w:val="07F103E0"/>
    <w:rsid w:val="08257811"/>
    <w:rsid w:val="092E6FC0"/>
    <w:rsid w:val="0A010D6F"/>
    <w:rsid w:val="0A204D04"/>
    <w:rsid w:val="0A362FD0"/>
    <w:rsid w:val="0A9D4FA8"/>
    <w:rsid w:val="0AED6133"/>
    <w:rsid w:val="0BB87E47"/>
    <w:rsid w:val="0C994BB4"/>
    <w:rsid w:val="0CF75B4D"/>
    <w:rsid w:val="0D0C7689"/>
    <w:rsid w:val="0D1F249B"/>
    <w:rsid w:val="0D26388C"/>
    <w:rsid w:val="0D2D45FA"/>
    <w:rsid w:val="0D9D537B"/>
    <w:rsid w:val="0DAE5F1C"/>
    <w:rsid w:val="0F4F0F37"/>
    <w:rsid w:val="1009316D"/>
    <w:rsid w:val="112E1BB3"/>
    <w:rsid w:val="115C3EAF"/>
    <w:rsid w:val="11E97BB4"/>
    <w:rsid w:val="12D87969"/>
    <w:rsid w:val="13C44C6D"/>
    <w:rsid w:val="14093EF5"/>
    <w:rsid w:val="140E691A"/>
    <w:rsid w:val="147A5E14"/>
    <w:rsid w:val="148D1984"/>
    <w:rsid w:val="14D11CFB"/>
    <w:rsid w:val="153901DE"/>
    <w:rsid w:val="15935DB5"/>
    <w:rsid w:val="159B4F18"/>
    <w:rsid w:val="15BB3449"/>
    <w:rsid w:val="171C1EE4"/>
    <w:rsid w:val="17324323"/>
    <w:rsid w:val="17A1211B"/>
    <w:rsid w:val="18ED7A84"/>
    <w:rsid w:val="19255AF5"/>
    <w:rsid w:val="19401112"/>
    <w:rsid w:val="19564547"/>
    <w:rsid w:val="19740A13"/>
    <w:rsid w:val="19B34031"/>
    <w:rsid w:val="1A5915C0"/>
    <w:rsid w:val="1A7E6296"/>
    <w:rsid w:val="1B5937A3"/>
    <w:rsid w:val="1D805A72"/>
    <w:rsid w:val="1E2C5A53"/>
    <w:rsid w:val="1E2F0F85"/>
    <w:rsid w:val="1F0D01CA"/>
    <w:rsid w:val="21226BB2"/>
    <w:rsid w:val="21864056"/>
    <w:rsid w:val="222348FC"/>
    <w:rsid w:val="22F860AB"/>
    <w:rsid w:val="23366F63"/>
    <w:rsid w:val="2486441F"/>
    <w:rsid w:val="24A97106"/>
    <w:rsid w:val="2550440C"/>
    <w:rsid w:val="255A2660"/>
    <w:rsid w:val="263535D3"/>
    <w:rsid w:val="281D2511"/>
    <w:rsid w:val="286153F5"/>
    <w:rsid w:val="2895673E"/>
    <w:rsid w:val="29601F8B"/>
    <w:rsid w:val="296F02CD"/>
    <w:rsid w:val="2A113B40"/>
    <w:rsid w:val="2AA01F44"/>
    <w:rsid w:val="2C43216E"/>
    <w:rsid w:val="2CD472B8"/>
    <w:rsid w:val="2DB02B6B"/>
    <w:rsid w:val="2EB27897"/>
    <w:rsid w:val="2FD2000A"/>
    <w:rsid w:val="300C58E0"/>
    <w:rsid w:val="30607DAE"/>
    <w:rsid w:val="312C1210"/>
    <w:rsid w:val="31DA5A58"/>
    <w:rsid w:val="32FD7152"/>
    <w:rsid w:val="32FE4017"/>
    <w:rsid w:val="332D1E43"/>
    <w:rsid w:val="34962D8B"/>
    <w:rsid w:val="34D74F48"/>
    <w:rsid w:val="361F2D7D"/>
    <w:rsid w:val="369C6387"/>
    <w:rsid w:val="37556B60"/>
    <w:rsid w:val="37660142"/>
    <w:rsid w:val="38985B46"/>
    <w:rsid w:val="38CD7FDC"/>
    <w:rsid w:val="3ACE5D4F"/>
    <w:rsid w:val="3B89534D"/>
    <w:rsid w:val="3C55524B"/>
    <w:rsid w:val="3CCE1388"/>
    <w:rsid w:val="3CED5AB6"/>
    <w:rsid w:val="3D117539"/>
    <w:rsid w:val="3DC14F27"/>
    <w:rsid w:val="3DDD46D4"/>
    <w:rsid w:val="3DE559F8"/>
    <w:rsid w:val="3DF6488D"/>
    <w:rsid w:val="3E2734A9"/>
    <w:rsid w:val="3E2D176B"/>
    <w:rsid w:val="3E5E05BF"/>
    <w:rsid w:val="3F1C71CA"/>
    <w:rsid w:val="3F464493"/>
    <w:rsid w:val="3F5929D1"/>
    <w:rsid w:val="3FB630C0"/>
    <w:rsid w:val="3FD67934"/>
    <w:rsid w:val="406334F2"/>
    <w:rsid w:val="409F14A1"/>
    <w:rsid w:val="415F6EA3"/>
    <w:rsid w:val="42E4764C"/>
    <w:rsid w:val="43291680"/>
    <w:rsid w:val="44256EDB"/>
    <w:rsid w:val="45277FC2"/>
    <w:rsid w:val="452C7897"/>
    <w:rsid w:val="45C410F4"/>
    <w:rsid w:val="46151D23"/>
    <w:rsid w:val="46AB67D5"/>
    <w:rsid w:val="46D026EE"/>
    <w:rsid w:val="476B30BF"/>
    <w:rsid w:val="48783FC8"/>
    <w:rsid w:val="494C6B8D"/>
    <w:rsid w:val="497B7CB3"/>
    <w:rsid w:val="4A286398"/>
    <w:rsid w:val="4A8845CE"/>
    <w:rsid w:val="4B2D12E0"/>
    <w:rsid w:val="4BEB6B31"/>
    <w:rsid w:val="4D1D2982"/>
    <w:rsid w:val="4D607118"/>
    <w:rsid w:val="4DD36371"/>
    <w:rsid w:val="4E854372"/>
    <w:rsid w:val="4EEC1F3B"/>
    <w:rsid w:val="4F070047"/>
    <w:rsid w:val="4F3C244F"/>
    <w:rsid w:val="4FCD30B4"/>
    <w:rsid w:val="5115115D"/>
    <w:rsid w:val="521E4A24"/>
    <w:rsid w:val="52306CBC"/>
    <w:rsid w:val="5232269F"/>
    <w:rsid w:val="52A64E78"/>
    <w:rsid w:val="52D92ACB"/>
    <w:rsid w:val="53B4776F"/>
    <w:rsid w:val="53B7194F"/>
    <w:rsid w:val="53DF1E3A"/>
    <w:rsid w:val="540F25CE"/>
    <w:rsid w:val="545B425C"/>
    <w:rsid w:val="558E730F"/>
    <w:rsid w:val="56583A35"/>
    <w:rsid w:val="573C43EC"/>
    <w:rsid w:val="57857077"/>
    <w:rsid w:val="57F70492"/>
    <w:rsid w:val="58513831"/>
    <w:rsid w:val="58B9495B"/>
    <w:rsid w:val="58BB5504"/>
    <w:rsid w:val="58EA1C45"/>
    <w:rsid w:val="59DC0F00"/>
    <w:rsid w:val="59E545C2"/>
    <w:rsid w:val="5B905ABE"/>
    <w:rsid w:val="5CA67F0E"/>
    <w:rsid w:val="5CC4593C"/>
    <w:rsid w:val="5CE0669B"/>
    <w:rsid w:val="5DAD4E7C"/>
    <w:rsid w:val="5DC6466B"/>
    <w:rsid w:val="5ED10334"/>
    <w:rsid w:val="5F0271B4"/>
    <w:rsid w:val="602A4F50"/>
    <w:rsid w:val="60B01C37"/>
    <w:rsid w:val="60CB5C8F"/>
    <w:rsid w:val="61A33550"/>
    <w:rsid w:val="62164EC7"/>
    <w:rsid w:val="633157F8"/>
    <w:rsid w:val="648E3C9A"/>
    <w:rsid w:val="64DA4767"/>
    <w:rsid w:val="65170F5B"/>
    <w:rsid w:val="65215328"/>
    <w:rsid w:val="658B38AE"/>
    <w:rsid w:val="660232D5"/>
    <w:rsid w:val="663C214A"/>
    <w:rsid w:val="665B2E8B"/>
    <w:rsid w:val="670A099E"/>
    <w:rsid w:val="688B0082"/>
    <w:rsid w:val="68BD663A"/>
    <w:rsid w:val="692F74C0"/>
    <w:rsid w:val="696405DD"/>
    <w:rsid w:val="69BE2355"/>
    <w:rsid w:val="6B75107A"/>
    <w:rsid w:val="6BFE1706"/>
    <w:rsid w:val="6C55768A"/>
    <w:rsid w:val="6D5236ED"/>
    <w:rsid w:val="6E123B42"/>
    <w:rsid w:val="6E2B5D12"/>
    <w:rsid w:val="6FE969BF"/>
    <w:rsid w:val="701245F9"/>
    <w:rsid w:val="71175C34"/>
    <w:rsid w:val="71A31538"/>
    <w:rsid w:val="74D70DF7"/>
    <w:rsid w:val="74DA5656"/>
    <w:rsid w:val="75043B07"/>
    <w:rsid w:val="750950F5"/>
    <w:rsid w:val="750D16CF"/>
    <w:rsid w:val="756D34CF"/>
    <w:rsid w:val="763F7532"/>
    <w:rsid w:val="773622B4"/>
    <w:rsid w:val="77D50611"/>
    <w:rsid w:val="78334D0D"/>
    <w:rsid w:val="789F3DA6"/>
    <w:rsid w:val="78A52377"/>
    <w:rsid w:val="79036C35"/>
    <w:rsid w:val="79082185"/>
    <w:rsid w:val="792921E9"/>
    <w:rsid w:val="796075AF"/>
    <w:rsid w:val="79FB3E99"/>
    <w:rsid w:val="7A1536DC"/>
    <w:rsid w:val="7A6F77AB"/>
    <w:rsid w:val="7ABA3FBA"/>
    <w:rsid w:val="7AC76420"/>
    <w:rsid w:val="7B5B7497"/>
    <w:rsid w:val="7BEF5F10"/>
    <w:rsid w:val="7D9563F1"/>
    <w:rsid w:val="7DF569B3"/>
    <w:rsid w:val="7EB03BCE"/>
    <w:rsid w:val="7EDF2436"/>
    <w:rsid w:val="7EE54B7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qFormat="1" w:unhideWhenUsed="0" w:uiPriority="99"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qFormat="1" w:unhideWhenUsed="0" w:uiPriority="0" w:semiHidden="0" w:name="table of figures"/>
    <w:lsdException w:unhideWhenUsed="0" w:uiPriority="0" w:semiHidden="0" w:name="envelope address"/>
    <w:lsdException w:unhideWhenUsed="0" w:uiPriority="0" w:semiHidden="0" w:name="envelope return"/>
    <w:lsdException w:qFormat="1"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qFormat="1" w:unhideWhenUsed="0" w:uiPriority="0" w:semiHidden="0" w:name="List 3"/>
    <w:lsdException w:qFormat="1" w:unhideWhenUsed="0" w:uiPriority="0" w:semiHidden="0" w:name="List 4"/>
    <w:lsdException w:qFormat="1" w:unhideWhenUsed="0" w:uiPriority="0" w:semiHidden="0" w:name="List 5"/>
    <w:lsdException w:qFormat="1" w:unhideWhenUsed="0" w:uiPriority="0" w:semiHidden="0" w:name="List Bullet 2"/>
    <w:lsdException w:qFormat="1" w:unhideWhenUsed="0" w:uiPriority="0" w:semiHidden="0" w:name="List Bullet 3"/>
    <w:lsdException w:qFormat="1" w:unhideWhenUsed="0" w:uiPriority="0" w:semiHidden="0" w:name="List Bullet 4"/>
    <w:lsdException w:unhideWhenUsed="0" w:uiPriority="0" w:semiHidden="0" w:name="List Bullet 5"/>
    <w:lsdException w:qFormat="1" w:unhideWhenUsed="0" w:uiPriority="0" w:semiHidden="0" w:name="List Number 2"/>
    <w:lsdException w:qFormat="1"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qFormat="1" w:unhideWhenUsed="0" w:uiPriority="0" w:semiHidden="0" w:name="List Continue"/>
    <w:lsdException w:qFormat="1" w:unhideWhenUsed="0" w:uiPriority="0" w:semiHidden="0" w:name="List Continue 2"/>
    <w:lsdException w:qFormat="1" w:unhideWhenUsed="0" w:uiPriority="0" w:semiHidden="0" w:name="List Continue 3"/>
    <w:lsdException w:qFormat="1"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8"/>
      <w:lang w:val="en-US" w:eastAsia="zh-CN" w:bidi="ar-SA"/>
    </w:rPr>
  </w:style>
  <w:style w:type="paragraph" w:styleId="3">
    <w:name w:val="heading 1"/>
    <w:basedOn w:val="1"/>
    <w:next w:val="1"/>
    <w:qFormat/>
    <w:uiPriority w:val="0"/>
    <w:pPr>
      <w:keepNext/>
      <w:snapToGrid w:val="0"/>
      <w:spacing w:line="360" w:lineRule="atLeast"/>
      <w:outlineLvl w:val="0"/>
    </w:pPr>
    <w:rPr>
      <w:rFonts w:ascii="宋体"/>
    </w:rPr>
  </w:style>
  <w:style w:type="paragraph" w:styleId="4">
    <w:name w:val="heading 2"/>
    <w:basedOn w:val="1"/>
    <w:next w:val="1"/>
    <w:link w:val="71"/>
    <w:qFormat/>
    <w:uiPriority w:val="0"/>
    <w:pPr>
      <w:keepNext/>
      <w:keepLines/>
      <w:spacing w:before="260" w:after="260" w:line="413" w:lineRule="auto"/>
      <w:outlineLvl w:val="1"/>
    </w:pPr>
    <w:rPr>
      <w:rFonts w:ascii="Arial" w:hAnsi="Arial" w:eastAsia="黑体"/>
      <w:b/>
      <w:sz w:val="32"/>
    </w:rPr>
  </w:style>
  <w:style w:type="paragraph" w:styleId="5">
    <w:name w:val="heading 3"/>
    <w:basedOn w:val="1"/>
    <w:next w:val="1"/>
    <w:link w:val="72"/>
    <w:qFormat/>
    <w:uiPriority w:val="0"/>
    <w:pPr>
      <w:keepNext/>
      <w:keepLines/>
      <w:spacing w:before="260" w:after="260" w:line="413" w:lineRule="auto"/>
      <w:outlineLvl w:val="2"/>
    </w:pPr>
    <w:rPr>
      <w:b/>
      <w:sz w:val="32"/>
    </w:rPr>
  </w:style>
  <w:style w:type="paragraph" w:styleId="6">
    <w:name w:val="heading 4"/>
    <w:basedOn w:val="1"/>
    <w:next w:val="1"/>
    <w:qFormat/>
    <w:uiPriority w:val="0"/>
    <w:pPr>
      <w:keepNext/>
      <w:keepLines/>
      <w:spacing w:before="280" w:after="290" w:line="372" w:lineRule="auto"/>
      <w:outlineLvl w:val="3"/>
    </w:pPr>
    <w:rPr>
      <w:rFonts w:ascii="Arial" w:hAnsi="Arial" w:eastAsia="黑体"/>
      <w:b/>
    </w:rPr>
  </w:style>
  <w:style w:type="paragraph" w:styleId="7">
    <w:name w:val="heading 5"/>
    <w:basedOn w:val="1"/>
    <w:next w:val="1"/>
    <w:qFormat/>
    <w:uiPriority w:val="0"/>
    <w:pPr>
      <w:keepNext/>
      <w:keepLines/>
      <w:tabs>
        <w:tab w:val="left" w:pos="2551"/>
      </w:tabs>
      <w:spacing w:before="280" w:after="290" w:line="372" w:lineRule="auto"/>
      <w:ind w:left="2551" w:hanging="850"/>
      <w:outlineLvl w:val="4"/>
    </w:pPr>
    <w:rPr>
      <w:b/>
    </w:rPr>
  </w:style>
  <w:style w:type="paragraph" w:styleId="8">
    <w:name w:val="heading 6"/>
    <w:basedOn w:val="1"/>
    <w:next w:val="1"/>
    <w:qFormat/>
    <w:uiPriority w:val="0"/>
    <w:pPr>
      <w:keepNext/>
      <w:keepLines/>
      <w:tabs>
        <w:tab w:val="left" w:pos="1152"/>
      </w:tabs>
      <w:adjustRightInd w:val="0"/>
      <w:snapToGrid w:val="0"/>
      <w:spacing w:before="240" w:after="64" w:line="317" w:lineRule="auto"/>
      <w:ind w:left="1152" w:hanging="1152"/>
      <w:outlineLvl w:val="5"/>
    </w:pPr>
    <w:rPr>
      <w:rFonts w:ascii="Arial" w:hAnsi="Arial" w:eastAsia="黑体"/>
      <w:b/>
      <w:sz w:val="24"/>
    </w:rPr>
  </w:style>
  <w:style w:type="paragraph" w:styleId="9">
    <w:name w:val="heading 7"/>
    <w:basedOn w:val="1"/>
    <w:next w:val="1"/>
    <w:qFormat/>
    <w:uiPriority w:val="0"/>
    <w:pPr>
      <w:keepNext/>
      <w:keepLines/>
      <w:tabs>
        <w:tab w:val="left" w:pos="1296"/>
      </w:tabs>
      <w:adjustRightInd w:val="0"/>
      <w:snapToGrid w:val="0"/>
      <w:spacing w:before="240" w:after="64" w:line="317" w:lineRule="auto"/>
      <w:ind w:left="1296" w:hanging="1296"/>
      <w:outlineLvl w:val="6"/>
    </w:pPr>
    <w:rPr>
      <w:rFonts w:ascii="Arial" w:hAnsi="Arial" w:eastAsia="黑体"/>
      <w:b/>
      <w:sz w:val="24"/>
    </w:rPr>
  </w:style>
  <w:style w:type="paragraph" w:styleId="10">
    <w:name w:val="heading 8"/>
    <w:basedOn w:val="1"/>
    <w:next w:val="1"/>
    <w:qFormat/>
    <w:uiPriority w:val="0"/>
    <w:pPr>
      <w:keepNext/>
      <w:keepLines/>
      <w:tabs>
        <w:tab w:val="left" w:pos="1440"/>
      </w:tabs>
      <w:adjustRightInd w:val="0"/>
      <w:snapToGrid w:val="0"/>
      <w:spacing w:before="240" w:after="64" w:line="317" w:lineRule="auto"/>
      <w:ind w:left="1440" w:hanging="1440"/>
      <w:outlineLvl w:val="7"/>
    </w:pPr>
    <w:rPr>
      <w:rFonts w:ascii="Arial" w:hAnsi="Arial" w:eastAsia="黑体"/>
      <w:b/>
      <w:sz w:val="24"/>
    </w:rPr>
  </w:style>
  <w:style w:type="paragraph" w:styleId="11">
    <w:name w:val="heading 9"/>
    <w:basedOn w:val="1"/>
    <w:next w:val="1"/>
    <w:qFormat/>
    <w:uiPriority w:val="0"/>
    <w:pPr>
      <w:keepNext/>
      <w:keepLines/>
      <w:tabs>
        <w:tab w:val="left" w:pos="1584"/>
      </w:tabs>
      <w:adjustRightInd w:val="0"/>
      <w:snapToGrid w:val="0"/>
      <w:spacing w:before="240" w:after="64" w:line="317" w:lineRule="auto"/>
      <w:ind w:left="1584" w:hanging="1584"/>
      <w:outlineLvl w:val="8"/>
    </w:pPr>
    <w:rPr>
      <w:rFonts w:ascii="Arial" w:hAnsi="Arial" w:eastAsia="黑体"/>
      <w:b/>
      <w:sz w:val="24"/>
    </w:rPr>
  </w:style>
  <w:style w:type="character" w:default="1" w:styleId="60">
    <w:name w:val="Default Paragraph Font"/>
    <w:semiHidden/>
    <w:unhideWhenUsed/>
    <w:qFormat/>
    <w:uiPriority w:val="1"/>
  </w:style>
  <w:style w:type="table" w:default="1" w:styleId="58">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1"/>
    <w:qFormat/>
    <w:uiPriority w:val="0"/>
    <w:rPr>
      <w:rFonts w:ascii="仿宋_GB2312" w:eastAsia="仿宋_GB2312"/>
      <w:sz w:val="32"/>
    </w:rPr>
  </w:style>
  <w:style w:type="paragraph" w:styleId="12">
    <w:name w:val="List 3"/>
    <w:basedOn w:val="1"/>
    <w:qFormat/>
    <w:uiPriority w:val="0"/>
    <w:pPr>
      <w:adjustRightInd w:val="0"/>
      <w:snapToGrid w:val="0"/>
      <w:spacing w:line="360" w:lineRule="auto"/>
      <w:ind w:left="100" w:leftChars="400" w:hanging="200" w:hangingChars="200"/>
    </w:pPr>
    <w:rPr>
      <w:sz w:val="24"/>
    </w:rPr>
  </w:style>
  <w:style w:type="paragraph" w:styleId="13">
    <w:name w:val="toc 7"/>
    <w:basedOn w:val="1"/>
    <w:next w:val="1"/>
    <w:qFormat/>
    <w:uiPriority w:val="0"/>
    <w:pPr>
      <w:ind w:left="2520" w:leftChars="1200"/>
    </w:pPr>
  </w:style>
  <w:style w:type="paragraph" w:styleId="14">
    <w:name w:val="List Number 2"/>
    <w:basedOn w:val="1"/>
    <w:qFormat/>
    <w:uiPriority w:val="0"/>
    <w:pPr>
      <w:numPr>
        <w:ilvl w:val="0"/>
        <w:numId w:val="1"/>
      </w:numPr>
      <w:tabs>
        <w:tab w:val="left" w:pos="780"/>
        <w:tab w:val="clear" w:pos="425"/>
      </w:tabs>
      <w:spacing w:line="360" w:lineRule="auto"/>
    </w:pPr>
    <w:rPr>
      <w:sz w:val="24"/>
    </w:rPr>
  </w:style>
  <w:style w:type="paragraph" w:styleId="15">
    <w:name w:val="List Bullet 4"/>
    <w:basedOn w:val="1"/>
    <w:qFormat/>
    <w:uiPriority w:val="0"/>
    <w:pPr>
      <w:widowControl/>
      <w:tabs>
        <w:tab w:val="left" w:pos="1134"/>
      </w:tabs>
      <w:adjustRightInd w:val="0"/>
      <w:snapToGrid w:val="0"/>
      <w:spacing w:before="120" w:line="280" w:lineRule="atLeast"/>
      <w:ind w:left="1418" w:hanging="284"/>
      <w:jc w:val="left"/>
    </w:pPr>
    <w:rPr>
      <w:rFonts w:ascii="宋体"/>
      <w:kern w:val="0"/>
      <w:sz w:val="22"/>
    </w:rPr>
  </w:style>
  <w:style w:type="paragraph" w:styleId="16">
    <w:name w:val="Normal Indent"/>
    <w:basedOn w:val="1"/>
    <w:qFormat/>
    <w:uiPriority w:val="0"/>
    <w:pPr>
      <w:adjustRightInd w:val="0"/>
      <w:snapToGrid w:val="0"/>
      <w:spacing w:line="360" w:lineRule="auto"/>
      <w:ind w:firstLine="420"/>
    </w:pPr>
    <w:rPr>
      <w:sz w:val="24"/>
    </w:rPr>
  </w:style>
  <w:style w:type="paragraph" w:styleId="17">
    <w:name w:val="caption"/>
    <w:basedOn w:val="1"/>
    <w:next w:val="1"/>
    <w:qFormat/>
    <w:uiPriority w:val="0"/>
    <w:pPr>
      <w:widowControl/>
      <w:tabs>
        <w:tab w:val="left" w:pos="1134"/>
      </w:tabs>
      <w:adjustRightInd w:val="0"/>
      <w:snapToGrid w:val="0"/>
      <w:spacing w:line="280" w:lineRule="atLeast"/>
      <w:jc w:val="left"/>
    </w:pPr>
    <w:rPr>
      <w:rFonts w:eastAsia="PMingLiU"/>
      <w:b/>
      <w:kern w:val="0"/>
      <w:sz w:val="24"/>
      <w:lang w:eastAsia="zh-TW"/>
    </w:rPr>
  </w:style>
  <w:style w:type="paragraph" w:styleId="18">
    <w:name w:val="Document Map"/>
    <w:basedOn w:val="1"/>
    <w:qFormat/>
    <w:uiPriority w:val="0"/>
    <w:pPr>
      <w:shd w:val="clear" w:color="auto" w:fill="000080"/>
    </w:pPr>
  </w:style>
  <w:style w:type="paragraph" w:styleId="19">
    <w:name w:val="toa heading"/>
    <w:basedOn w:val="1"/>
    <w:next w:val="1"/>
    <w:qFormat/>
    <w:uiPriority w:val="0"/>
    <w:pPr>
      <w:spacing w:before="120"/>
    </w:pPr>
    <w:rPr>
      <w:rFonts w:ascii="Arial" w:hAnsi="Arial"/>
      <w:sz w:val="24"/>
    </w:rPr>
  </w:style>
  <w:style w:type="paragraph" w:styleId="20">
    <w:name w:val="annotation text"/>
    <w:basedOn w:val="1"/>
    <w:link w:val="73"/>
    <w:qFormat/>
    <w:uiPriority w:val="0"/>
    <w:pPr>
      <w:adjustRightInd w:val="0"/>
      <w:spacing w:line="360" w:lineRule="atLeast"/>
      <w:jc w:val="left"/>
      <w:textAlignment w:val="baseline"/>
    </w:pPr>
    <w:rPr>
      <w:kern w:val="0"/>
      <w:sz w:val="24"/>
    </w:rPr>
  </w:style>
  <w:style w:type="paragraph" w:styleId="21">
    <w:name w:val="Body Text 3"/>
    <w:basedOn w:val="1"/>
    <w:qFormat/>
    <w:uiPriority w:val="0"/>
    <w:pPr>
      <w:adjustRightInd w:val="0"/>
      <w:snapToGrid w:val="0"/>
      <w:spacing w:after="120" w:line="360" w:lineRule="auto"/>
    </w:pPr>
    <w:rPr>
      <w:sz w:val="16"/>
    </w:rPr>
  </w:style>
  <w:style w:type="paragraph" w:styleId="22">
    <w:name w:val="List Bullet 3"/>
    <w:basedOn w:val="1"/>
    <w:qFormat/>
    <w:uiPriority w:val="0"/>
    <w:pPr>
      <w:numPr>
        <w:ilvl w:val="0"/>
        <w:numId w:val="2"/>
      </w:numPr>
      <w:adjustRightInd w:val="0"/>
      <w:snapToGrid w:val="0"/>
      <w:spacing w:line="360" w:lineRule="auto"/>
    </w:pPr>
    <w:rPr>
      <w:sz w:val="24"/>
    </w:rPr>
  </w:style>
  <w:style w:type="paragraph" w:styleId="23">
    <w:name w:val="Body Text Indent"/>
    <w:basedOn w:val="1"/>
    <w:next w:val="1"/>
    <w:link w:val="74"/>
    <w:qFormat/>
    <w:uiPriority w:val="0"/>
    <w:pPr>
      <w:spacing w:line="700" w:lineRule="exact"/>
      <w:ind w:left="960"/>
    </w:pPr>
    <w:rPr>
      <w:sz w:val="44"/>
    </w:rPr>
  </w:style>
  <w:style w:type="paragraph" w:styleId="24">
    <w:name w:val="List Number 3"/>
    <w:basedOn w:val="1"/>
    <w:qFormat/>
    <w:uiPriority w:val="0"/>
    <w:pPr>
      <w:tabs>
        <w:tab w:val="left" w:pos="2120"/>
      </w:tabs>
      <w:adjustRightInd w:val="0"/>
      <w:snapToGrid w:val="0"/>
      <w:spacing w:line="360" w:lineRule="auto"/>
      <w:ind w:left="2120" w:hanging="720"/>
    </w:pPr>
    <w:rPr>
      <w:sz w:val="24"/>
    </w:rPr>
  </w:style>
  <w:style w:type="paragraph" w:styleId="25">
    <w:name w:val="List 2"/>
    <w:basedOn w:val="1"/>
    <w:qFormat/>
    <w:uiPriority w:val="0"/>
    <w:pPr>
      <w:adjustRightInd w:val="0"/>
      <w:snapToGrid w:val="0"/>
      <w:spacing w:line="360" w:lineRule="auto"/>
      <w:ind w:left="100" w:leftChars="200" w:hanging="200" w:hangingChars="200"/>
    </w:pPr>
    <w:rPr>
      <w:sz w:val="24"/>
    </w:rPr>
  </w:style>
  <w:style w:type="paragraph" w:styleId="26">
    <w:name w:val="List Continue"/>
    <w:basedOn w:val="1"/>
    <w:qFormat/>
    <w:uiPriority w:val="0"/>
    <w:pPr>
      <w:adjustRightInd w:val="0"/>
      <w:snapToGrid w:val="0"/>
      <w:spacing w:after="120" w:line="360" w:lineRule="auto"/>
      <w:ind w:left="420" w:leftChars="200"/>
    </w:pPr>
    <w:rPr>
      <w:sz w:val="24"/>
    </w:rPr>
  </w:style>
  <w:style w:type="paragraph" w:styleId="27">
    <w:name w:val="List Bullet 2"/>
    <w:basedOn w:val="1"/>
    <w:qFormat/>
    <w:uiPriority w:val="0"/>
    <w:pPr>
      <w:numPr>
        <w:ilvl w:val="0"/>
        <w:numId w:val="3"/>
      </w:numPr>
      <w:adjustRightInd w:val="0"/>
      <w:snapToGrid w:val="0"/>
      <w:spacing w:line="360" w:lineRule="auto"/>
    </w:pPr>
    <w:rPr>
      <w:sz w:val="24"/>
    </w:rPr>
  </w:style>
  <w:style w:type="paragraph" w:styleId="28">
    <w:name w:val="index 4"/>
    <w:basedOn w:val="1"/>
    <w:next w:val="1"/>
    <w:qFormat/>
    <w:uiPriority w:val="99"/>
    <w:pPr>
      <w:ind w:left="600" w:leftChars="600"/>
    </w:pPr>
  </w:style>
  <w:style w:type="paragraph" w:styleId="29">
    <w:name w:val="toc 5"/>
    <w:basedOn w:val="1"/>
    <w:next w:val="1"/>
    <w:qFormat/>
    <w:uiPriority w:val="0"/>
    <w:pPr>
      <w:ind w:left="1680" w:leftChars="800"/>
    </w:pPr>
  </w:style>
  <w:style w:type="paragraph" w:styleId="30">
    <w:name w:val="toc 3"/>
    <w:basedOn w:val="1"/>
    <w:next w:val="1"/>
    <w:qFormat/>
    <w:uiPriority w:val="39"/>
    <w:pPr>
      <w:ind w:left="840" w:leftChars="400"/>
    </w:pPr>
  </w:style>
  <w:style w:type="paragraph" w:styleId="31">
    <w:name w:val="Plain Text"/>
    <w:basedOn w:val="1"/>
    <w:link w:val="241"/>
    <w:qFormat/>
    <w:uiPriority w:val="0"/>
    <w:rPr>
      <w:rFonts w:ascii="宋体" w:hAnsi="Courier New"/>
      <w:sz w:val="21"/>
    </w:rPr>
  </w:style>
  <w:style w:type="paragraph" w:styleId="32">
    <w:name w:val="toc 8"/>
    <w:basedOn w:val="1"/>
    <w:next w:val="1"/>
    <w:qFormat/>
    <w:uiPriority w:val="0"/>
    <w:pPr>
      <w:ind w:left="2940" w:leftChars="1400"/>
    </w:pPr>
  </w:style>
  <w:style w:type="paragraph" w:styleId="33">
    <w:name w:val="Date"/>
    <w:basedOn w:val="1"/>
    <w:next w:val="1"/>
    <w:link w:val="75"/>
    <w:qFormat/>
    <w:uiPriority w:val="0"/>
  </w:style>
  <w:style w:type="paragraph" w:styleId="34">
    <w:name w:val="Body Text Indent 2"/>
    <w:basedOn w:val="1"/>
    <w:link w:val="76"/>
    <w:qFormat/>
    <w:uiPriority w:val="0"/>
    <w:pPr>
      <w:snapToGrid w:val="0"/>
      <w:spacing w:line="560" w:lineRule="atLeast"/>
      <w:ind w:firstLine="540"/>
    </w:pPr>
  </w:style>
  <w:style w:type="paragraph" w:styleId="35">
    <w:name w:val="Balloon Text"/>
    <w:basedOn w:val="1"/>
    <w:qFormat/>
    <w:uiPriority w:val="0"/>
    <w:rPr>
      <w:sz w:val="18"/>
    </w:rPr>
  </w:style>
  <w:style w:type="paragraph" w:styleId="36">
    <w:name w:val="footer"/>
    <w:basedOn w:val="1"/>
    <w:qFormat/>
    <w:uiPriority w:val="0"/>
    <w:pPr>
      <w:tabs>
        <w:tab w:val="center" w:pos="4153"/>
        <w:tab w:val="right" w:pos="8306"/>
      </w:tabs>
      <w:snapToGrid w:val="0"/>
      <w:jc w:val="left"/>
    </w:pPr>
    <w:rPr>
      <w:sz w:val="18"/>
    </w:rPr>
  </w:style>
  <w:style w:type="paragraph" w:styleId="37">
    <w:name w:val="header"/>
    <w:basedOn w:val="1"/>
    <w:qFormat/>
    <w:uiPriority w:val="0"/>
    <w:pPr>
      <w:pBdr>
        <w:bottom w:val="single" w:color="auto" w:sz="6" w:space="1"/>
      </w:pBdr>
      <w:tabs>
        <w:tab w:val="center" w:pos="4153"/>
        <w:tab w:val="right" w:pos="8306"/>
      </w:tabs>
      <w:snapToGrid w:val="0"/>
      <w:jc w:val="center"/>
    </w:pPr>
    <w:rPr>
      <w:sz w:val="18"/>
    </w:rPr>
  </w:style>
  <w:style w:type="paragraph" w:styleId="38">
    <w:name w:val="toc 1"/>
    <w:basedOn w:val="1"/>
    <w:next w:val="1"/>
    <w:qFormat/>
    <w:uiPriority w:val="0"/>
    <w:pPr>
      <w:spacing w:line="180" w:lineRule="auto"/>
      <w:jc w:val="center"/>
    </w:pPr>
    <w:rPr>
      <w:sz w:val="30"/>
    </w:rPr>
  </w:style>
  <w:style w:type="paragraph" w:styleId="39">
    <w:name w:val="List Continue 4"/>
    <w:basedOn w:val="1"/>
    <w:qFormat/>
    <w:uiPriority w:val="0"/>
    <w:pPr>
      <w:adjustRightInd w:val="0"/>
      <w:snapToGrid w:val="0"/>
      <w:spacing w:after="120" w:line="360" w:lineRule="auto"/>
      <w:ind w:left="1680" w:leftChars="800"/>
    </w:pPr>
    <w:rPr>
      <w:sz w:val="24"/>
    </w:rPr>
  </w:style>
  <w:style w:type="paragraph" w:styleId="40">
    <w:name w:val="toc 4"/>
    <w:basedOn w:val="1"/>
    <w:next w:val="1"/>
    <w:qFormat/>
    <w:uiPriority w:val="0"/>
    <w:pPr>
      <w:ind w:left="1260" w:leftChars="600"/>
    </w:pPr>
  </w:style>
  <w:style w:type="paragraph" w:styleId="41">
    <w:name w:val="footnote text"/>
    <w:basedOn w:val="1"/>
    <w:link w:val="77"/>
    <w:qFormat/>
    <w:uiPriority w:val="0"/>
    <w:pPr>
      <w:spacing w:line="360" w:lineRule="auto"/>
    </w:pPr>
    <w:rPr>
      <w:sz w:val="18"/>
    </w:rPr>
  </w:style>
  <w:style w:type="paragraph" w:styleId="42">
    <w:name w:val="toc 6"/>
    <w:basedOn w:val="1"/>
    <w:next w:val="1"/>
    <w:qFormat/>
    <w:uiPriority w:val="0"/>
    <w:pPr>
      <w:ind w:left="2100" w:leftChars="1000"/>
    </w:pPr>
  </w:style>
  <w:style w:type="paragraph" w:styleId="43">
    <w:name w:val="List 5"/>
    <w:basedOn w:val="1"/>
    <w:qFormat/>
    <w:uiPriority w:val="0"/>
    <w:pPr>
      <w:adjustRightInd w:val="0"/>
      <w:snapToGrid w:val="0"/>
      <w:spacing w:line="360" w:lineRule="auto"/>
      <w:ind w:left="100" w:leftChars="800" w:hanging="200" w:hangingChars="200"/>
    </w:pPr>
    <w:rPr>
      <w:sz w:val="24"/>
    </w:rPr>
  </w:style>
  <w:style w:type="paragraph" w:styleId="44">
    <w:name w:val="Body Text Indent 3"/>
    <w:basedOn w:val="1"/>
    <w:qFormat/>
    <w:uiPriority w:val="0"/>
    <w:pPr>
      <w:spacing w:line="360" w:lineRule="auto"/>
      <w:ind w:firstLine="632"/>
    </w:pPr>
    <w:rPr>
      <w:rFonts w:ascii="黑体" w:eastAsia="黑体"/>
    </w:rPr>
  </w:style>
  <w:style w:type="paragraph" w:styleId="45">
    <w:name w:val="table of figures"/>
    <w:basedOn w:val="1"/>
    <w:next w:val="1"/>
    <w:qFormat/>
    <w:uiPriority w:val="0"/>
    <w:pPr>
      <w:tabs>
        <w:tab w:val="right" w:leader="dot" w:pos="8640"/>
      </w:tabs>
      <w:spacing w:line="360" w:lineRule="auto"/>
      <w:ind w:left="400" w:hanging="400"/>
    </w:pPr>
    <w:rPr>
      <w:sz w:val="24"/>
    </w:rPr>
  </w:style>
  <w:style w:type="paragraph" w:styleId="46">
    <w:name w:val="toc 2"/>
    <w:basedOn w:val="1"/>
    <w:next w:val="1"/>
    <w:qFormat/>
    <w:uiPriority w:val="39"/>
    <w:pPr>
      <w:ind w:left="420" w:leftChars="200"/>
    </w:pPr>
  </w:style>
  <w:style w:type="paragraph" w:styleId="47">
    <w:name w:val="toc 9"/>
    <w:basedOn w:val="1"/>
    <w:next w:val="1"/>
    <w:qFormat/>
    <w:uiPriority w:val="0"/>
    <w:pPr>
      <w:ind w:left="3360" w:leftChars="1600"/>
    </w:pPr>
  </w:style>
  <w:style w:type="paragraph" w:styleId="48">
    <w:name w:val="Body Text 2"/>
    <w:basedOn w:val="1"/>
    <w:qFormat/>
    <w:uiPriority w:val="0"/>
    <w:pPr>
      <w:adjustRightInd w:val="0"/>
      <w:snapToGrid w:val="0"/>
      <w:spacing w:after="120" w:line="480" w:lineRule="auto"/>
    </w:pPr>
    <w:rPr>
      <w:sz w:val="24"/>
    </w:rPr>
  </w:style>
  <w:style w:type="paragraph" w:styleId="49">
    <w:name w:val="List 4"/>
    <w:basedOn w:val="1"/>
    <w:qFormat/>
    <w:uiPriority w:val="0"/>
    <w:pPr>
      <w:adjustRightInd w:val="0"/>
      <w:snapToGrid w:val="0"/>
      <w:spacing w:line="360" w:lineRule="auto"/>
      <w:ind w:left="100" w:leftChars="600" w:hanging="200" w:hangingChars="200"/>
    </w:pPr>
    <w:rPr>
      <w:sz w:val="24"/>
    </w:rPr>
  </w:style>
  <w:style w:type="paragraph" w:styleId="50">
    <w:name w:val="List Continue 2"/>
    <w:basedOn w:val="1"/>
    <w:qFormat/>
    <w:uiPriority w:val="0"/>
    <w:pPr>
      <w:adjustRightInd w:val="0"/>
      <w:snapToGrid w:val="0"/>
      <w:spacing w:after="120" w:line="360" w:lineRule="auto"/>
      <w:ind w:left="840" w:leftChars="400"/>
    </w:pPr>
    <w:rPr>
      <w:sz w:val="24"/>
    </w:rPr>
  </w:style>
  <w:style w:type="paragraph" w:styleId="51">
    <w:name w:val="Normal (Web)"/>
    <w:basedOn w:val="1"/>
    <w:qFormat/>
    <w:uiPriority w:val="0"/>
    <w:pPr>
      <w:widowControl/>
      <w:spacing w:before="100" w:beforeAutospacing="1" w:after="100" w:afterAutospacing="1"/>
      <w:jc w:val="left"/>
    </w:pPr>
    <w:rPr>
      <w:rFonts w:ascii="宋体" w:hAnsi="宋体"/>
      <w:kern w:val="0"/>
      <w:sz w:val="24"/>
    </w:rPr>
  </w:style>
  <w:style w:type="paragraph" w:styleId="52">
    <w:name w:val="List Continue 3"/>
    <w:basedOn w:val="1"/>
    <w:qFormat/>
    <w:uiPriority w:val="0"/>
    <w:pPr>
      <w:adjustRightInd w:val="0"/>
      <w:snapToGrid w:val="0"/>
      <w:spacing w:after="120" w:line="360" w:lineRule="auto"/>
      <w:ind w:left="1260" w:leftChars="600"/>
    </w:pPr>
    <w:rPr>
      <w:sz w:val="24"/>
    </w:rPr>
  </w:style>
  <w:style w:type="paragraph" w:styleId="53">
    <w:name w:val="index 1"/>
    <w:basedOn w:val="1"/>
    <w:next w:val="1"/>
    <w:qFormat/>
    <w:uiPriority w:val="0"/>
    <w:pPr>
      <w:adjustRightInd w:val="0"/>
      <w:spacing w:line="240" w:lineRule="atLeast"/>
      <w:textAlignment w:val="baseline"/>
    </w:pPr>
    <w:rPr>
      <w:rFonts w:ascii="宋体"/>
      <w:kern w:val="0"/>
      <w:sz w:val="21"/>
    </w:rPr>
  </w:style>
  <w:style w:type="paragraph" w:styleId="54">
    <w:name w:val="Title"/>
    <w:basedOn w:val="1"/>
    <w:qFormat/>
    <w:uiPriority w:val="0"/>
    <w:pPr>
      <w:widowControl/>
      <w:spacing w:after="240" w:line="360" w:lineRule="auto"/>
      <w:jc w:val="center"/>
    </w:pPr>
    <w:rPr>
      <w:rFonts w:ascii="Arial" w:hAnsi="Arial"/>
      <w:b/>
      <w:smallCaps/>
      <w:kern w:val="28"/>
      <w:sz w:val="36"/>
      <w:lang w:eastAsia="en-US"/>
    </w:rPr>
  </w:style>
  <w:style w:type="paragraph" w:styleId="55">
    <w:name w:val="annotation subject"/>
    <w:basedOn w:val="20"/>
    <w:next w:val="20"/>
    <w:link w:val="78"/>
    <w:qFormat/>
    <w:uiPriority w:val="0"/>
    <w:pPr>
      <w:adjustRightInd/>
      <w:spacing w:line="240" w:lineRule="auto"/>
      <w:textAlignment w:val="auto"/>
    </w:pPr>
  </w:style>
  <w:style w:type="paragraph" w:styleId="56">
    <w:name w:val="Body Text First Indent"/>
    <w:basedOn w:val="1"/>
    <w:qFormat/>
    <w:uiPriority w:val="0"/>
    <w:pPr>
      <w:spacing w:line="360" w:lineRule="auto"/>
      <w:ind w:firstLine="420"/>
    </w:pPr>
    <w:rPr>
      <w:rFonts w:ascii="宋体" w:hAnsi="宋体"/>
      <w:sz w:val="24"/>
    </w:rPr>
  </w:style>
  <w:style w:type="paragraph" w:styleId="57">
    <w:name w:val="Body Text First Indent 2"/>
    <w:basedOn w:val="23"/>
    <w:link w:val="79"/>
    <w:qFormat/>
    <w:uiPriority w:val="0"/>
    <w:pPr>
      <w:spacing w:after="120" w:line="240" w:lineRule="auto"/>
      <w:ind w:left="420" w:leftChars="200" w:firstLine="420" w:firstLineChars="200"/>
    </w:pPr>
  </w:style>
  <w:style w:type="table" w:styleId="59">
    <w:name w:val="Table Grid"/>
    <w:basedOn w:val="58"/>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61">
    <w:name w:val="Strong"/>
    <w:qFormat/>
    <w:uiPriority w:val="22"/>
    <w:rPr>
      <w:b/>
    </w:rPr>
  </w:style>
  <w:style w:type="character" w:styleId="62">
    <w:name w:val="page number"/>
    <w:qFormat/>
    <w:uiPriority w:val="0"/>
  </w:style>
  <w:style w:type="character" w:styleId="63">
    <w:name w:val="FollowedHyperlink"/>
    <w:qFormat/>
    <w:uiPriority w:val="0"/>
    <w:rPr>
      <w:color w:val="800080"/>
      <w:u w:val="single"/>
    </w:rPr>
  </w:style>
  <w:style w:type="character" w:styleId="64">
    <w:name w:val="Emphasis"/>
    <w:basedOn w:val="60"/>
    <w:qFormat/>
    <w:uiPriority w:val="0"/>
    <w:rPr>
      <w:i/>
    </w:rPr>
  </w:style>
  <w:style w:type="character" w:styleId="65">
    <w:name w:val="Hyperlink"/>
    <w:qFormat/>
    <w:uiPriority w:val="99"/>
    <w:rPr>
      <w:color w:val="0000FF"/>
      <w:u w:val="single"/>
    </w:rPr>
  </w:style>
  <w:style w:type="character" w:styleId="66">
    <w:name w:val="annotation reference"/>
    <w:qFormat/>
    <w:uiPriority w:val="0"/>
    <w:rPr>
      <w:sz w:val="21"/>
      <w:szCs w:val="21"/>
    </w:rPr>
  </w:style>
  <w:style w:type="character" w:styleId="67">
    <w:name w:val="footnote reference"/>
    <w:qFormat/>
    <w:uiPriority w:val="0"/>
    <w:rPr>
      <w:position w:val="6"/>
      <w:sz w:val="14"/>
      <w:vertAlign w:val="superscript"/>
    </w:rPr>
  </w:style>
  <w:style w:type="paragraph" w:customStyle="1" w:styleId="68">
    <w:name w:val="Default"/>
    <w:qFormat/>
    <w:uiPriority w:val="0"/>
    <w:pPr>
      <w:widowControl w:val="0"/>
      <w:autoSpaceDE w:val="0"/>
      <w:autoSpaceDN w:val="0"/>
      <w:adjustRightInd w:val="0"/>
    </w:pPr>
    <w:rPr>
      <w:rFonts w:ascii="宋体" w:hAnsi="Times New Roman" w:eastAsia="宋体" w:cs="Times New Roman"/>
      <w:color w:val="000000"/>
      <w:sz w:val="24"/>
      <w:lang w:val="en-US" w:eastAsia="zh-CN" w:bidi="ar-SA"/>
    </w:rPr>
  </w:style>
  <w:style w:type="paragraph" w:customStyle="1" w:styleId="69">
    <w:name w:val="标题 5（有编号）（绿盟科技）"/>
    <w:basedOn w:val="1"/>
    <w:next w:val="70"/>
    <w:qFormat/>
    <w:uiPriority w:val="0"/>
    <w:pPr>
      <w:keepNext/>
      <w:keepLines/>
      <w:numPr>
        <w:ilvl w:val="4"/>
        <w:numId w:val="4"/>
      </w:numPr>
      <w:spacing w:before="280" w:after="156" w:line="377" w:lineRule="auto"/>
      <w:outlineLvl w:val="4"/>
    </w:pPr>
    <w:rPr>
      <w:rFonts w:ascii="Arial" w:hAnsi="Arial" w:eastAsia="黑体"/>
      <w:b/>
      <w:sz w:val="24"/>
      <w:szCs w:val="28"/>
    </w:rPr>
  </w:style>
  <w:style w:type="paragraph" w:customStyle="1" w:styleId="70">
    <w:name w:val="正文（绿盟科技）"/>
    <w:qFormat/>
    <w:uiPriority w:val="0"/>
    <w:pPr>
      <w:spacing w:line="300" w:lineRule="auto"/>
    </w:pPr>
    <w:rPr>
      <w:rFonts w:ascii="Arial" w:hAnsi="Arial" w:eastAsia="宋体" w:cs="Times New Roman"/>
      <w:sz w:val="21"/>
      <w:szCs w:val="21"/>
      <w:lang w:val="en-US" w:eastAsia="zh-CN" w:bidi="ar-SA"/>
    </w:rPr>
  </w:style>
  <w:style w:type="character" w:customStyle="1" w:styleId="71">
    <w:name w:val="标题 2 字符1"/>
    <w:link w:val="4"/>
    <w:qFormat/>
    <w:uiPriority w:val="0"/>
    <w:rPr>
      <w:rFonts w:ascii="Arial" w:hAnsi="Arial" w:eastAsia="黑体"/>
      <w:b/>
      <w:kern w:val="2"/>
      <w:sz w:val="32"/>
    </w:rPr>
  </w:style>
  <w:style w:type="character" w:customStyle="1" w:styleId="72">
    <w:name w:val="标题 3 字符"/>
    <w:link w:val="5"/>
    <w:qFormat/>
    <w:uiPriority w:val="0"/>
    <w:rPr>
      <w:rFonts w:eastAsia="宋体"/>
      <w:b/>
      <w:kern w:val="2"/>
      <w:sz w:val="32"/>
      <w:lang w:val="en-US" w:eastAsia="zh-CN"/>
    </w:rPr>
  </w:style>
  <w:style w:type="character" w:customStyle="1" w:styleId="73">
    <w:name w:val="批注文字 字符"/>
    <w:link w:val="20"/>
    <w:qFormat/>
    <w:uiPriority w:val="0"/>
    <w:rPr>
      <w:sz w:val="24"/>
    </w:rPr>
  </w:style>
  <w:style w:type="character" w:customStyle="1" w:styleId="74">
    <w:name w:val="正文文本缩进 字符"/>
    <w:link w:val="23"/>
    <w:qFormat/>
    <w:uiPriority w:val="0"/>
    <w:rPr>
      <w:kern w:val="2"/>
      <w:sz w:val="44"/>
    </w:rPr>
  </w:style>
  <w:style w:type="character" w:customStyle="1" w:styleId="75">
    <w:name w:val="日期 字符"/>
    <w:link w:val="33"/>
    <w:qFormat/>
    <w:uiPriority w:val="0"/>
    <w:rPr>
      <w:kern w:val="2"/>
      <w:sz w:val="28"/>
    </w:rPr>
  </w:style>
  <w:style w:type="character" w:customStyle="1" w:styleId="76">
    <w:name w:val="正文文本缩进 2 字符1"/>
    <w:link w:val="34"/>
    <w:qFormat/>
    <w:uiPriority w:val="0"/>
    <w:rPr>
      <w:kern w:val="2"/>
      <w:sz w:val="28"/>
    </w:rPr>
  </w:style>
  <w:style w:type="character" w:customStyle="1" w:styleId="77">
    <w:name w:val="脚注文本 字符"/>
    <w:link w:val="41"/>
    <w:qFormat/>
    <w:uiPriority w:val="0"/>
    <w:rPr>
      <w:kern w:val="2"/>
      <w:sz w:val="18"/>
    </w:rPr>
  </w:style>
  <w:style w:type="character" w:customStyle="1" w:styleId="78">
    <w:name w:val="批注主题 字符"/>
    <w:link w:val="55"/>
    <w:qFormat/>
    <w:uiPriority w:val="0"/>
  </w:style>
  <w:style w:type="character" w:customStyle="1" w:styleId="79">
    <w:name w:val="正文文本首行缩进 2 字符"/>
    <w:link w:val="57"/>
    <w:qFormat/>
    <w:uiPriority w:val="0"/>
  </w:style>
  <w:style w:type="character" w:customStyle="1" w:styleId="80">
    <w:name w:val="v151"/>
    <w:qFormat/>
    <w:uiPriority w:val="0"/>
    <w:rPr>
      <w:sz w:val="18"/>
    </w:rPr>
  </w:style>
  <w:style w:type="character" w:customStyle="1" w:styleId="81">
    <w:name w:val="Char Char7"/>
    <w:qFormat/>
    <w:uiPriority w:val="0"/>
    <w:rPr>
      <w:rFonts w:ascii="宋体" w:hAnsi="宋体" w:eastAsia="宋体"/>
      <w:kern w:val="2"/>
      <w:sz w:val="28"/>
    </w:rPr>
  </w:style>
  <w:style w:type="character" w:customStyle="1" w:styleId="82">
    <w:name w:val="小 Char"/>
    <w:qFormat/>
    <w:uiPriority w:val="0"/>
    <w:rPr>
      <w:rFonts w:ascii="宋体" w:hAnsi="Courier New" w:eastAsia="宋体"/>
      <w:kern w:val="2"/>
      <w:sz w:val="21"/>
      <w:lang w:val="en-US" w:eastAsia="zh-CN" w:bidi="ar-SA"/>
    </w:rPr>
  </w:style>
  <w:style w:type="character" w:customStyle="1" w:styleId="83">
    <w:name w:val="文字 Char"/>
    <w:link w:val="84"/>
    <w:qFormat/>
    <w:uiPriority w:val="0"/>
    <w:rPr>
      <w:rFonts w:ascii="宋体"/>
      <w:kern w:val="2"/>
      <w:sz w:val="28"/>
    </w:rPr>
  </w:style>
  <w:style w:type="paragraph" w:customStyle="1" w:styleId="84">
    <w:name w:val="文字"/>
    <w:basedOn w:val="1"/>
    <w:link w:val="83"/>
    <w:qFormat/>
    <w:uiPriority w:val="0"/>
    <w:pPr>
      <w:tabs>
        <w:tab w:val="left" w:pos="8520"/>
      </w:tabs>
      <w:spacing w:line="312" w:lineRule="auto"/>
      <w:ind w:right="-210" w:firstLine="556"/>
    </w:pPr>
    <w:rPr>
      <w:rFonts w:ascii="宋体"/>
    </w:rPr>
  </w:style>
  <w:style w:type="character" w:customStyle="1" w:styleId="85">
    <w:name w:val="content-white1"/>
    <w:qFormat/>
    <w:uiPriority w:val="0"/>
    <w:rPr>
      <w:rFonts w:ascii="_x000B__x000C_" w:hAnsi="_x000B__x000C_"/>
      <w:color w:val="auto"/>
      <w:sz w:val="18"/>
      <w:u w:val="none"/>
    </w:rPr>
  </w:style>
  <w:style w:type="character" w:customStyle="1" w:styleId="86">
    <w:name w:val="正文 + 三号 Char"/>
    <w:qFormat/>
    <w:uiPriority w:val="0"/>
    <w:rPr>
      <w:rFonts w:eastAsia="宋体"/>
      <w:kern w:val="2"/>
      <w:sz w:val="21"/>
      <w:lang w:val="en-US" w:eastAsia="zh-CN"/>
    </w:rPr>
  </w:style>
  <w:style w:type="character" w:customStyle="1" w:styleId="87">
    <w:name w:val="H2 Char"/>
    <w:qFormat/>
    <w:uiPriority w:val="0"/>
    <w:rPr>
      <w:rFonts w:ascii="Arial" w:hAnsi="Arial" w:eastAsia="宋体"/>
      <w:kern w:val="2"/>
      <w:sz w:val="28"/>
      <w:lang w:val="en-US" w:eastAsia="zh-CN"/>
    </w:rPr>
  </w:style>
  <w:style w:type="character" w:customStyle="1" w:styleId="88">
    <w:name w:val="Char Char3"/>
    <w:qFormat/>
    <w:uiPriority w:val="0"/>
    <w:rPr>
      <w:rFonts w:eastAsia="宋体"/>
      <w:kern w:val="2"/>
      <w:sz w:val="18"/>
      <w:lang w:val="en-US" w:eastAsia="zh-CN"/>
    </w:rPr>
  </w:style>
  <w:style w:type="character" w:customStyle="1" w:styleId="89">
    <w:name w:val="Char Char4"/>
    <w:qFormat/>
    <w:uiPriority w:val="0"/>
    <w:rPr>
      <w:rFonts w:eastAsia="宋体"/>
      <w:b/>
      <w:kern w:val="2"/>
      <w:sz w:val="21"/>
      <w:lang w:val="en-US" w:eastAsia="zh-CN"/>
    </w:rPr>
  </w:style>
  <w:style w:type="character" w:customStyle="1" w:styleId="90">
    <w:name w:val="Table Text Char1 Char"/>
    <w:qFormat/>
    <w:uiPriority w:val="0"/>
    <w:rPr>
      <w:rFonts w:ascii="Arial" w:hAnsi="Arial"/>
      <w:kern w:val="2"/>
      <w:sz w:val="18"/>
      <w:lang w:val="en-US" w:eastAsia="zh-CN" w:bidi="ar-SA"/>
    </w:rPr>
  </w:style>
  <w:style w:type="character" w:customStyle="1" w:styleId="91">
    <w:name w:val="Char Char5"/>
    <w:qFormat/>
    <w:uiPriority w:val="0"/>
    <w:rPr>
      <w:rFonts w:ascii="Arial" w:hAnsi="Arial" w:eastAsia="宋体"/>
      <w:b/>
      <w:smallCaps/>
      <w:kern w:val="28"/>
      <w:sz w:val="36"/>
      <w:lang w:val="en-US" w:eastAsia="en-US"/>
    </w:rPr>
  </w:style>
  <w:style w:type="character" w:customStyle="1" w:styleId="92">
    <w:name w:val="Char Char"/>
    <w:qFormat/>
    <w:uiPriority w:val="0"/>
    <w:rPr>
      <w:rFonts w:ascii="宋体" w:hAnsi="宋体" w:eastAsia="宋体"/>
      <w:kern w:val="2"/>
      <w:sz w:val="24"/>
      <w:lang w:val="en-US" w:eastAsia="zh-CN" w:bidi="ar-SA"/>
    </w:rPr>
  </w:style>
  <w:style w:type="character" w:customStyle="1" w:styleId="93">
    <w:name w:val="Table Heading Char Char"/>
    <w:qFormat/>
    <w:uiPriority w:val="0"/>
    <w:rPr>
      <w:rFonts w:ascii="Arial" w:hAnsi="Arial" w:eastAsia="黑体"/>
      <w:kern w:val="2"/>
      <w:sz w:val="18"/>
      <w:lang w:val="en-US" w:eastAsia="zh-CN"/>
    </w:rPr>
  </w:style>
  <w:style w:type="character" w:customStyle="1" w:styleId="94">
    <w:name w:val="Table Text Char Char Char Char"/>
    <w:link w:val="95"/>
    <w:qFormat/>
    <w:uiPriority w:val="0"/>
    <w:rPr>
      <w:rFonts w:ascii="Arial" w:hAnsi="Arial"/>
      <w:kern w:val="2"/>
      <w:sz w:val="18"/>
      <w:lang w:val="en-US" w:eastAsia="zh-CN" w:bidi="ar-SA"/>
    </w:rPr>
  </w:style>
  <w:style w:type="paragraph" w:customStyle="1" w:styleId="95">
    <w:name w:val="Table Text Char Char Char"/>
    <w:link w:val="94"/>
    <w:qFormat/>
    <w:uiPriority w:val="0"/>
    <w:pPr>
      <w:snapToGrid w:val="0"/>
      <w:spacing w:before="80" w:after="80"/>
    </w:pPr>
    <w:rPr>
      <w:rFonts w:ascii="Arial" w:hAnsi="Arial" w:eastAsia="宋体" w:cs="Times New Roman"/>
      <w:kern w:val="2"/>
      <w:sz w:val="18"/>
      <w:lang w:val="en-US" w:eastAsia="zh-CN" w:bidi="ar-SA"/>
    </w:rPr>
  </w:style>
  <w:style w:type="character" w:customStyle="1" w:styleId="96">
    <w:name w:val="Table Text Char"/>
    <w:link w:val="97"/>
    <w:qFormat/>
    <w:uiPriority w:val="0"/>
    <w:rPr>
      <w:rFonts w:ascii="Arial" w:hAnsi="Arial"/>
      <w:kern w:val="2"/>
      <w:sz w:val="18"/>
      <w:lang w:val="en-US" w:eastAsia="zh-CN" w:bidi="ar-SA"/>
    </w:rPr>
  </w:style>
  <w:style w:type="paragraph" w:customStyle="1" w:styleId="97">
    <w:name w:val="Table Text"/>
    <w:link w:val="96"/>
    <w:qFormat/>
    <w:uiPriority w:val="0"/>
    <w:pPr>
      <w:snapToGrid w:val="0"/>
      <w:spacing w:before="80" w:after="80"/>
    </w:pPr>
    <w:rPr>
      <w:rFonts w:ascii="Arial" w:hAnsi="Arial" w:eastAsia="宋体" w:cs="Times New Roman"/>
      <w:kern w:val="2"/>
      <w:sz w:val="18"/>
      <w:lang w:val="en-US" w:eastAsia="zh-CN" w:bidi="ar-SA"/>
    </w:rPr>
  </w:style>
  <w:style w:type="character" w:customStyle="1" w:styleId="98">
    <w:name w:val="Char Char2"/>
    <w:qFormat/>
    <w:uiPriority w:val="0"/>
    <w:rPr>
      <w:rFonts w:eastAsia="宋体"/>
      <w:kern w:val="2"/>
      <w:sz w:val="18"/>
      <w:lang w:val="en-US" w:eastAsia="zh-CN"/>
    </w:rPr>
  </w:style>
  <w:style w:type="character" w:customStyle="1" w:styleId="99">
    <w:name w:val="标书正文:  0.74 厘米 Char1"/>
    <w:qFormat/>
    <w:uiPriority w:val="0"/>
    <w:rPr>
      <w:rFonts w:eastAsia="宋体"/>
      <w:kern w:val="2"/>
      <w:sz w:val="24"/>
      <w:lang w:val="en-US" w:eastAsia="zh-CN"/>
    </w:rPr>
  </w:style>
  <w:style w:type="character" w:customStyle="1" w:styleId="100">
    <w:name w:val="样式 宋体"/>
    <w:qFormat/>
    <w:uiPriority w:val="0"/>
    <w:rPr>
      <w:rFonts w:ascii="宋体" w:hAnsi="宋体" w:eastAsia="宋体"/>
      <w:sz w:val="28"/>
    </w:rPr>
  </w:style>
  <w:style w:type="character" w:customStyle="1" w:styleId="101">
    <w:name w:val="未命名11"/>
    <w:qFormat/>
    <w:uiPriority w:val="0"/>
    <w:rPr>
      <w:color w:val="77FFFF"/>
      <w:sz w:val="24"/>
    </w:rPr>
  </w:style>
  <w:style w:type="character" w:customStyle="1" w:styleId="102">
    <w:name w:val="crowed11"/>
    <w:qFormat/>
    <w:uiPriority w:val="0"/>
    <w:rPr>
      <w:rFonts w:hint="default" w:ascii="_x000B__x000C_" w:hAnsi="_x000B__x000C_"/>
      <w:sz w:val="24"/>
    </w:rPr>
  </w:style>
  <w:style w:type="character" w:customStyle="1" w:styleId="103">
    <w:name w:val="Char Char6"/>
    <w:qFormat/>
    <w:uiPriority w:val="0"/>
    <w:rPr>
      <w:rFonts w:ascii="仿宋_GB2312" w:eastAsia="仿宋_GB2312"/>
      <w:kern w:val="2"/>
      <w:sz w:val="32"/>
    </w:rPr>
  </w:style>
  <w:style w:type="character" w:customStyle="1" w:styleId="104">
    <w:name w:val="title_emph1"/>
    <w:qFormat/>
    <w:uiPriority w:val="0"/>
    <w:rPr>
      <w:rFonts w:hint="default" w:ascii="Arial" w:hAnsi="Arial"/>
      <w:b/>
      <w:sz w:val="20"/>
    </w:rPr>
  </w:style>
  <w:style w:type="character" w:customStyle="1" w:styleId="105">
    <w:name w:val="font1"/>
    <w:qFormat/>
    <w:uiPriority w:val="0"/>
    <w:rPr>
      <w:color w:val="000000"/>
      <w:sz w:val="18"/>
    </w:rPr>
  </w:style>
  <w:style w:type="character" w:customStyle="1" w:styleId="106">
    <w:name w:val="Char Char11"/>
    <w:qFormat/>
    <w:uiPriority w:val="0"/>
    <w:rPr>
      <w:rFonts w:ascii="宋体"/>
      <w:kern w:val="2"/>
      <w:sz w:val="28"/>
    </w:rPr>
  </w:style>
  <w:style w:type="character" w:customStyle="1" w:styleId="107">
    <w:name w:val="top-det1"/>
    <w:qFormat/>
    <w:uiPriority w:val="0"/>
    <w:rPr>
      <w:b/>
      <w:color w:val="000000"/>
    </w:rPr>
  </w:style>
  <w:style w:type="paragraph" w:customStyle="1" w:styleId="108">
    <w:name w:val="二级列表"/>
    <w:basedOn w:val="109"/>
    <w:next w:val="109"/>
    <w:qFormat/>
    <w:uiPriority w:val="0"/>
    <w:pPr>
      <w:tabs>
        <w:tab w:val="left" w:pos="2120"/>
      </w:tabs>
      <w:ind w:firstLine="0" w:firstLineChars="0"/>
    </w:pPr>
    <w:rPr>
      <w:b/>
    </w:rPr>
  </w:style>
  <w:style w:type="paragraph" w:customStyle="1" w:styleId="109">
    <w:name w:val="段落正文"/>
    <w:basedOn w:val="1"/>
    <w:qFormat/>
    <w:uiPriority w:val="0"/>
    <w:pPr>
      <w:spacing w:before="156" w:beforeLines="50" w:line="360" w:lineRule="auto"/>
      <w:ind w:firstLine="200" w:firstLineChars="200"/>
    </w:pPr>
    <w:rPr>
      <w:spacing w:val="2"/>
      <w:sz w:val="24"/>
    </w:rPr>
  </w:style>
  <w:style w:type="paragraph" w:customStyle="1" w:styleId="110">
    <w:name w:val="标题3——2"/>
    <w:basedOn w:val="5"/>
    <w:next w:val="56"/>
    <w:qFormat/>
    <w:uiPriority w:val="0"/>
    <w:pPr>
      <w:tabs>
        <w:tab w:val="left" w:pos="1280"/>
        <w:tab w:val="right" w:leader="dot" w:pos="8777"/>
      </w:tabs>
      <w:spacing w:before="312" w:beforeLines="100" w:after="0" w:line="240" w:lineRule="auto"/>
      <w:ind w:left="851" w:hanging="851"/>
      <w:outlineLvl w:val="9"/>
    </w:pPr>
    <w:rPr>
      <w:rFonts w:ascii="黑体" w:hAnsi="宋体" w:eastAsia="黑体"/>
      <w:sz w:val="30"/>
    </w:rPr>
  </w:style>
  <w:style w:type="paragraph" w:customStyle="1" w:styleId="111">
    <w:name w:val="文本1"/>
    <w:basedOn w:val="1"/>
    <w:qFormat/>
    <w:uiPriority w:val="0"/>
    <w:pPr>
      <w:adjustRightInd w:val="0"/>
      <w:spacing w:line="312" w:lineRule="atLeast"/>
      <w:jc w:val="center"/>
      <w:textAlignment w:val="baseline"/>
    </w:pPr>
    <w:rPr>
      <w:kern w:val="0"/>
      <w:sz w:val="18"/>
    </w:rPr>
  </w:style>
  <w:style w:type="paragraph" w:customStyle="1" w:styleId="112">
    <w:name w:val="Title - Revision"/>
    <w:basedOn w:val="54"/>
    <w:qFormat/>
    <w:uiPriority w:val="0"/>
    <w:pPr>
      <w:spacing w:before="720"/>
    </w:pPr>
  </w:style>
  <w:style w:type="paragraph" w:customStyle="1" w:styleId="113">
    <w:name w:val="Table Text Char1"/>
    <w:qFormat/>
    <w:uiPriority w:val="0"/>
    <w:pPr>
      <w:snapToGrid w:val="0"/>
      <w:spacing w:before="80" w:after="80"/>
    </w:pPr>
    <w:rPr>
      <w:rFonts w:ascii="Arial" w:hAnsi="Arial" w:eastAsia="宋体" w:cs="Times New Roman"/>
      <w:kern w:val="2"/>
      <w:sz w:val="18"/>
      <w:lang w:val="en-US" w:eastAsia="zh-CN" w:bidi="ar-SA"/>
    </w:rPr>
  </w:style>
  <w:style w:type="paragraph" w:customStyle="1" w:styleId="114">
    <w:name w:val="项目"/>
    <w:basedOn w:val="1"/>
    <w:qFormat/>
    <w:uiPriority w:val="0"/>
    <w:pPr>
      <w:tabs>
        <w:tab w:val="left" w:pos="1280"/>
      </w:tabs>
      <w:spacing w:before="120" w:after="120" w:line="360" w:lineRule="auto"/>
      <w:ind w:left="-7" w:firstLine="567"/>
      <w:jc w:val="left"/>
      <w:textAlignment w:val="baseline"/>
    </w:pPr>
    <w:rPr>
      <w:rFonts w:ascii="宋体"/>
      <w:kern w:val="0"/>
      <w:sz w:val="24"/>
    </w:rPr>
  </w:style>
  <w:style w:type="paragraph" w:customStyle="1" w:styleId="115">
    <w:name w:val="二级条标题"/>
    <w:basedOn w:val="116"/>
    <w:next w:val="118"/>
    <w:qFormat/>
    <w:uiPriority w:val="0"/>
    <w:pPr>
      <w:ind w:left="840"/>
      <w:outlineLvl w:val="3"/>
    </w:pPr>
  </w:style>
  <w:style w:type="paragraph" w:customStyle="1" w:styleId="116">
    <w:name w:val="一级条标题"/>
    <w:basedOn w:val="117"/>
    <w:next w:val="118"/>
    <w:qFormat/>
    <w:uiPriority w:val="0"/>
    <w:pPr>
      <w:numPr>
        <w:numId w:val="0"/>
      </w:numPr>
      <w:spacing w:before="0" w:beforeLines="0" w:after="0" w:afterLines="0"/>
      <w:ind w:left="525"/>
      <w:outlineLvl w:val="2"/>
    </w:pPr>
    <w:rPr>
      <w:sz w:val="21"/>
    </w:rPr>
  </w:style>
  <w:style w:type="paragraph" w:customStyle="1" w:styleId="117">
    <w:name w:val="章标题"/>
    <w:next w:val="1"/>
    <w:qFormat/>
    <w:uiPriority w:val="0"/>
    <w:pPr>
      <w:numPr>
        <w:ilvl w:val="1"/>
        <w:numId w:val="5"/>
      </w:numPr>
      <w:spacing w:before="156" w:beforeLines="50" w:after="156" w:afterLines="50"/>
      <w:ind w:left="0"/>
      <w:jc w:val="both"/>
      <w:outlineLvl w:val="1"/>
    </w:pPr>
    <w:rPr>
      <w:rFonts w:ascii="黑体" w:hAnsi="Times New Roman" w:eastAsia="黑体" w:cs="Times New Roman"/>
      <w:sz w:val="24"/>
      <w:lang w:val="en-US" w:eastAsia="zh-CN" w:bidi="ar-SA"/>
    </w:rPr>
  </w:style>
  <w:style w:type="paragraph" w:customStyle="1" w:styleId="118">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19">
    <w:name w:val="1.正文"/>
    <w:basedOn w:val="1"/>
    <w:qFormat/>
    <w:uiPriority w:val="0"/>
    <w:pPr>
      <w:spacing w:line="360" w:lineRule="auto"/>
      <w:ind w:left="540" w:leftChars="225" w:firstLine="540" w:firstLineChars="225"/>
    </w:pPr>
    <w:rPr>
      <w:sz w:val="24"/>
    </w:rPr>
  </w:style>
  <w:style w:type="paragraph" w:customStyle="1" w:styleId="120">
    <w:name w:val="tabletext"/>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21">
    <w:name w:val="编号正文"/>
    <w:basedOn w:val="122"/>
    <w:qFormat/>
    <w:uiPriority w:val="0"/>
    <w:pPr>
      <w:snapToGrid/>
      <w:spacing w:line="360" w:lineRule="auto"/>
      <w:ind w:left="1407" w:hanging="1047"/>
      <w:jc w:val="left"/>
    </w:pPr>
    <w:rPr>
      <w:rFonts w:eastAsia="仿宋_GB2312"/>
    </w:rPr>
  </w:style>
  <w:style w:type="paragraph" w:customStyle="1" w:styleId="122">
    <w:name w:val="文档正文"/>
    <w:basedOn w:val="1"/>
    <w:qFormat/>
    <w:uiPriority w:val="0"/>
    <w:pPr>
      <w:adjustRightInd w:val="0"/>
      <w:snapToGrid w:val="0"/>
      <w:spacing w:line="440" w:lineRule="exact"/>
      <w:ind w:firstLine="567"/>
      <w:textAlignment w:val="baseline"/>
    </w:pPr>
    <w:rPr>
      <w:rFonts w:ascii="Arial Narrow" w:hAnsi="Arial Narrow"/>
      <w:kern w:val="0"/>
      <w:sz w:val="24"/>
    </w:rPr>
  </w:style>
  <w:style w:type="paragraph" w:customStyle="1" w:styleId="123">
    <w:name w:val="样式3"/>
    <w:basedOn w:val="3"/>
    <w:next w:val="3"/>
    <w:qFormat/>
    <w:uiPriority w:val="0"/>
    <w:pPr>
      <w:keepLines/>
      <w:adjustRightInd w:val="0"/>
      <w:spacing w:before="340" w:after="330" w:line="576" w:lineRule="auto"/>
    </w:pPr>
    <w:rPr>
      <w:rFonts w:ascii="Times New Roman" w:eastAsia="黑体"/>
      <w:b/>
      <w:kern w:val="44"/>
      <w:sz w:val="44"/>
    </w:rPr>
  </w:style>
  <w:style w:type="paragraph" w:customStyle="1" w:styleId="124">
    <w:name w:val="Item Step in Table"/>
    <w:qFormat/>
    <w:uiPriority w:val="0"/>
    <w:pPr>
      <w:numPr>
        <w:ilvl w:val="0"/>
        <w:numId w:val="5"/>
      </w:numPr>
      <w:tabs>
        <w:tab w:val="left" w:pos="397"/>
      </w:tabs>
      <w:spacing w:before="40" w:after="40"/>
      <w:jc w:val="both"/>
    </w:pPr>
    <w:rPr>
      <w:rFonts w:ascii="Arial" w:hAnsi="Arial" w:eastAsia="宋体" w:cs="Times New Roman"/>
      <w:sz w:val="18"/>
      <w:lang w:val="en-US" w:eastAsia="zh-CN" w:bidi="ar-SA"/>
    </w:rPr>
  </w:style>
  <w:style w:type="paragraph" w:customStyle="1" w:styleId="125">
    <w:name w:val="默认段落字体 Para Char Char Char Char Char Char Char Char Char1 Char Char Char Char"/>
    <w:basedOn w:val="1"/>
    <w:qFormat/>
    <w:uiPriority w:val="0"/>
    <w:rPr>
      <w:rFonts w:ascii="Tahoma" w:hAnsi="Tahoma"/>
      <w:sz w:val="24"/>
    </w:rPr>
  </w:style>
  <w:style w:type="paragraph" w:customStyle="1" w:styleId="126">
    <w:name w:val="AA Numbering"/>
    <w:basedOn w:val="1"/>
    <w:qFormat/>
    <w:uiPriority w:val="0"/>
    <w:pPr>
      <w:widowControl/>
      <w:tabs>
        <w:tab w:val="left" w:pos="1134"/>
        <w:tab w:val="left" w:pos="1280"/>
      </w:tabs>
      <w:adjustRightInd w:val="0"/>
      <w:snapToGrid w:val="0"/>
      <w:spacing w:line="280" w:lineRule="atLeast"/>
      <w:jc w:val="left"/>
    </w:pPr>
    <w:rPr>
      <w:rFonts w:eastAsia="PMingLiU"/>
      <w:kern w:val="0"/>
      <w:sz w:val="24"/>
      <w:lang w:eastAsia="zh-TW"/>
    </w:rPr>
  </w:style>
  <w:style w:type="paragraph" w:customStyle="1" w:styleId="127">
    <w:name w:val="Char Char Char1 Char Char Char Char Char Char Char Char Char Char Char Char Char"/>
    <w:basedOn w:val="1"/>
    <w:qFormat/>
    <w:uiPriority w:val="0"/>
    <w:pPr>
      <w:widowControl/>
      <w:spacing w:after="160" w:line="240" w:lineRule="exact"/>
      <w:jc w:val="left"/>
    </w:pPr>
    <w:rPr>
      <w:rFonts w:ascii="Verdana" w:hAnsi="Verdana"/>
      <w:kern w:val="0"/>
      <w:sz w:val="18"/>
      <w:lang w:eastAsia="en-US"/>
    </w:rPr>
  </w:style>
  <w:style w:type="paragraph" w:customStyle="1" w:styleId="128">
    <w:name w:val="Char Char14 Char Char"/>
    <w:basedOn w:val="1"/>
    <w:qFormat/>
    <w:uiPriority w:val="0"/>
    <w:rPr>
      <w:sz w:val="21"/>
      <w:szCs w:val="24"/>
    </w:rPr>
  </w:style>
  <w:style w:type="paragraph" w:customStyle="1" w:styleId="129">
    <w:name w:val="Char Char Char Char Char"/>
    <w:basedOn w:val="1"/>
    <w:qFormat/>
    <w:uiPriority w:val="0"/>
    <w:pPr>
      <w:tabs>
        <w:tab w:val="left" w:pos="425"/>
      </w:tabs>
      <w:ind w:left="1620" w:hanging="360"/>
    </w:pPr>
    <w:rPr>
      <w:rFonts w:ascii="Tahoma" w:hAnsi="Tahoma"/>
      <w:sz w:val="24"/>
    </w:rPr>
  </w:style>
  <w:style w:type="paragraph" w:customStyle="1" w:styleId="130">
    <w:name w:val="Char2 Char Char Char Char Char Char"/>
    <w:basedOn w:val="1"/>
    <w:qFormat/>
    <w:uiPriority w:val="0"/>
    <w:rPr>
      <w:rFonts w:ascii="仿宋_GB2312"/>
      <w:b/>
      <w:sz w:val="30"/>
    </w:rPr>
  </w:style>
  <w:style w:type="paragraph" w:customStyle="1" w:styleId="131">
    <w:name w:val="_Style 128"/>
    <w:qFormat/>
    <w:uiPriority w:val="0"/>
    <w:rPr>
      <w:rFonts w:ascii="Times New Roman" w:hAnsi="Times New Roman" w:eastAsia="宋体" w:cs="Times New Roman"/>
      <w:kern w:val="2"/>
      <w:sz w:val="21"/>
      <w:lang w:val="en-US" w:eastAsia="zh-CN" w:bidi="ar-SA"/>
    </w:rPr>
  </w:style>
  <w:style w:type="paragraph" w:customStyle="1" w:styleId="132">
    <w:name w:val="正文格式 Char"/>
    <w:basedOn w:val="1"/>
    <w:qFormat/>
    <w:uiPriority w:val="0"/>
    <w:pPr>
      <w:widowControl/>
      <w:adjustRightInd w:val="0"/>
      <w:spacing w:line="440" w:lineRule="atLeast"/>
      <w:ind w:firstLine="510"/>
      <w:textAlignment w:val="baseline"/>
    </w:pPr>
    <w:rPr>
      <w:kern w:val="0"/>
      <w:sz w:val="24"/>
    </w:rPr>
  </w:style>
  <w:style w:type="paragraph" w:customStyle="1" w:styleId="133">
    <w:name w:val="正文 + 三号"/>
    <w:basedOn w:val="1"/>
    <w:qFormat/>
    <w:uiPriority w:val="0"/>
    <w:rPr>
      <w:sz w:val="21"/>
    </w:rPr>
  </w:style>
  <w:style w:type="paragraph" w:customStyle="1" w:styleId="134">
    <w:name w:val="样式 首行缩进:  0.74 厘米"/>
    <w:basedOn w:val="1"/>
    <w:qFormat/>
    <w:uiPriority w:val="0"/>
    <w:pPr>
      <w:spacing w:line="360" w:lineRule="auto"/>
      <w:ind w:firstLine="420"/>
    </w:pPr>
    <w:rPr>
      <w:sz w:val="24"/>
    </w:rPr>
  </w:style>
  <w:style w:type="paragraph" w:customStyle="1" w:styleId="135">
    <w:name w:val="样式 样式 首行缩进:  2 字符 + 首行缩进:  2 字符"/>
    <w:basedOn w:val="1"/>
    <w:qFormat/>
    <w:uiPriority w:val="0"/>
    <w:pPr>
      <w:numPr>
        <w:ilvl w:val="0"/>
        <w:numId w:val="6"/>
      </w:numPr>
      <w:tabs>
        <w:tab w:val="clear" w:pos="1230"/>
      </w:tabs>
      <w:spacing w:line="360" w:lineRule="auto"/>
      <w:ind w:firstLine="480" w:firstLineChars="200"/>
    </w:pPr>
    <w:rPr>
      <w:sz w:val="24"/>
    </w:rPr>
  </w:style>
  <w:style w:type="paragraph" w:customStyle="1" w:styleId="136">
    <w:name w:val="标题2"/>
    <w:basedOn w:val="4"/>
    <w:qFormat/>
    <w:uiPriority w:val="0"/>
    <w:pPr>
      <w:keepNext w:val="0"/>
      <w:keepLines w:val="0"/>
      <w:adjustRightInd w:val="0"/>
      <w:snapToGrid w:val="0"/>
      <w:spacing w:before="0" w:after="0" w:line="360" w:lineRule="auto"/>
      <w:ind w:firstLine="574" w:firstLineChars="196"/>
      <w:outlineLvl w:val="9"/>
    </w:pPr>
    <w:rPr>
      <w:rFonts w:ascii="宋体" w:hAnsi="宋体" w:eastAsia="宋体"/>
      <w:spacing w:val="6"/>
      <w:sz w:val="28"/>
      <w:u w:val="single"/>
    </w:rPr>
  </w:style>
  <w:style w:type="paragraph" w:customStyle="1" w:styleId="137">
    <w:name w:val="Item Step"/>
    <w:qFormat/>
    <w:uiPriority w:val="0"/>
    <w:pPr>
      <w:tabs>
        <w:tab w:val="left" w:pos="1644"/>
      </w:tabs>
      <w:ind w:left="1644" w:hanging="510"/>
      <w:outlineLvl w:val="4"/>
    </w:pPr>
    <w:rPr>
      <w:rFonts w:ascii="Arial" w:hAnsi="Arial" w:eastAsia="宋体" w:cs="Times New Roman"/>
      <w:sz w:val="21"/>
      <w:lang w:val="en-US" w:eastAsia="zh-CN" w:bidi="ar-SA"/>
    </w:rPr>
  </w:style>
  <w:style w:type="paragraph" w:customStyle="1" w:styleId="138">
    <w:name w:val="Table Contents"/>
    <w:basedOn w:val="2"/>
    <w:qFormat/>
    <w:uiPriority w:val="0"/>
    <w:pPr>
      <w:suppressAutoHyphens/>
      <w:jc w:val="left"/>
    </w:pPr>
    <w:rPr>
      <w:rFonts w:ascii="Times New Roman" w:eastAsia="Times New Roman"/>
      <w:kern w:val="0"/>
      <w:sz w:val="24"/>
    </w:rPr>
  </w:style>
  <w:style w:type="paragraph" w:customStyle="1" w:styleId="139">
    <w:name w:val="表格文本"/>
    <w:qFormat/>
    <w:uiPriority w:val="0"/>
    <w:pPr>
      <w:tabs>
        <w:tab w:val="decimal" w:pos="0"/>
      </w:tabs>
    </w:pPr>
    <w:rPr>
      <w:rFonts w:ascii="Arial" w:hAnsi="Arial" w:eastAsia="宋体" w:cs="Times New Roman"/>
      <w:sz w:val="21"/>
      <w:lang w:val="en-US" w:eastAsia="zh-CN" w:bidi="ar-SA"/>
    </w:rPr>
  </w:style>
  <w:style w:type="paragraph" w:customStyle="1" w:styleId="140">
    <w:name w:val="Char Char Char Char Char Char Char"/>
    <w:basedOn w:val="1"/>
    <w:qFormat/>
    <w:uiPriority w:val="0"/>
    <w:rPr>
      <w:rFonts w:ascii="Tahoma" w:hAnsi="Tahoma"/>
      <w:sz w:val="24"/>
    </w:rPr>
  </w:style>
  <w:style w:type="paragraph" w:customStyle="1" w:styleId="141">
    <w:name w:val="样式2"/>
    <w:basedOn w:val="6"/>
    <w:qFormat/>
    <w:uiPriority w:val="0"/>
    <w:pPr>
      <w:numPr>
        <w:ilvl w:val="0"/>
        <w:numId w:val="7"/>
      </w:numPr>
      <w:spacing w:before="560" w:line="400" w:lineRule="exact"/>
      <w:jc w:val="center"/>
      <w:outlineLvl w:val="0"/>
    </w:pPr>
    <w:rPr>
      <w:b w:val="0"/>
      <w:sz w:val="44"/>
    </w:rPr>
  </w:style>
  <w:style w:type="paragraph" w:customStyle="1" w:styleId="142">
    <w:name w:val="内容标题"/>
    <w:basedOn w:val="18"/>
    <w:qFormat/>
    <w:uiPriority w:val="0"/>
    <w:rPr>
      <w:rFonts w:ascii="Tahoma" w:hAnsi="Tahoma"/>
      <w:sz w:val="24"/>
    </w:rPr>
  </w:style>
  <w:style w:type="paragraph" w:customStyle="1" w:styleId="143">
    <w:name w:val="xl40"/>
    <w:basedOn w:val="1"/>
    <w:qFormat/>
    <w:uiPriority w:val="0"/>
    <w:pPr>
      <w:widowControl/>
      <w:pBdr>
        <w:left w:val="single" w:color="auto" w:sz="4" w:space="0"/>
        <w:right w:val="single" w:color="auto" w:sz="4" w:space="0"/>
      </w:pBdr>
      <w:spacing w:before="100" w:beforeAutospacing="1" w:after="100" w:afterAutospacing="1"/>
      <w:jc w:val="center"/>
    </w:pPr>
    <w:rPr>
      <w:rFonts w:ascii="宋体" w:hAnsi="宋体"/>
      <w:kern w:val="0"/>
      <w:sz w:val="24"/>
    </w:rPr>
  </w:style>
  <w:style w:type="paragraph" w:customStyle="1" w:styleId="144">
    <w:name w:val="1"/>
    <w:basedOn w:val="1"/>
    <w:next w:val="31"/>
    <w:qFormat/>
    <w:uiPriority w:val="0"/>
    <w:rPr>
      <w:rFonts w:ascii="宋体" w:hAnsi="Courier New"/>
      <w:sz w:val="21"/>
    </w:rPr>
  </w:style>
  <w:style w:type="paragraph" w:customStyle="1" w:styleId="145">
    <w:name w:val="列表项目"/>
    <w:basedOn w:val="1"/>
    <w:qFormat/>
    <w:uiPriority w:val="0"/>
    <w:pPr>
      <w:tabs>
        <w:tab w:val="left" w:pos="420"/>
      </w:tabs>
      <w:spacing w:line="288" w:lineRule="auto"/>
      <w:ind w:left="840" w:leftChars="200" w:hanging="420" w:hangingChars="200"/>
    </w:pPr>
    <w:rPr>
      <w:sz w:val="21"/>
    </w:rPr>
  </w:style>
  <w:style w:type="paragraph" w:customStyle="1" w:styleId="146">
    <w:name w:val="style1"/>
    <w:basedOn w:val="1"/>
    <w:qFormat/>
    <w:uiPriority w:val="0"/>
    <w:pPr>
      <w:widowControl/>
      <w:spacing w:before="100" w:beforeAutospacing="1" w:after="100" w:afterAutospacing="1"/>
      <w:jc w:val="left"/>
    </w:pPr>
    <w:rPr>
      <w:rFonts w:ascii="宋体" w:hAnsi="宋体"/>
      <w:kern w:val="0"/>
      <w:sz w:val="21"/>
    </w:rPr>
  </w:style>
  <w:style w:type="paragraph" w:customStyle="1" w:styleId="147">
    <w:name w:val="Char Char Char Char Char Char Char1"/>
    <w:basedOn w:val="18"/>
    <w:qFormat/>
    <w:uiPriority w:val="0"/>
    <w:rPr>
      <w:rFonts w:ascii="宋体" w:hAnsi="Tahoma"/>
    </w:rPr>
  </w:style>
  <w:style w:type="paragraph" w:customStyle="1" w:styleId="148">
    <w:name w:val="样式 标题 6第五层条 + 三号 段前: 0.5 行"/>
    <w:basedOn w:val="8"/>
    <w:qFormat/>
    <w:uiPriority w:val="0"/>
    <w:pPr>
      <w:widowControl/>
      <w:adjustRightInd/>
      <w:snapToGrid/>
      <w:spacing w:before="156" w:beforeLines="50"/>
      <w:jc w:val="left"/>
    </w:pPr>
    <w:rPr>
      <w:snapToGrid w:val="0"/>
      <w:kern w:val="24"/>
      <w:sz w:val="28"/>
    </w:rPr>
  </w:style>
  <w:style w:type="paragraph" w:customStyle="1" w:styleId="149">
    <w:name w:val="段 Char"/>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50">
    <w:name w:val="样式 正文首行缩进 2 + 首行缩进:  2 字符"/>
    <w:basedOn w:val="1"/>
    <w:qFormat/>
    <w:uiPriority w:val="0"/>
    <w:pPr>
      <w:numPr>
        <w:ilvl w:val="0"/>
        <w:numId w:val="8"/>
      </w:numPr>
      <w:adjustRightInd w:val="0"/>
      <w:snapToGrid w:val="0"/>
      <w:spacing w:line="360" w:lineRule="auto"/>
    </w:pPr>
    <w:rPr>
      <w:rFonts w:ascii="Arial" w:hAnsi="Arial"/>
      <w:b/>
      <w:sz w:val="24"/>
    </w:rPr>
  </w:style>
  <w:style w:type="paragraph" w:customStyle="1" w:styleId="151">
    <w:name w:val="样式 行距: 1.5 倍行距1"/>
    <w:basedOn w:val="1"/>
    <w:qFormat/>
    <w:uiPriority w:val="0"/>
    <w:pPr>
      <w:snapToGrid w:val="0"/>
    </w:pPr>
    <w:rPr>
      <w:sz w:val="21"/>
    </w:rPr>
  </w:style>
  <w:style w:type="paragraph" w:customStyle="1" w:styleId="152">
    <w:name w:val="样式 仿宋_GB2312 首行缩进:  2 字符"/>
    <w:basedOn w:val="1"/>
    <w:qFormat/>
    <w:uiPriority w:val="0"/>
    <w:pPr>
      <w:spacing w:line="600" w:lineRule="exact"/>
      <w:ind w:firstLine="420" w:firstLineChars="150"/>
      <w:jc w:val="left"/>
    </w:pPr>
    <w:rPr>
      <w:rFonts w:ascii="仿宋_GB2312" w:hAnsi="Arial" w:eastAsia="仿宋_GB2312"/>
      <w:color w:val="000000"/>
      <w:kern w:val="0"/>
      <w:lang w:val="zh-CN"/>
    </w:rPr>
  </w:style>
  <w:style w:type="paragraph" w:customStyle="1" w:styleId="153">
    <w:name w:val="00"/>
    <w:basedOn w:val="1"/>
    <w:qFormat/>
    <w:uiPriority w:val="0"/>
    <w:pPr>
      <w:autoSpaceDE w:val="0"/>
      <w:autoSpaceDN w:val="0"/>
      <w:adjustRightInd w:val="0"/>
      <w:jc w:val="left"/>
    </w:pPr>
    <w:rPr>
      <w:rFonts w:ascii="黑体" w:eastAsia="黑体"/>
      <w:b/>
      <w:kern w:val="0"/>
      <w:sz w:val="20"/>
    </w:rPr>
  </w:style>
  <w:style w:type="paragraph" w:customStyle="1" w:styleId="154">
    <w:name w:val="xl27"/>
    <w:basedOn w:val="1"/>
    <w:qFormat/>
    <w:uiPriority w:val="0"/>
    <w:pPr>
      <w:widowControl/>
      <w:pBdr>
        <w:left w:val="single" w:color="auto" w:sz="8" w:space="0"/>
        <w:bottom w:val="single" w:color="auto" w:sz="4" w:space="0"/>
        <w:right w:val="single" w:color="auto" w:sz="4" w:space="0"/>
      </w:pBdr>
      <w:spacing w:before="100" w:beforeAutospacing="1" w:after="100" w:afterAutospacing="1"/>
      <w:jc w:val="center"/>
      <w:textAlignment w:val="center"/>
    </w:pPr>
    <w:rPr>
      <w:rFonts w:ascii="宋体" w:hAnsi="宋体"/>
      <w:kern w:val="0"/>
      <w:sz w:val="21"/>
    </w:rPr>
  </w:style>
  <w:style w:type="paragraph" w:customStyle="1" w:styleId="155">
    <w:name w:val="Char Char Char Char"/>
    <w:basedOn w:val="1"/>
    <w:qFormat/>
    <w:uiPriority w:val="0"/>
    <w:pPr>
      <w:pageBreakBefore/>
      <w:widowControl/>
      <w:spacing w:after="160" w:line="240" w:lineRule="exact"/>
      <w:jc w:val="left"/>
    </w:pPr>
    <w:rPr>
      <w:rFonts w:ascii="Verdana" w:hAnsi="Verdana"/>
      <w:kern w:val="0"/>
      <w:sz w:val="20"/>
      <w:lang w:eastAsia="en-US"/>
    </w:rPr>
  </w:style>
  <w:style w:type="paragraph" w:customStyle="1" w:styleId="156">
    <w:name w:val="Char Char Char Char Char Char1 Char"/>
    <w:basedOn w:val="1"/>
    <w:qFormat/>
    <w:uiPriority w:val="0"/>
    <w:pPr>
      <w:widowControl/>
      <w:spacing w:after="160" w:line="240" w:lineRule="exact"/>
      <w:jc w:val="left"/>
    </w:pPr>
    <w:rPr>
      <w:rFonts w:ascii="Verdana" w:hAnsi="Verdana"/>
      <w:kern w:val="0"/>
      <w:sz w:val="21"/>
      <w:lang w:eastAsia="en-US"/>
    </w:rPr>
  </w:style>
  <w:style w:type="paragraph" w:customStyle="1" w:styleId="157">
    <w:name w:val="标准正文"/>
    <w:basedOn w:val="23"/>
    <w:qFormat/>
    <w:uiPriority w:val="0"/>
    <w:pPr>
      <w:spacing w:before="60" w:after="60" w:line="360" w:lineRule="auto"/>
      <w:ind w:left="0" w:firstLine="482"/>
    </w:pPr>
    <w:rPr>
      <w:rFonts w:ascii="Arial" w:hAnsi="Arial"/>
      <w:sz w:val="24"/>
    </w:rPr>
  </w:style>
  <w:style w:type="paragraph" w:customStyle="1" w:styleId="158">
    <w:name w:val="正文文本 21"/>
    <w:basedOn w:val="1"/>
    <w:qFormat/>
    <w:uiPriority w:val="0"/>
    <w:pPr>
      <w:adjustRightInd w:val="0"/>
      <w:spacing w:before="120" w:line="360" w:lineRule="auto"/>
      <w:ind w:firstLine="480"/>
      <w:textAlignment w:val="baseline"/>
    </w:pPr>
    <w:rPr>
      <w:sz w:val="24"/>
    </w:rPr>
  </w:style>
  <w:style w:type="paragraph" w:customStyle="1" w:styleId="159">
    <w:name w:val="样式1"/>
    <w:basedOn w:val="6"/>
    <w:qFormat/>
    <w:uiPriority w:val="0"/>
    <w:pPr>
      <w:tabs>
        <w:tab w:val="left" w:pos="720"/>
      </w:tabs>
      <w:spacing w:before="500" w:after="260" w:line="560" w:lineRule="atLeast"/>
      <w:ind w:left="420" w:hanging="420"/>
    </w:pPr>
  </w:style>
  <w:style w:type="paragraph" w:customStyle="1" w:styleId="160">
    <w:name w:val="正文4"/>
    <w:basedOn w:val="1"/>
    <w:qFormat/>
    <w:uiPriority w:val="0"/>
    <w:pPr>
      <w:tabs>
        <w:tab w:val="left" w:pos="1275"/>
      </w:tabs>
      <w:spacing w:before="60" w:after="60" w:line="360" w:lineRule="auto"/>
      <w:ind w:left="820" w:leftChars="400" w:hanging="705"/>
    </w:pPr>
    <w:rPr>
      <w:sz w:val="24"/>
    </w:rPr>
  </w:style>
  <w:style w:type="paragraph" w:customStyle="1" w:styleId="161">
    <w:name w:val="Char Char1"/>
    <w:basedOn w:val="1"/>
    <w:qFormat/>
    <w:uiPriority w:val="0"/>
    <w:pPr>
      <w:widowControl/>
      <w:spacing w:after="160" w:line="240" w:lineRule="exact"/>
      <w:jc w:val="left"/>
    </w:pPr>
    <w:rPr>
      <w:rFonts w:ascii="Verdana" w:hAnsi="Verdana"/>
      <w:kern w:val="0"/>
      <w:sz w:val="20"/>
      <w:lang w:eastAsia="en-US"/>
    </w:rPr>
  </w:style>
  <w:style w:type="paragraph" w:customStyle="1" w:styleId="162">
    <w:name w:val="正文格式"/>
    <w:basedOn w:val="1"/>
    <w:qFormat/>
    <w:uiPriority w:val="0"/>
    <w:pPr>
      <w:widowControl/>
      <w:adjustRightInd w:val="0"/>
      <w:snapToGrid w:val="0"/>
      <w:spacing w:before="60" w:line="360" w:lineRule="auto"/>
      <w:ind w:firstLine="480" w:firstLineChars="200"/>
      <w:jc w:val="left"/>
      <w:textAlignment w:val="baseline"/>
    </w:pPr>
    <w:rPr>
      <w:rFonts w:ascii="宋体" w:hAnsi="宋体"/>
      <w:color w:val="000000"/>
      <w:kern w:val="0"/>
      <w:sz w:val="24"/>
    </w:rPr>
  </w:style>
  <w:style w:type="paragraph" w:customStyle="1" w:styleId="163">
    <w:name w:val="文本框样式1"/>
    <w:basedOn w:val="1"/>
    <w:qFormat/>
    <w:uiPriority w:val="0"/>
    <w:pPr>
      <w:adjustRightInd w:val="0"/>
      <w:snapToGrid w:val="0"/>
      <w:spacing w:before="60" w:line="180" w:lineRule="exact"/>
      <w:jc w:val="center"/>
    </w:pPr>
    <w:rPr>
      <w:sz w:val="21"/>
    </w:rPr>
  </w:style>
  <w:style w:type="paragraph" w:customStyle="1" w:styleId="164">
    <w:name w:val="附录2"/>
    <w:basedOn w:val="1"/>
    <w:next w:val="1"/>
    <w:qFormat/>
    <w:uiPriority w:val="0"/>
    <w:pPr>
      <w:tabs>
        <w:tab w:val="left" w:pos="420"/>
        <w:tab w:val="left" w:pos="624"/>
      </w:tabs>
      <w:ind w:left="420" w:hanging="420"/>
      <w:outlineLvl w:val="1"/>
    </w:pPr>
    <w:rPr>
      <w:rFonts w:ascii="黑体" w:hAnsi="黑体" w:eastAsia="黑体"/>
      <w:b/>
      <w:sz w:val="32"/>
    </w:rPr>
  </w:style>
  <w:style w:type="paragraph" w:customStyle="1" w:styleId="165">
    <w:name w:val="附录1"/>
    <w:basedOn w:val="1"/>
    <w:next w:val="1"/>
    <w:qFormat/>
    <w:uiPriority w:val="0"/>
    <w:pPr>
      <w:tabs>
        <w:tab w:val="left" w:pos="1304"/>
      </w:tabs>
      <w:ind w:left="425" w:hanging="425"/>
      <w:outlineLvl w:val="0"/>
    </w:pPr>
    <w:rPr>
      <w:rFonts w:ascii="黑体" w:hAnsi="黑体" w:eastAsia="黑体"/>
      <w:b/>
      <w:sz w:val="44"/>
    </w:rPr>
  </w:style>
  <w:style w:type="paragraph" w:customStyle="1" w:styleId="166">
    <w:name w:val="Char Char Char Char Char Char Char Char Char Char Char Char Char"/>
    <w:basedOn w:val="1"/>
    <w:qFormat/>
    <w:uiPriority w:val="0"/>
    <w:pPr>
      <w:widowControl/>
      <w:spacing w:after="160" w:line="240" w:lineRule="exact"/>
      <w:jc w:val="left"/>
    </w:pPr>
    <w:rPr>
      <w:rFonts w:ascii="Verdana" w:hAnsi="Verdana" w:eastAsia="仿宋_GB2312"/>
      <w:kern w:val="0"/>
      <w:sz w:val="24"/>
      <w:lang w:eastAsia="en-US"/>
    </w:rPr>
  </w:style>
  <w:style w:type="paragraph" w:customStyle="1" w:styleId="167">
    <w:name w:val="表格1"/>
    <w:basedOn w:val="1"/>
    <w:next w:val="1"/>
    <w:qFormat/>
    <w:uiPriority w:val="0"/>
    <w:pPr>
      <w:kinsoku w:val="0"/>
      <w:wordWrap w:val="0"/>
      <w:overflowPunct w:val="0"/>
      <w:autoSpaceDE w:val="0"/>
      <w:autoSpaceDN w:val="0"/>
      <w:adjustRightInd w:val="0"/>
      <w:spacing w:line="288" w:lineRule="auto"/>
      <w:jc w:val="center"/>
      <w:textAlignment w:val="baseline"/>
    </w:pPr>
    <w:rPr>
      <w:rFonts w:ascii="宋体"/>
      <w:kern w:val="0"/>
      <w:sz w:val="18"/>
    </w:rPr>
  </w:style>
  <w:style w:type="paragraph" w:customStyle="1" w:styleId="168">
    <w:name w:val="关键词"/>
    <w:basedOn w:val="1"/>
    <w:next w:val="1"/>
    <w:qFormat/>
    <w:uiPriority w:val="0"/>
    <w:pPr>
      <w:spacing w:line="360" w:lineRule="auto"/>
    </w:pPr>
    <w:rPr>
      <w:rFonts w:eastAsia="黑体"/>
      <w:sz w:val="20"/>
    </w:rPr>
  </w:style>
  <w:style w:type="paragraph" w:customStyle="1" w:styleId="169">
    <w:name w:val="Title - Date"/>
    <w:basedOn w:val="54"/>
    <w:next w:val="1"/>
    <w:qFormat/>
    <w:uiPriority w:val="0"/>
    <w:pPr>
      <w:spacing w:before="240" w:after="720"/>
    </w:pPr>
    <w:rPr>
      <w:sz w:val="28"/>
    </w:rPr>
  </w:style>
  <w:style w:type="paragraph" w:customStyle="1" w:styleId="170">
    <w:name w:val="content"/>
    <w:basedOn w:val="1"/>
    <w:qFormat/>
    <w:uiPriority w:val="0"/>
    <w:pPr>
      <w:widowControl/>
      <w:spacing w:before="100" w:beforeAutospacing="1" w:after="100" w:afterAutospacing="1" w:line="280" w:lineRule="atLeast"/>
      <w:ind w:firstLine="375"/>
      <w:jc w:val="left"/>
    </w:pPr>
    <w:rPr>
      <w:rFonts w:ascii="宋体" w:hAnsi="宋体"/>
      <w:color w:val="000000"/>
      <w:kern w:val="0"/>
      <w:sz w:val="18"/>
    </w:rPr>
  </w:style>
  <w:style w:type="paragraph" w:customStyle="1" w:styleId="171">
    <w:name w:val="图标"/>
    <w:basedOn w:val="1"/>
    <w:next w:val="1"/>
    <w:qFormat/>
    <w:uiPriority w:val="0"/>
    <w:pPr>
      <w:tabs>
        <w:tab w:val="left" w:pos="420"/>
        <w:tab w:val="left" w:pos="567"/>
        <w:tab w:val="left" w:pos="720"/>
      </w:tabs>
      <w:autoSpaceDE w:val="0"/>
      <w:autoSpaceDN w:val="0"/>
      <w:adjustRightInd w:val="0"/>
      <w:snapToGrid w:val="0"/>
      <w:spacing w:before="120" w:after="120" w:line="320" w:lineRule="atLeast"/>
      <w:ind w:left="420" w:hanging="420"/>
      <w:jc w:val="center"/>
      <w:textAlignment w:val="baseline"/>
    </w:pPr>
    <w:rPr>
      <w:rFonts w:eastAsia="仿宋_GB2312"/>
      <w:kern w:val="0"/>
      <w:sz w:val="24"/>
    </w:rPr>
  </w:style>
  <w:style w:type="paragraph" w:customStyle="1" w:styleId="172">
    <w:name w:val="文档正文 Char Char Char Char"/>
    <w:basedOn w:val="1"/>
    <w:qFormat/>
    <w:uiPriority w:val="0"/>
    <w:pPr>
      <w:adjustRightInd w:val="0"/>
      <w:spacing w:line="440" w:lineRule="exact"/>
      <w:ind w:firstLine="420"/>
      <w:textAlignment w:val="baseline"/>
    </w:pPr>
    <w:rPr>
      <w:rFonts w:ascii="Arial Narrow" w:hAnsi="Arial Narrow"/>
      <w:kern w:val="0"/>
      <w:sz w:val="24"/>
    </w:rPr>
  </w:style>
  <w:style w:type="paragraph" w:customStyle="1" w:styleId="173">
    <w:name w:val="表号"/>
    <w:basedOn w:val="1"/>
    <w:qFormat/>
    <w:uiPriority w:val="0"/>
    <w:pPr>
      <w:numPr>
        <w:ilvl w:val="0"/>
        <w:numId w:val="9"/>
      </w:numPr>
      <w:tabs>
        <w:tab w:val="left" w:pos="648"/>
        <w:tab w:val="clear" w:pos="360"/>
      </w:tabs>
      <w:autoSpaceDE w:val="0"/>
      <w:autoSpaceDN w:val="0"/>
      <w:adjustRightInd w:val="0"/>
      <w:spacing w:before="210" w:after="210"/>
      <w:ind w:left="425" w:hanging="137"/>
      <w:jc w:val="center"/>
    </w:pPr>
    <w:rPr>
      <w:kern w:val="0"/>
      <w:sz w:val="21"/>
      <w:lang w:eastAsia="en-US"/>
    </w:rPr>
  </w:style>
  <w:style w:type="paragraph" w:customStyle="1" w:styleId="174">
    <w:name w:val="小标题 1"/>
    <w:basedOn w:val="1"/>
    <w:qFormat/>
    <w:uiPriority w:val="0"/>
    <w:pPr>
      <w:autoSpaceDE w:val="0"/>
      <w:autoSpaceDN w:val="0"/>
      <w:adjustRightInd w:val="0"/>
      <w:spacing w:line="360" w:lineRule="atLeast"/>
    </w:pPr>
    <w:rPr>
      <w:rFonts w:ascii="文鼎粗黑" w:eastAsia="文鼎粗黑"/>
      <w:kern w:val="0"/>
      <w:sz w:val="22"/>
    </w:rPr>
  </w:style>
  <w:style w:type="paragraph" w:customStyle="1" w:styleId="175">
    <w:name w:val="Style Heading 3h3Heading 3 - oldLevel 3 HeadH3level_3PIM 3se..."/>
    <w:basedOn w:val="5"/>
    <w:qFormat/>
    <w:uiPriority w:val="0"/>
    <w:pPr>
      <w:numPr>
        <w:ilvl w:val="2"/>
        <w:numId w:val="10"/>
      </w:numPr>
      <w:tabs>
        <w:tab w:val="left" w:pos="709"/>
        <w:tab w:val="left" w:pos="1620"/>
      </w:tabs>
    </w:pPr>
  </w:style>
  <w:style w:type="paragraph" w:customStyle="1" w:styleId="176">
    <w:name w:val="样式4"/>
    <w:basedOn w:val="6"/>
    <w:qFormat/>
    <w:uiPriority w:val="0"/>
    <w:pPr>
      <w:adjustRightInd w:val="0"/>
      <w:snapToGrid w:val="0"/>
    </w:pPr>
  </w:style>
  <w:style w:type="paragraph" w:customStyle="1" w:styleId="177">
    <w:name w:val="摘要"/>
    <w:basedOn w:val="1"/>
    <w:next w:val="4"/>
    <w:qFormat/>
    <w:uiPriority w:val="0"/>
    <w:pPr>
      <w:spacing w:line="360" w:lineRule="auto"/>
    </w:pPr>
    <w:rPr>
      <w:rFonts w:eastAsia="黑体"/>
      <w:sz w:val="20"/>
    </w:rPr>
  </w:style>
  <w:style w:type="paragraph" w:customStyle="1" w:styleId="178">
    <w:name w:val="Char Char 字元 字元 字元 Char Char Char Char"/>
    <w:basedOn w:val="1"/>
    <w:qFormat/>
    <w:uiPriority w:val="0"/>
    <w:pPr>
      <w:adjustRightInd w:val="0"/>
      <w:spacing w:line="360" w:lineRule="auto"/>
    </w:pPr>
    <w:rPr>
      <w:kern w:val="0"/>
      <w:sz w:val="24"/>
    </w:rPr>
  </w:style>
  <w:style w:type="paragraph" w:customStyle="1" w:styleId="179">
    <w:name w:val="可研正文"/>
    <w:basedOn w:val="2"/>
    <w:qFormat/>
    <w:uiPriority w:val="0"/>
    <w:pPr>
      <w:adjustRightInd w:val="0"/>
      <w:snapToGrid w:val="0"/>
      <w:spacing w:line="440" w:lineRule="exact"/>
      <w:ind w:firstLine="567"/>
    </w:pPr>
    <w:rPr>
      <w:sz w:val="28"/>
    </w:rPr>
  </w:style>
  <w:style w:type="paragraph" w:customStyle="1" w:styleId="180">
    <w:name w:val="没有缩进（为图形使用）"/>
    <w:basedOn w:val="1"/>
    <w:qFormat/>
    <w:uiPriority w:val="0"/>
    <w:pPr>
      <w:spacing w:before="120" w:after="120" w:line="360" w:lineRule="auto"/>
    </w:pPr>
    <w:rPr>
      <w:sz w:val="24"/>
    </w:rPr>
  </w:style>
  <w:style w:type="paragraph" w:customStyle="1" w:styleId="181">
    <w:name w:val="样式 样式 正文首行缩进 2 + 左  0 字符 + 首行缩进:  2.57 字符"/>
    <w:basedOn w:val="1"/>
    <w:next w:val="1"/>
    <w:qFormat/>
    <w:uiPriority w:val="0"/>
    <w:pPr>
      <w:adjustRightInd w:val="0"/>
      <w:snapToGrid w:val="0"/>
      <w:spacing w:after="120"/>
      <w:ind w:firstLine="540" w:firstLineChars="257"/>
    </w:pPr>
    <w:rPr>
      <w:sz w:val="21"/>
    </w:rPr>
  </w:style>
  <w:style w:type="paragraph" w:customStyle="1" w:styleId="182">
    <w:name w:val="标题5"/>
    <w:basedOn w:val="1"/>
    <w:qFormat/>
    <w:uiPriority w:val="0"/>
    <w:pPr>
      <w:tabs>
        <w:tab w:val="left" w:pos="0"/>
      </w:tabs>
      <w:autoSpaceDE w:val="0"/>
      <w:autoSpaceDN w:val="0"/>
      <w:adjustRightInd w:val="0"/>
      <w:snapToGrid w:val="0"/>
      <w:spacing w:line="320" w:lineRule="atLeast"/>
    </w:pPr>
    <w:rPr>
      <w:rFonts w:ascii="宋体"/>
      <w:kern w:val="0"/>
      <w:sz w:val="21"/>
    </w:rPr>
  </w:style>
  <w:style w:type="paragraph" w:customStyle="1" w:styleId="183">
    <w:name w:val="标书正文:  0.74 厘米"/>
    <w:basedOn w:val="1"/>
    <w:qFormat/>
    <w:uiPriority w:val="0"/>
    <w:pPr>
      <w:snapToGrid w:val="0"/>
      <w:spacing w:line="360" w:lineRule="auto"/>
      <w:ind w:firstLine="420"/>
    </w:pPr>
    <w:rPr>
      <w:sz w:val="24"/>
    </w:rPr>
  </w:style>
  <w:style w:type="paragraph" w:customStyle="1" w:styleId="184">
    <w:name w:val="样式 正文缩进正文（首行缩进两字）表正文正文非缩进特点标题4段1 + 首行缩进:  2 字符"/>
    <w:basedOn w:val="16"/>
    <w:qFormat/>
    <w:uiPriority w:val="0"/>
    <w:pPr>
      <w:ind w:firstLine="480" w:firstLineChars="200"/>
    </w:pPr>
  </w:style>
  <w:style w:type="paragraph" w:customStyle="1" w:styleId="185">
    <w:name w:val="Pull Quote"/>
    <w:basedOn w:val="1"/>
    <w:qFormat/>
    <w:uiPriority w:val="0"/>
    <w:pPr>
      <w:pBdr>
        <w:top w:val="single" w:color="auto" w:sz="18" w:space="12"/>
        <w:left w:val="single" w:color="FFFFFF" w:sz="6" w:space="12"/>
        <w:bottom w:val="single" w:color="auto" w:sz="6" w:space="12"/>
        <w:right w:val="single" w:color="FFFFFF" w:sz="6" w:space="12"/>
      </w:pBdr>
      <w:shd w:val="pct10" w:color="auto" w:fill="auto"/>
      <w:spacing w:before="120" w:after="240" w:line="288" w:lineRule="auto"/>
      <w:ind w:left="144" w:right="144"/>
      <w:jc w:val="center"/>
    </w:pPr>
    <w:rPr>
      <w:b/>
      <w:i/>
      <w:sz w:val="24"/>
    </w:rPr>
  </w:style>
  <w:style w:type="paragraph" w:customStyle="1" w:styleId="186">
    <w:name w:val="Char1 Char Char Char"/>
    <w:basedOn w:val="1"/>
    <w:qFormat/>
    <w:uiPriority w:val="0"/>
    <w:rPr>
      <w:rFonts w:ascii="Tahoma" w:hAnsi="Tahoma"/>
      <w:sz w:val="24"/>
    </w:rPr>
  </w:style>
  <w:style w:type="paragraph" w:customStyle="1" w:styleId="187">
    <w:name w:val="样式 标题 1章标题Heading 0Section HeadPIM 1H1h11st levell11H1..."/>
    <w:basedOn w:val="3"/>
    <w:qFormat/>
    <w:uiPriority w:val="0"/>
    <w:pPr>
      <w:keepLines/>
      <w:pageBreakBefore/>
      <w:tabs>
        <w:tab w:val="left" w:pos="432"/>
      </w:tabs>
      <w:autoSpaceDE w:val="0"/>
      <w:autoSpaceDN w:val="0"/>
      <w:adjustRightInd w:val="0"/>
      <w:spacing w:before="340" w:after="330" w:line="578" w:lineRule="atLeast"/>
      <w:textAlignment w:val="bottom"/>
    </w:pPr>
    <w:rPr>
      <w:rFonts w:hAnsi="宋体" w:eastAsia="黑体"/>
      <w:b/>
      <w:kern w:val="44"/>
      <w:sz w:val="36"/>
    </w:rPr>
  </w:style>
  <w:style w:type="paragraph" w:customStyle="1" w:styleId="188">
    <w:name w:val="文章正文"/>
    <w:basedOn w:val="1"/>
    <w:qFormat/>
    <w:uiPriority w:val="0"/>
    <w:pPr>
      <w:ind w:firstLine="560" w:firstLineChars="200"/>
    </w:pPr>
    <w:rPr>
      <w:rFonts w:ascii="仿宋_GB2312" w:hAnsi="宋体" w:eastAsia="仿宋_GB2312"/>
      <w:color w:val="000000"/>
    </w:rPr>
  </w:style>
  <w:style w:type="paragraph" w:customStyle="1" w:styleId="189">
    <w:name w:val="样式 宋体 五号 两端对齐 行距: 单倍行距"/>
    <w:basedOn w:val="1"/>
    <w:qFormat/>
    <w:uiPriority w:val="0"/>
    <w:pPr>
      <w:adjustRightInd w:val="0"/>
      <w:textAlignment w:val="baseline"/>
    </w:pPr>
    <w:rPr>
      <w:rFonts w:ascii="宋体" w:hAnsi="宋体"/>
      <w:kern w:val="0"/>
      <w:sz w:val="21"/>
    </w:rPr>
  </w:style>
  <w:style w:type="paragraph" w:customStyle="1" w:styleId="190">
    <w:name w:val="xl53"/>
    <w:basedOn w:val="1"/>
    <w:qFormat/>
    <w:uiPriority w:val="0"/>
    <w:pPr>
      <w:widowControl/>
      <w:pBdr>
        <w:left w:val="single" w:color="auto" w:sz="4" w:space="0"/>
        <w:bottom w:val="single" w:color="auto" w:sz="4" w:space="0"/>
      </w:pBdr>
      <w:spacing w:before="100" w:beforeAutospacing="1" w:after="100" w:afterAutospacing="1"/>
      <w:jc w:val="center"/>
      <w:textAlignment w:val="center"/>
    </w:pPr>
    <w:rPr>
      <w:rFonts w:ascii="宋体" w:hAnsi="宋体"/>
      <w:kern w:val="0"/>
      <w:sz w:val="24"/>
    </w:rPr>
  </w:style>
  <w:style w:type="paragraph" w:customStyle="1" w:styleId="191">
    <w:name w:val="Char Char1 Char"/>
    <w:basedOn w:val="1"/>
    <w:qFormat/>
    <w:uiPriority w:val="0"/>
    <w:rPr>
      <w:rFonts w:ascii="Tahoma" w:hAnsi="Tahoma"/>
      <w:sz w:val="24"/>
      <w:szCs w:val="24"/>
    </w:rPr>
  </w:style>
  <w:style w:type="paragraph" w:customStyle="1" w:styleId="192">
    <w:name w:val="Item List"/>
    <w:qFormat/>
    <w:uiPriority w:val="0"/>
    <w:pPr>
      <w:numPr>
        <w:ilvl w:val="0"/>
        <w:numId w:val="11"/>
      </w:numPr>
      <w:spacing w:line="300" w:lineRule="auto"/>
      <w:jc w:val="both"/>
    </w:pPr>
    <w:rPr>
      <w:rFonts w:ascii="Arial" w:hAnsi="Arial" w:eastAsia="宋体" w:cs="Times New Roman"/>
      <w:sz w:val="21"/>
      <w:lang w:val="en-US" w:eastAsia="zh-CN" w:bidi="ar-SA"/>
    </w:rPr>
  </w:style>
  <w:style w:type="paragraph" w:customStyle="1" w:styleId="193">
    <w:name w:val="附录4"/>
    <w:basedOn w:val="1"/>
    <w:next w:val="1"/>
    <w:qFormat/>
    <w:uiPriority w:val="0"/>
    <w:pPr>
      <w:widowControl/>
      <w:tabs>
        <w:tab w:val="left" w:pos="1134"/>
      </w:tabs>
      <w:spacing w:line="300" w:lineRule="auto"/>
      <w:ind w:left="1361" w:hanging="1361"/>
      <w:outlineLvl w:val="3"/>
    </w:pPr>
    <w:rPr>
      <w:rFonts w:ascii="Arial" w:hAnsi="Arial" w:eastAsia="黑体"/>
      <w:kern w:val="0"/>
    </w:rPr>
  </w:style>
  <w:style w:type="paragraph" w:customStyle="1" w:styleId="194">
    <w:name w:val="Char"/>
    <w:basedOn w:val="1"/>
    <w:qFormat/>
    <w:uiPriority w:val="0"/>
    <w:pPr>
      <w:spacing w:line="240" w:lineRule="atLeast"/>
      <w:ind w:left="420" w:firstLine="420"/>
    </w:pPr>
    <w:rPr>
      <w:kern w:val="0"/>
      <w:sz w:val="21"/>
    </w:rPr>
  </w:style>
  <w:style w:type="paragraph" w:customStyle="1" w:styleId="195">
    <w:name w:val="_"/>
    <w:basedOn w:val="1"/>
    <w:qFormat/>
    <w:uiPriority w:val="0"/>
    <w:pPr>
      <w:adjustRightInd w:val="0"/>
      <w:spacing w:line="360" w:lineRule="auto"/>
      <w:ind w:left="480" w:firstLine="200" w:firstLineChars="200"/>
      <w:textAlignment w:val="baseline"/>
    </w:pPr>
    <w:rPr>
      <w:kern w:val="0"/>
      <w:sz w:val="24"/>
    </w:rPr>
  </w:style>
  <w:style w:type="paragraph" w:customStyle="1" w:styleId="196">
    <w:name w:val="Char1 Char Char Char1"/>
    <w:basedOn w:val="1"/>
    <w:qFormat/>
    <w:uiPriority w:val="0"/>
    <w:rPr>
      <w:rFonts w:ascii="Tahoma" w:hAnsi="Tahoma"/>
      <w:sz w:val="30"/>
    </w:rPr>
  </w:style>
  <w:style w:type="paragraph" w:customStyle="1" w:styleId="197">
    <w:name w:val="表头文本"/>
    <w:qFormat/>
    <w:uiPriority w:val="0"/>
    <w:pPr>
      <w:jc w:val="center"/>
    </w:pPr>
    <w:rPr>
      <w:rFonts w:ascii="Arial" w:hAnsi="Arial" w:eastAsia="宋体" w:cs="Times New Roman"/>
      <w:b/>
      <w:sz w:val="21"/>
      <w:lang w:val="en-US" w:eastAsia="zh-CN" w:bidi="ar-SA"/>
    </w:rPr>
  </w:style>
  <w:style w:type="paragraph" w:customStyle="1" w:styleId="198">
    <w:name w:val="CSS1级正文 Char"/>
    <w:basedOn w:val="2"/>
    <w:qFormat/>
    <w:uiPriority w:val="0"/>
    <w:pPr>
      <w:adjustRightInd w:val="0"/>
      <w:snapToGrid w:val="0"/>
      <w:spacing w:line="360" w:lineRule="auto"/>
      <w:ind w:firstLine="480"/>
    </w:pPr>
    <w:rPr>
      <w:rFonts w:ascii="Times New Roman" w:eastAsia="宋体"/>
      <w:sz w:val="24"/>
    </w:rPr>
  </w:style>
  <w:style w:type="paragraph" w:customStyle="1" w:styleId="199">
    <w:name w:val="Char Char Char"/>
    <w:basedOn w:val="1"/>
    <w:qFormat/>
    <w:uiPriority w:val="0"/>
    <w:rPr>
      <w:rFonts w:ascii="Tahoma" w:hAnsi="Tahoma"/>
      <w:sz w:val="24"/>
    </w:rPr>
  </w:style>
  <w:style w:type="paragraph" w:customStyle="1" w:styleId="200">
    <w:name w:val="Char Char1 Char Char Char Char Char Char Char Char Char Char Char Char Char Char"/>
    <w:basedOn w:val="1"/>
    <w:qFormat/>
    <w:uiPriority w:val="0"/>
    <w:pPr>
      <w:widowControl/>
      <w:spacing w:after="160" w:line="240" w:lineRule="exact"/>
      <w:jc w:val="left"/>
    </w:pPr>
    <w:rPr>
      <w:rFonts w:ascii="Verdana" w:hAnsi="Verdana"/>
      <w:kern w:val="0"/>
      <w:sz w:val="20"/>
      <w:lang w:eastAsia="en-US"/>
    </w:rPr>
  </w:style>
  <w:style w:type="paragraph" w:customStyle="1" w:styleId="201">
    <w:name w:val="Table Description"/>
    <w:next w:val="1"/>
    <w:qFormat/>
    <w:uiPriority w:val="0"/>
    <w:pPr>
      <w:keepNext/>
      <w:snapToGrid w:val="0"/>
      <w:spacing w:before="160" w:after="80"/>
      <w:ind w:left="1134"/>
      <w:jc w:val="center"/>
    </w:pPr>
    <w:rPr>
      <w:rFonts w:ascii="Arial" w:hAnsi="Arial" w:eastAsia="黑体" w:cs="Times New Roman"/>
      <w:sz w:val="18"/>
      <w:lang w:val="en-US" w:eastAsia="zh-CN" w:bidi="ar-SA"/>
    </w:rPr>
  </w:style>
  <w:style w:type="paragraph" w:customStyle="1" w:styleId="202">
    <w:name w:val="样式 标题 1 + 居中 段前: 6 磅 段后: 6 磅 行距: 1.5 倍行距"/>
    <w:basedOn w:val="3"/>
    <w:qFormat/>
    <w:uiPriority w:val="0"/>
    <w:pPr>
      <w:keepLines/>
      <w:adjustRightInd w:val="0"/>
      <w:spacing w:before="120" w:after="120" w:line="360" w:lineRule="auto"/>
      <w:jc w:val="center"/>
    </w:pPr>
    <w:rPr>
      <w:rFonts w:ascii="Times New Roman"/>
      <w:b/>
      <w:kern w:val="44"/>
      <w:sz w:val="32"/>
    </w:rPr>
  </w:style>
  <w:style w:type="paragraph" w:customStyle="1" w:styleId="203">
    <w:name w:val="默认段落字体 Para Char Char Char Char Char Char Char"/>
    <w:basedOn w:val="1"/>
    <w:qFormat/>
    <w:uiPriority w:val="0"/>
    <w:rPr>
      <w:rFonts w:ascii="Tahoma" w:hAnsi="Tahoma"/>
      <w:sz w:val="24"/>
    </w:rPr>
  </w:style>
  <w:style w:type="paragraph" w:customStyle="1" w:styleId="204">
    <w:name w:val="IN Feature"/>
    <w:next w:val="205"/>
    <w:qFormat/>
    <w:uiPriority w:val="0"/>
    <w:pPr>
      <w:keepNext/>
      <w:keepLines/>
      <w:spacing w:before="240" w:after="240"/>
      <w:outlineLvl w:val="7"/>
    </w:pPr>
    <w:rPr>
      <w:rFonts w:ascii="Arial" w:hAnsi="Arial" w:eastAsia="黑体" w:cs="Times New Roman"/>
      <w:sz w:val="21"/>
      <w:lang w:val="en-US" w:eastAsia="zh-CN" w:bidi="ar-SA"/>
    </w:rPr>
  </w:style>
  <w:style w:type="paragraph" w:customStyle="1" w:styleId="205">
    <w:name w:val="IN Step"/>
    <w:basedOn w:val="1"/>
    <w:qFormat/>
    <w:uiPriority w:val="0"/>
    <w:pPr>
      <w:keepLines/>
      <w:widowControl/>
      <w:tabs>
        <w:tab w:val="left" w:pos="1134"/>
      </w:tabs>
      <w:spacing w:before="80" w:after="80" w:line="300" w:lineRule="auto"/>
      <w:ind w:left="1134" w:hanging="907"/>
      <w:outlineLvl w:val="8"/>
    </w:pPr>
    <w:rPr>
      <w:rFonts w:ascii="Arial" w:hAnsi="Arial"/>
      <w:kern w:val="0"/>
      <w:sz w:val="21"/>
    </w:rPr>
  </w:style>
  <w:style w:type="paragraph" w:customStyle="1" w:styleId="206">
    <w:name w:val="首行缩进"/>
    <w:basedOn w:val="1"/>
    <w:qFormat/>
    <w:uiPriority w:val="0"/>
    <w:pPr>
      <w:numPr>
        <w:ilvl w:val="0"/>
        <w:numId w:val="12"/>
      </w:numPr>
      <w:spacing w:line="360" w:lineRule="auto"/>
    </w:pPr>
    <w:rPr>
      <w:rFonts w:eastAsia="仿宋_GB2312"/>
    </w:rPr>
  </w:style>
  <w:style w:type="paragraph" w:customStyle="1" w:styleId="207">
    <w:name w:val="正文字缩2字"/>
    <w:basedOn w:val="1"/>
    <w:qFormat/>
    <w:uiPriority w:val="0"/>
    <w:pPr>
      <w:spacing w:before="60" w:after="60" w:line="360" w:lineRule="auto"/>
      <w:ind w:left="200" w:leftChars="200" w:firstLine="200" w:firstLineChars="200"/>
    </w:pPr>
    <w:rPr>
      <w:sz w:val="24"/>
    </w:rPr>
  </w:style>
  <w:style w:type="paragraph" w:customStyle="1" w:styleId="208">
    <w:name w:val="正文表格"/>
    <w:basedOn w:val="1"/>
    <w:qFormat/>
    <w:uiPriority w:val="0"/>
    <w:pPr>
      <w:adjustRightInd w:val="0"/>
      <w:spacing w:before="40" w:after="40"/>
    </w:pPr>
    <w:rPr>
      <w:sz w:val="24"/>
    </w:rPr>
  </w:style>
  <w:style w:type="paragraph" w:customStyle="1" w:styleId="209">
    <w:name w:val="表文字"/>
    <w:qFormat/>
    <w:uiPriority w:val="0"/>
    <w:rPr>
      <w:rFonts w:ascii="宋体" w:hAnsi="Times New Roman" w:eastAsia="宋体" w:cs="Times New Roman"/>
      <w:kern w:val="2"/>
      <w:lang w:val="en-US" w:eastAsia="zh-CN" w:bidi="ar-SA"/>
    </w:rPr>
  </w:style>
  <w:style w:type="paragraph" w:customStyle="1" w:styleId="210">
    <w:name w:val="表格内文字"/>
    <w:basedOn w:val="31"/>
    <w:qFormat/>
    <w:uiPriority w:val="0"/>
    <w:pPr>
      <w:adjustRightInd w:val="0"/>
    </w:pPr>
    <w:rPr>
      <w:color w:val="000000"/>
      <w:lang w:val="en-GB"/>
    </w:rPr>
  </w:style>
  <w:style w:type="paragraph" w:customStyle="1" w:styleId="211">
    <w:name w:val="正文文本缩进 21"/>
    <w:basedOn w:val="1"/>
    <w:qFormat/>
    <w:uiPriority w:val="0"/>
    <w:pPr>
      <w:adjustRightInd w:val="0"/>
      <w:spacing w:before="120"/>
      <w:ind w:firstLine="420"/>
      <w:textAlignment w:val="baseline"/>
    </w:pPr>
    <w:rPr>
      <w:sz w:val="24"/>
    </w:rPr>
  </w:style>
  <w:style w:type="paragraph" w:customStyle="1" w:styleId="212">
    <w:name w:val="标题无"/>
    <w:basedOn w:val="1"/>
    <w:qFormat/>
    <w:uiPriority w:val="0"/>
    <w:pPr>
      <w:spacing w:line="360" w:lineRule="auto"/>
    </w:pPr>
    <w:rPr>
      <w:sz w:val="24"/>
    </w:rPr>
  </w:style>
  <w:style w:type="paragraph" w:customStyle="1" w:styleId="213">
    <w:name w:val="af"/>
    <w:basedOn w:val="1"/>
    <w:qFormat/>
    <w:uiPriority w:val="0"/>
    <w:pPr>
      <w:widowControl/>
      <w:spacing w:line="300" w:lineRule="atLeast"/>
      <w:jc w:val="left"/>
    </w:pPr>
    <w:rPr>
      <w:rFonts w:ascii="宋体" w:hAnsi="宋体"/>
      <w:kern w:val="0"/>
      <w:sz w:val="18"/>
    </w:rPr>
  </w:style>
  <w:style w:type="paragraph" w:customStyle="1" w:styleId="214">
    <w:name w:val="简单回函地址"/>
    <w:basedOn w:val="1"/>
    <w:qFormat/>
    <w:uiPriority w:val="0"/>
    <w:pPr>
      <w:adjustRightInd w:val="0"/>
      <w:snapToGrid w:val="0"/>
      <w:spacing w:line="360" w:lineRule="auto"/>
    </w:pPr>
    <w:rPr>
      <w:sz w:val="24"/>
    </w:rPr>
  </w:style>
  <w:style w:type="paragraph" w:customStyle="1" w:styleId="215">
    <w:name w:val="文档正文 Char Char Char Char Char"/>
    <w:basedOn w:val="1"/>
    <w:qFormat/>
    <w:uiPriority w:val="0"/>
    <w:pPr>
      <w:adjustRightInd w:val="0"/>
      <w:spacing w:line="440" w:lineRule="exact"/>
      <w:ind w:firstLine="420"/>
      <w:textAlignment w:val="baseline"/>
    </w:pPr>
    <w:rPr>
      <w:rFonts w:ascii="Arial Narrow" w:hAnsi="Arial Narrow"/>
      <w:kern w:val="0"/>
      <w:sz w:val="24"/>
    </w:rPr>
  </w:style>
  <w:style w:type="paragraph" w:customStyle="1" w:styleId="216">
    <w:name w:val="正文（首行不缩进）"/>
    <w:basedOn w:val="1"/>
    <w:qFormat/>
    <w:uiPriority w:val="0"/>
    <w:pPr>
      <w:autoSpaceDE w:val="0"/>
      <w:autoSpaceDN w:val="0"/>
      <w:adjustRightInd w:val="0"/>
      <w:spacing w:line="360" w:lineRule="auto"/>
      <w:jc w:val="left"/>
    </w:pPr>
    <w:rPr>
      <w:kern w:val="0"/>
      <w:sz w:val="21"/>
    </w:rPr>
  </w:style>
  <w:style w:type="paragraph" w:customStyle="1" w:styleId="217">
    <w:name w:val="正文1"/>
    <w:basedOn w:val="1"/>
    <w:qFormat/>
    <w:uiPriority w:val="0"/>
    <w:pPr>
      <w:spacing w:line="300" w:lineRule="auto"/>
      <w:ind w:firstLine="200" w:firstLineChars="200"/>
    </w:pPr>
    <w:rPr>
      <w:sz w:val="24"/>
    </w:rPr>
  </w:style>
  <w:style w:type="paragraph" w:customStyle="1" w:styleId="218">
    <w:name w:val="Figure Description"/>
    <w:next w:val="1"/>
    <w:qFormat/>
    <w:uiPriority w:val="0"/>
    <w:pPr>
      <w:snapToGrid w:val="0"/>
      <w:spacing w:before="80" w:after="320"/>
      <w:ind w:left="1134"/>
      <w:jc w:val="center"/>
    </w:pPr>
    <w:rPr>
      <w:rFonts w:ascii="Arial" w:hAnsi="Arial" w:eastAsia="黑体" w:cs="Times New Roman"/>
      <w:sz w:val="18"/>
      <w:lang w:val="en-US" w:eastAsia="zh-CN" w:bidi="ar-SA"/>
    </w:rPr>
  </w:style>
  <w:style w:type="paragraph" w:customStyle="1" w:styleId="219">
    <w:name w:val="普通正文"/>
    <w:basedOn w:val="1"/>
    <w:qFormat/>
    <w:uiPriority w:val="0"/>
    <w:pPr>
      <w:adjustRightInd w:val="0"/>
      <w:spacing w:before="120" w:after="120" w:line="360" w:lineRule="auto"/>
      <w:ind w:firstLine="480"/>
      <w:jc w:val="left"/>
      <w:textAlignment w:val="baseline"/>
    </w:pPr>
    <w:rPr>
      <w:rFonts w:ascii="Arial" w:hAnsi="Arial"/>
      <w:kern w:val="0"/>
      <w:sz w:val="24"/>
    </w:rPr>
  </w:style>
  <w:style w:type="paragraph" w:customStyle="1" w:styleId="220">
    <w:name w:val="表头样式"/>
    <w:basedOn w:val="1"/>
    <w:qFormat/>
    <w:uiPriority w:val="0"/>
    <w:pPr>
      <w:autoSpaceDE w:val="0"/>
      <w:autoSpaceDN w:val="0"/>
      <w:adjustRightInd w:val="0"/>
      <w:spacing w:line="360" w:lineRule="auto"/>
      <w:jc w:val="left"/>
    </w:pPr>
    <w:rPr>
      <w:b/>
      <w:kern w:val="0"/>
      <w:sz w:val="21"/>
    </w:rPr>
  </w:style>
  <w:style w:type="paragraph" w:customStyle="1" w:styleId="221">
    <w:name w:val="图片文字"/>
    <w:basedOn w:val="1"/>
    <w:qFormat/>
    <w:uiPriority w:val="0"/>
    <w:pPr>
      <w:spacing w:line="240" w:lineRule="atLeast"/>
      <w:jc w:val="center"/>
    </w:pPr>
    <w:rPr>
      <w:sz w:val="21"/>
    </w:rPr>
  </w:style>
  <w:style w:type="paragraph" w:customStyle="1" w:styleId="222">
    <w:name w:val="xl23"/>
    <w:basedOn w:val="1"/>
    <w:qFormat/>
    <w:uiPriority w:val="0"/>
    <w:pPr>
      <w:widowControl/>
      <w:spacing w:before="100" w:beforeAutospacing="1" w:after="100" w:afterAutospacing="1" w:line="360" w:lineRule="auto"/>
      <w:textAlignment w:val="top"/>
    </w:pPr>
    <w:rPr>
      <w:kern w:val="0"/>
      <w:sz w:val="24"/>
    </w:rPr>
  </w:style>
  <w:style w:type="paragraph" w:customStyle="1" w:styleId="223">
    <w:name w:val="附录3"/>
    <w:basedOn w:val="1"/>
    <w:next w:val="1"/>
    <w:qFormat/>
    <w:uiPriority w:val="0"/>
    <w:pPr>
      <w:tabs>
        <w:tab w:val="left" w:pos="851"/>
      </w:tabs>
      <w:ind w:left="425" w:hanging="425"/>
      <w:outlineLvl w:val="2"/>
    </w:pPr>
    <w:rPr>
      <w:rFonts w:eastAsia="黑体"/>
      <w:b/>
      <w:sz w:val="32"/>
    </w:rPr>
  </w:style>
  <w:style w:type="paragraph" w:customStyle="1" w:styleId="224">
    <w:name w:val="È±Ê¡ÎÄ±¾"/>
    <w:basedOn w:val="1"/>
    <w:qFormat/>
    <w:uiPriority w:val="0"/>
    <w:pPr>
      <w:widowControl/>
      <w:overflowPunct w:val="0"/>
      <w:autoSpaceDE w:val="0"/>
      <w:autoSpaceDN w:val="0"/>
      <w:adjustRightInd w:val="0"/>
      <w:jc w:val="left"/>
      <w:textAlignment w:val="baseline"/>
    </w:pPr>
    <w:rPr>
      <w:kern w:val="0"/>
      <w:sz w:val="24"/>
    </w:rPr>
  </w:style>
  <w:style w:type="paragraph" w:customStyle="1" w:styleId="225">
    <w:name w:val="首行缩进 1"/>
    <w:basedOn w:val="1"/>
    <w:qFormat/>
    <w:uiPriority w:val="0"/>
    <w:pPr>
      <w:spacing w:after="120" w:line="360" w:lineRule="auto"/>
      <w:ind w:firstLine="200" w:firstLineChars="200"/>
    </w:pPr>
    <w:rPr>
      <w:sz w:val="24"/>
    </w:rPr>
  </w:style>
  <w:style w:type="paragraph" w:customStyle="1" w:styleId="226">
    <w:name w:val="Char11"/>
    <w:basedOn w:val="1"/>
    <w:qFormat/>
    <w:uiPriority w:val="0"/>
    <w:pPr>
      <w:spacing w:line="240" w:lineRule="atLeast"/>
      <w:ind w:left="420" w:firstLine="420"/>
    </w:pPr>
    <w:rPr>
      <w:kern w:val="0"/>
      <w:sz w:val="21"/>
    </w:rPr>
  </w:style>
  <w:style w:type="paragraph" w:customStyle="1" w:styleId="227">
    <w:name w:val="司法正文"/>
    <w:qFormat/>
    <w:uiPriority w:val="0"/>
    <w:pPr>
      <w:widowControl w:val="0"/>
      <w:ind w:firstLine="200" w:firstLineChars="200"/>
      <w:jc w:val="both"/>
    </w:pPr>
    <w:rPr>
      <w:rFonts w:ascii="Times New Roman" w:hAnsi="Times New Roman" w:eastAsia="仿宋_GB2312" w:cs="Times New Roman"/>
      <w:sz w:val="32"/>
      <w:lang w:val="en-US" w:eastAsia="zh-CN" w:bidi="ar-SA"/>
    </w:rPr>
  </w:style>
  <w:style w:type="paragraph" w:customStyle="1" w:styleId="228">
    <w:name w:val="Table Text Char Char"/>
    <w:qFormat/>
    <w:uiPriority w:val="0"/>
    <w:pPr>
      <w:snapToGrid w:val="0"/>
      <w:spacing w:before="80" w:after="80"/>
    </w:pPr>
    <w:rPr>
      <w:rFonts w:ascii="Arial" w:hAnsi="Arial" w:eastAsia="宋体" w:cs="Times New Roman"/>
      <w:kern w:val="2"/>
      <w:sz w:val="18"/>
      <w:lang w:val="en-US" w:eastAsia="zh-CN" w:bidi="ar-SA"/>
    </w:rPr>
  </w:style>
  <w:style w:type="paragraph" w:customStyle="1" w:styleId="229">
    <w:name w:val="样式1xz"/>
    <w:basedOn w:val="1"/>
    <w:qFormat/>
    <w:uiPriority w:val="0"/>
    <w:pPr>
      <w:tabs>
        <w:tab w:val="left" w:pos="1050"/>
        <w:tab w:val="right" w:leader="dot" w:pos="8296"/>
      </w:tabs>
    </w:pPr>
    <w:rPr>
      <w:caps/>
      <w:spacing w:val="20"/>
      <w:sz w:val="24"/>
    </w:rPr>
  </w:style>
  <w:style w:type="paragraph" w:customStyle="1" w:styleId="230">
    <w:name w:val="缺省文本"/>
    <w:basedOn w:val="1"/>
    <w:qFormat/>
    <w:uiPriority w:val="0"/>
    <w:pPr>
      <w:tabs>
        <w:tab w:val="left" w:pos="1260"/>
      </w:tabs>
      <w:autoSpaceDE w:val="0"/>
      <w:autoSpaceDN w:val="0"/>
      <w:adjustRightInd w:val="0"/>
      <w:spacing w:line="360" w:lineRule="auto"/>
      <w:jc w:val="left"/>
    </w:pPr>
    <w:rPr>
      <w:kern w:val="0"/>
      <w:sz w:val="24"/>
    </w:rPr>
  </w:style>
  <w:style w:type="paragraph" w:customStyle="1" w:styleId="231">
    <w:name w:val="Char1"/>
    <w:basedOn w:val="1"/>
    <w:qFormat/>
    <w:uiPriority w:val="0"/>
    <w:rPr>
      <w:sz w:val="21"/>
    </w:rPr>
  </w:style>
  <w:style w:type="paragraph" w:customStyle="1" w:styleId="232">
    <w:name w:val="Note"/>
    <w:basedOn w:val="1"/>
    <w:qFormat/>
    <w:uiPriority w:val="0"/>
    <w:pPr>
      <w:pBdr>
        <w:top w:val="single" w:color="auto" w:sz="12" w:space="3"/>
        <w:bottom w:val="single" w:color="auto" w:sz="12" w:space="3"/>
      </w:pBdr>
      <w:spacing w:line="360" w:lineRule="auto"/>
    </w:pPr>
    <w:rPr>
      <w:sz w:val="24"/>
    </w:rPr>
  </w:style>
  <w:style w:type="paragraph" w:customStyle="1" w:styleId="233">
    <w:name w:val="Char Char Char Char Char Char Char Char Char Char Char Char Char Char Char Char"/>
    <w:basedOn w:val="1"/>
    <w:qFormat/>
    <w:uiPriority w:val="0"/>
    <w:pPr>
      <w:tabs>
        <w:tab w:val="left" w:pos="360"/>
      </w:tabs>
    </w:pPr>
    <w:rPr>
      <w:sz w:val="24"/>
    </w:rPr>
  </w:style>
  <w:style w:type="paragraph" w:customStyle="1" w:styleId="234">
    <w:name w:val="样式 宋体 五号 行距: 单倍行距"/>
    <w:basedOn w:val="1"/>
    <w:qFormat/>
    <w:uiPriority w:val="0"/>
    <w:pPr>
      <w:adjustRightInd w:val="0"/>
      <w:jc w:val="left"/>
    </w:pPr>
    <w:rPr>
      <w:rFonts w:ascii="宋体" w:hAnsi="宋体"/>
      <w:kern w:val="0"/>
      <w:sz w:val="21"/>
    </w:rPr>
  </w:style>
  <w:style w:type="paragraph" w:customStyle="1" w:styleId="235">
    <w:name w:val="操作步骤"/>
    <w:basedOn w:val="1"/>
    <w:qFormat/>
    <w:uiPriority w:val="0"/>
    <w:pPr>
      <w:numPr>
        <w:ilvl w:val="0"/>
        <w:numId w:val="13"/>
      </w:numPr>
      <w:autoSpaceDE w:val="0"/>
      <w:autoSpaceDN w:val="0"/>
      <w:adjustRightInd w:val="0"/>
      <w:snapToGrid w:val="0"/>
      <w:spacing w:line="40" w:lineRule="atLeast"/>
      <w:textAlignment w:val="bottom"/>
    </w:pPr>
    <w:rPr>
      <w:rFonts w:ascii="昆仑楷体" w:eastAsia="楷体_GB2312"/>
      <w:kern w:val="0"/>
      <w:sz w:val="21"/>
    </w:rPr>
  </w:style>
  <w:style w:type="paragraph" w:customStyle="1" w:styleId="236">
    <w:name w:val="Table Heading"/>
    <w:qFormat/>
    <w:uiPriority w:val="0"/>
    <w:pPr>
      <w:keepNext/>
      <w:snapToGrid w:val="0"/>
      <w:spacing w:before="80" w:after="80"/>
      <w:jc w:val="center"/>
    </w:pPr>
    <w:rPr>
      <w:rFonts w:ascii="Arial" w:hAnsi="Arial" w:eastAsia="黑体" w:cs="Times New Roman"/>
      <w:sz w:val="18"/>
      <w:lang w:val="en-US" w:eastAsia="zh-CN" w:bidi="ar-SA"/>
    </w:rPr>
  </w:style>
  <w:style w:type="paragraph" w:customStyle="1" w:styleId="237">
    <w:name w:val="bt"/>
    <w:basedOn w:val="1"/>
    <w:next w:val="2"/>
    <w:qFormat/>
    <w:uiPriority w:val="0"/>
    <w:pPr>
      <w:overflowPunct w:val="0"/>
      <w:autoSpaceDE w:val="0"/>
      <w:autoSpaceDN w:val="0"/>
      <w:adjustRightInd w:val="0"/>
      <w:snapToGrid w:val="0"/>
      <w:spacing w:before="100" w:after="100" w:line="240" w:lineRule="atLeast"/>
      <w:ind w:left="2880" w:hanging="360"/>
      <w:textAlignment w:val="baseline"/>
    </w:pPr>
    <w:rPr>
      <w:rFonts w:ascii="宋体"/>
      <w:kern w:val="0"/>
      <w:sz w:val="20"/>
    </w:rPr>
  </w:style>
  <w:style w:type="paragraph" w:customStyle="1" w:styleId="238">
    <w:name w:val="图例"/>
    <w:basedOn w:val="1"/>
    <w:qFormat/>
    <w:uiPriority w:val="0"/>
    <w:pPr>
      <w:spacing w:before="120" w:after="120" w:line="360" w:lineRule="auto"/>
      <w:jc w:val="center"/>
    </w:pPr>
    <w:rPr>
      <w:rFonts w:eastAsia="仿宋_GB2312"/>
      <w:b/>
      <w:sz w:val="24"/>
    </w:rPr>
  </w:style>
  <w:style w:type="character" w:customStyle="1" w:styleId="239">
    <w:name w:val="标题 2 字符"/>
    <w:qFormat/>
    <w:uiPriority w:val="0"/>
    <w:rPr>
      <w:rFonts w:ascii="Arial" w:hAnsi="Arial" w:eastAsia="黑体"/>
      <w:b/>
      <w:kern w:val="2"/>
      <w:sz w:val="32"/>
    </w:rPr>
  </w:style>
  <w:style w:type="character" w:customStyle="1" w:styleId="240">
    <w:name w:val="正文文本缩进 2 字符"/>
    <w:qFormat/>
    <w:uiPriority w:val="0"/>
    <w:rPr>
      <w:kern w:val="2"/>
      <w:sz w:val="28"/>
    </w:rPr>
  </w:style>
  <w:style w:type="character" w:customStyle="1" w:styleId="241">
    <w:name w:val="纯文本 字符"/>
    <w:basedOn w:val="60"/>
    <w:link w:val="31"/>
    <w:qFormat/>
    <w:uiPriority w:val="0"/>
    <w:rPr>
      <w:rFonts w:hint="eastAsia" w:ascii="宋体" w:hAnsi="Courier New" w:eastAsia="宋体" w:cs="宋体"/>
      <w:kern w:val="2"/>
      <w:sz w:val="21"/>
    </w:rPr>
  </w:style>
  <w:style w:type="paragraph" w:styleId="242">
    <w:name w:val="List Paragraph"/>
    <w:basedOn w:val="1"/>
    <w:qFormat/>
    <w:uiPriority w:val="34"/>
    <w:pPr>
      <w:widowControl/>
      <w:adjustRightInd w:val="0"/>
      <w:snapToGrid w:val="0"/>
      <w:spacing w:after="200"/>
      <w:ind w:firstLine="420" w:firstLineChars="200"/>
      <w:jc w:val="left"/>
    </w:pPr>
    <w:rPr>
      <w:rFonts w:ascii="Tahoma" w:hAnsi="Tahoma" w:eastAsia="微软雅黑" w:cstheme="minorBidi"/>
      <w:kern w:val="0"/>
      <w:sz w:val="22"/>
      <w:szCs w:val="22"/>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theme" Target="theme/theme1.xml"/><Relationship Id="rId12" Type="http://schemas.openxmlformats.org/officeDocument/2006/relationships/footer" Target="footer7.xml"/><Relationship Id="rId11" Type="http://schemas.openxmlformats.org/officeDocument/2006/relationships/header" Target="header3.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Manager>罗成</Manager>
  <Company>重庆市政府采购中心</Company>
  <Pages>27</Pages>
  <Words>2042</Words>
  <Characters>11644</Characters>
  <Lines>97</Lines>
  <Paragraphs>27</Paragraphs>
  <TotalTime>3</TotalTime>
  <ScaleCrop>false</ScaleCrop>
  <LinksUpToDate>false</LinksUpToDate>
  <CharactersWithSpaces>13659</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2024-10-15T03:18:00Z</dcterms:created>
  <dc:creator>周媛媛</dc:creator>
  <cp:lastModifiedBy>李薛龙</cp:lastModifiedBy>
  <cp:lastPrinted>2015-03-25T02:14:00Z</cp:lastPrinted>
  <dcterms:modified xsi:type="dcterms:W3CDTF">2026-05-14T03:10:25Z</dcterms:modified>
  <dc:title>竞争性谈判文件</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3CA2D64E2BE64F45B7FB39423EA8C96C</vt:lpwstr>
  </property>
</Properties>
</file>