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微软雅黑" w:hAnsi="微软雅黑" w:eastAsia="微软雅黑" w:cs="微软雅黑"/>
        </w:rPr>
      </w:pPr>
    </w:p>
    <w:p>
      <w:pPr>
        <w:spacing w:line="1600" w:lineRule="exact"/>
        <w:jc w:val="center"/>
        <w:outlineLvl w:val="0"/>
        <w:rPr>
          <w:rFonts w:hint="eastAsia" w:ascii="微软雅黑" w:hAnsi="微软雅黑" w:eastAsia="微软雅黑" w:cs="微软雅黑"/>
          <w:sz w:val="100"/>
        </w:rPr>
      </w:pPr>
    </w:p>
    <w:p>
      <w:pPr>
        <w:spacing w:line="1600" w:lineRule="exact"/>
        <w:jc w:val="center"/>
        <w:outlineLvl w:val="0"/>
        <w:rPr>
          <w:rFonts w:hint="eastAsia" w:ascii="微软雅黑" w:hAnsi="微软雅黑" w:eastAsia="微软雅黑" w:cs="微软雅黑"/>
          <w:sz w:val="130"/>
          <w:szCs w:val="130"/>
          <w:lang w:eastAsia="zh-CN"/>
        </w:rPr>
      </w:pPr>
      <w:r>
        <w:rPr>
          <w:rFonts w:hint="eastAsia" w:ascii="微软雅黑" w:hAnsi="微软雅黑" w:eastAsia="微软雅黑" w:cs="微软雅黑"/>
          <w:sz w:val="130"/>
          <w:szCs w:val="130"/>
          <w:lang w:eastAsia="zh-CN"/>
        </w:rPr>
        <w:t>耗材遴选</w:t>
      </w: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采购文件</w:t>
      </w:r>
    </w:p>
    <w:p>
      <w:pPr>
        <w:pStyle w:val="69"/>
        <w:spacing w:before="100" w:after="100" w:line="300" w:lineRule="auto"/>
        <w:jc w:val="center"/>
        <w:rPr>
          <w:rFonts w:hint="eastAsia" w:ascii="微软雅黑" w:hAnsi="微软雅黑" w:eastAsia="微软雅黑" w:cs="微软雅黑"/>
          <w:sz w:val="32"/>
        </w:rPr>
      </w:pPr>
      <w:r>
        <w:rPr>
          <w:rFonts w:hint="eastAsia" w:ascii="微软雅黑" w:hAnsi="微软雅黑" w:eastAsia="微软雅黑" w:cs="微软雅黑"/>
          <w:b w:val="0"/>
          <w:sz w:val="130"/>
          <w:szCs w:val="130"/>
        </w:rPr>
        <w:t xml:space="preserve">   </w:t>
      </w:r>
    </w:p>
    <w:p>
      <w:pPr>
        <w:pStyle w:val="70"/>
        <w:rPr>
          <w:rFonts w:hint="eastAsia" w:ascii="微软雅黑" w:hAnsi="微软雅黑" w:eastAsia="微软雅黑" w:cs="微软雅黑"/>
          <w:kern w:val="2"/>
          <w:sz w:val="44"/>
          <w:szCs w:val="44"/>
        </w:rPr>
      </w:pPr>
    </w:p>
    <w:p>
      <w:pPr>
        <w:spacing w:line="360" w:lineRule="auto"/>
        <w:ind w:firstLine="1800" w:firstLine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项目编号：</w:t>
      </w:r>
      <w:r>
        <w:rPr>
          <w:rFonts w:hint="eastAsia" w:ascii="微软雅黑" w:hAnsi="微软雅黑" w:eastAsia="微软雅黑" w:cs="微软雅黑"/>
          <w:sz w:val="36"/>
          <w:szCs w:val="36"/>
          <w:u w:val="single"/>
        </w:rPr>
        <w:t>YSB2</w:t>
      </w:r>
      <w:r>
        <w:rPr>
          <w:rFonts w:hint="eastAsia" w:ascii="微软雅黑" w:hAnsi="微软雅黑" w:eastAsia="微软雅黑" w:cs="微软雅黑"/>
          <w:sz w:val="36"/>
          <w:szCs w:val="36"/>
          <w:u w:val="single"/>
          <w:lang w:val="en-US" w:eastAsia="zh-CN"/>
        </w:rPr>
        <w:t>60230</w:t>
      </w:r>
    </w:p>
    <w:p>
      <w:pPr>
        <w:spacing w:line="360" w:lineRule="auto"/>
        <w:ind w:left="3592" w:leftChars="640" w:hanging="1800" w:hangingChars="500"/>
        <w:outlineLvl w:val="0"/>
        <w:rPr>
          <w:rFonts w:hint="default"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rPr>
        <w:t>项目名称：</w:t>
      </w:r>
      <w:r>
        <w:rPr>
          <w:rFonts w:hint="eastAsia" w:ascii="微软雅黑" w:hAnsi="微软雅黑" w:eastAsia="微软雅黑" w:cs="微软雅黑"/>
          <w:sz w:val="36"/>
          <w:szCs w:val="36"/>
          <w:u w:val="single"/>
          <w:lang w:eastAsia="zh-CN"/>
        </w:rPr>
        <w:t>医用外科口罩</w:t>
      </w:r>
    </w:p>
    <w:p>
      <w:pPr>
        <w:spacing w:line="500" w:lineRule="exact"/>
        <w:outlineLvl w:val="0"/>
        <w:rPr>
          <w:rFonts w:hint="eastAsia" w:ascii="微软雅黑" w:hAnsi="微软雅黑" w:eastAsia="微软雅黑" w:cs="微软雅黑"/>
          <w:sz w:val="36"/>
          <w:szCs w:val="36"/>
        </w:rPr>
      </w:pPr>
    </w:p>
    <w:p>
      <w:pPr>
        <w:pStyle w:val="2"/>
        <w:rPr>
          <w:rFonts w:hint="eastAsia"/>
        </w:rPr>
      </w:pPr>
    </w:p>
    <w:p>
      <w:pPr>
        <w:rPr>
          <w:rFonts w:hint="eastAsia"/>
        </w:rPr>
      </w:pPr>
    </w:p>
    <w:p>
      <w:pPr>
        <w:spacing w:line="500" w:lineRule="exact"/>
        <w:jc w:val="center"/>
        <w:outlineLvl w:val="0"/>
        <w:rPr>
          <w:rFonts w:hint="eastAsia" w:ascii="微软雅黑" w:hAnsi="微软雅黑" w:eastAsia="微软雅黑" w:cs="微软雅黑"/>
          <w:sz w:val="36"/>
          <w:szCs w:val="36"/>
        </w:rPr>
      </w:pPr>
    </w:p>
    <w:p>
      <w:pPr>
        <w:spacing w:line="500" w:lineRule="exact"/>
        <w:jc w:val="center"/>
        <w:outlineLvl w:val="0"/>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spacing w:line="720" w:lineRule="exact"/>
        <w:jc w:val="center"/>
        <w:outlineLvl w:val="0"/>
        <w:rPr>
          <w:rFonts w:hint="eastAsia" w:ascii="微软雅黑" w:hAnsi="微软雅黑" w:eastAsia="微软雅黑" w:cs="微软雅黑"/>
          <w:sz w:val="48"/>
          <w:szCs w:val="32"/>
        </w:rPr>
      </w:pPr>
      <w:r>
        <w:rPr>
          <w:rFonts w:hint="eastAsia" w:ascii="微软雅黑" w:hAnsi="微软雅黑" w:eastAsia="微软雅黑" w:cs="微软雅黑"/>
          <w:sz w:val="36"/>
          <w:szCs w:val="36"/>
        </w:rPr>
        <w:t>202</w:t>
      </w:r>
      <w:r>
        <w:rPr>
          <w:rFonts w:hint="eastAsia" w:ascii="微软雅黑" w:hAnsi="微软雅黑" w:eastAsia="微软雅黑" w:cs="微软雅黑"/>
          <w:sz w:val="36"/>
          <w:szCs w:val="36"/>
          <w:lang w:val="en-US" w:eastAsia="zh-CN"/>
        </w:rPr>
        <w:t>6</w:t>
      </w:r>
      <w:r>
        <w:rPr>
          <w:rFonts w:hint="eastAsia" w:ascii="微软雅黑" w:hAnsi="微软雅黑" w:eastAsia="微软雅黑" w:cs="微软雅黑"/>
          <w:sz w:val="36"/>
          <w:szCs w:val="36"/>
        </w:rPr>
        <w:t>年</w:t>
      </w:r>
      <w:r>
        <w:rPr>
          <w:rFonts w:hint="eastAsia" w:ascii="微软雅黑" w:hAnsi="微软雅黑" w:eastAsia="微软雅黑" w:cs="微软雅黑"/>
          <w:sz w:val="36"/>
          <w:szCs w:val="36"/>
          <w:lang w:val="en-US" w:eastAsia="zh-CN"/>
        </w:rPr>
        <w:t>5</w:t>
      </w:r>
      <w:r>
        <w:rPr>
          <w:rFonts w:hint="eastAsia" w:ascii="微软雅黑" w:hAnsi="微软雅黑" w:eastAsia="微软雅黑" w:cs="微软雅黑"/>
          <w:sz w:val="36"/>
          <w:szCs w:val="36"/>
        </w:rPr>
        <w:t>月</w:t>
      </w:r>
    </w:p>
    <w:p>
      <w:pPr>
        <w:spacing w:line="720" w:lineRule="exact"/>
        <w:jc w:val="center"/>
        <w:outlineLvl w:val="0"/>
        <w:rPr>
          <w:rFonts w:hint="eastAsia" w:ascii="微软雅黑" w:hAnsi="微软雅黑" w:eastAsia="微软雅黑" w:cs="微软雅黑"/>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微软雅黑" w:hAnsi="微软雅黑" w:eastAsia="微软雅黑" w:cs="微软雅黑"/>
          <w:sz w:val="44"/>
          <w:szCs w:val="28"/>
        </w:rPr>
      </w:pPr>
      <w:r>
        <w:rPr>
          <w:rFonts w:hint="eastAsia" w:ascii="微软雅黑" w:hAnsi="微软雅黑" w:eastAsia="微软雅黑" w:cs="微软雅黑"/>
          <w:sz w:val="44"/>
          <w:szCs w:val="28"/>
        </w:rPr>
        <w:t>目   录</w:t>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_Toc7678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采购邀请书</w:t>
      </w:r>
      <w:r>
        <w:rPr>
          <w:sz w:val="24"/>
          <w:szCs w:val="24"/>
        </w:rPr>
        <w:tab/>
      </w:r>
      <w:r>
        <w:rPr>
          <w:sz w:val="24"/>
          <w:szCs w:val="24"/>
        </w:rPr>
        <w:fldChar w:fldCharType="begin"/>
      </w:r>
      <w:r>
        <w:rPr>
          <w:sz w:val="24"/>
          <w:szCs w:val="24"/>
        </w:rPr>
        <w:instrText xml:space="preserve"> PAGEREF _Toc7678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_Toc18148 </w:instrText>
      </w:r>
      <w:r>
        <w:rPr>
          <w:rFonts w:hint="eastAsia" w:ascii="微软雅黑" w:hAnsi="微软雅黑" w:eastAsia="微软雅黑" w:cs="微软雅黑"/>
          <w:sz w:val="24"/>
          <w:szCs w:val="24"/>
        </w:rPr>
        <w:fldChar w:fldCharType="separate"/>
      </w:r>
      <w:r>
        <w:rPr>
          <w:rFonts w:hint="default" w:ascii="微软雅黑" w:hAnsi="微软雅黑" w:eastAsia="微软雅黑" w:cs="微软雅黑"/>
          <w:sz w:val="24"/>
          <w:szCs w:val="24"/>
        </w:rPr>
        <w:t xml:space="preserve">一、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w:t>
      </w:r>
      <w:r>
        <w:rPr>
          <w:sz w:val="24"/>
          <w:szCs w:val="24"/>
        </w:rPr>
        <w:tab/>
      </w:r>
      <w:r>
        <w:rPr>
          <w:sz w:val="24"/>
          <w:szCs w:val="24"/>
        </w:rPr>
        <w:fldChar w:fldCharType="begin"/>
      </w:r>
      <w:r>
        <w:rPr>
          <w:sz w:val="24"/>
          <w:szCs w:val="24"/>
        </w:rPr>
        <w:instrText xml:space="preserve"> PAGEREF _Toc18148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_Toc30460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二、投标人资格条件</w:t>
      </w:r>
      <w:r>
        <w:rPr>
          <w:sz w:val="24"/>
          <w:szCs w:val="24"/>
        </w:rPr>
        <w:tab/>
      </w:r>
      <w:r>
        <w:rPr>
          <w:sz w:val="24"/>
          <w:szCs w:val="24"/>
        </w:rPr>
        <w:fldChar w:fldCharType="begin"/>
      </w:r>
      <w:r>
        <w:rPr>
          <w:sz w:val="24"/>
          <w:szCs w:val="24"/>
        </w:rPr>
        <w:instrText xml:space="preserve"> PAGEREF _Toc30460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_Toc5002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三、比选有关说明</w:t>
      </w:r>
      <w:r>
        <w:rPr>
          <w:sz w:val="24"/>
          <w:szCs w:val="24"/>
        </w:rPr>
        <w:tab/>
      </w:r>
      <w:r>
        <w:rPr>
          <w:sz w:val="24"/>
          <w:szCs w:val="24"/>
        </w:rPr>
        <w:fldChar w:fldCharType="begin"/>
      </w:r>
      <w:r>
        <w:rPr>
          <w:sz w:val="24"/>
          <w:szCs w:val="24"/>
        </w:rPr>
        <w:instrText xml:space="preserve"> PAGEREF _Toc5002 \h </w:instrText>
      </w:r>
      <w:r>
        <w:rPr>
          <w:sz w:val="24"/>
          <w:szCs w:val="24"/>
        </w:rPr>
        <w:fldChar w:fldCharType="separate"/>
      </w:r>
      <w:r>
        <w:rPr>
          <w:sz w:val="24"/>
          <w:szCs w:val="24"/>
        </w:rPr>
        <w:t>- 3 -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_Toc28629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四、保证金</w:t>
      </w:r>
      <w:r>
        <w:rPr>
          <w:sz w:val="24"/>
          <w:szCs w:val="24"/>
        </w:rPr>
        <w:tab/>
      </w:r>
      <w:r>
        <w:rPr>
          <w:sz w:val="24"/>
          <w:szCs w:val="24"/>
        </w:rPr>
        <w:fldChar w:fldCharType="begin"/>
      </w:r>
      <w:r>
        <w:rPr>
          <w:sz w:val="24"/>
          <w:szCs w:val="24"/>
        </w:rPr>
        <w:instrText xml:space="preserve"> PAGEREF _Toc28629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_Toc23490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五、其它</w:t>
      </w:r>
      <w:r>
        <w:rPr>
          <w:sz w:val="24"/>
          <w:szCs w:val="24"/>
        </w:rPr>
        <w:tab/>
      </w:r>
      <w:r>
        <w:rPr>
          <w:sz w:val="24"/>
          <w:szCs w:val="24"/>
        </w:rPr>
        <w:fldChar w:fldCharType="begin"/>
      </w:r>
      <w:r>
        <w:rPr>
          <w:sz w:val="24"/>
          <w:szCs w:val="24"/>
        </w:rPr>
        <w:instrText xml:space="preserve"> PAGEREF _Toc23490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_Toc20454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六、联系方式</w:t>
      </w:r>
      <w:r>
        <w:rPr>
          <w:sz w:val="24"/>
          <w:szCs w:val="24"/>
        </w:rPr>
        <w:tab/>
      </w:r>
      <w:r>
        <w:rPr>
          <w:sz w:val="24"/>
          <w:szCs w:val="24"/>
        </w:rPr>
        <w:fldChar w:fldCharType="begin"/>
      </w:r>
      <w:r>
        <w:rPr>
          <w:sz w:val="24"/>
          <w:szCs w:val="24"/>
        </w:rPr>
        <w:instrText xml:space="preserve"> PAGEREF _Toc20454 \h </w:instrText>
      </w:r>
      <w:r>
        <w:rPr>
          <w:sz w:val="24"/>
          <w:szCs w:val="24"/>
        </w:rPr>
        <w:fldChar w:fldCharType="separate"/>
      </w:r>
      <w:r>
        <w:rPr>
          <w:sz w:val="24"/>
          <w:szCs w:val="24"/>
        </w:rPr>
        <w:t>- 4 -</w:t>
      </w:r>
      <w:r>
        <w:rPr>
          <w:sz w:val="24"/>
          <w:szCs w:val="24"/>
        </w:rPr>
        <w:fldChar w:fldCharType="end"/>
      </w:r>
      <w:r>
        <w:rPr>
          <w:rFonts w:hint="eastAsia" w:ascii="微软雅黑" w:hAnsi="微软雅黑" w:eastAsia="微软雅黑" w:cs="微软雅黑"/>
          <w:sz w:val="24"/>
          <w:szCs w:val="24"/>
        </w:rPr>
        <w:fldChar w:fldCharType="end"/>
      </w:r>
    </w:p>
    <w:p>
      <w:pPr>
        <w:pStyle w:val="38"/>
        <w:tabs>
          <w:tab w:val="right" w:leader="dot" w:pos="9412"/>
        </w:tabs>
        <w:rPr>
          <w:sz w:val="24"/>
          <w:szCs w:val="24"/>
        </w:rPr>
      </w:pP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_Toc20802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项目技术（质量）需求</w:t>
      </w:r>
      <w:r>
        <w:rPr>
          <w:sz w:val="24"/>
          <w:szCs w:val="24"/>
        </w:rPr>
        <w:tab/>
      </w:r>
      <w:r>
        <w:rPr>
          <w:sz w:val="24"/>
          <w:szCs w:val="24"/>
        </w:rPr>
        <w:fldChar w:fldCharType="begin"/>
      </w:r>
      <w:r>
        <w:rPr>
          <w:sz w:val="24"/>
          <w:szCs w:val="24"/>
        </w:rPr>
        <w:instrText xml:space="preserve"> PAGEREF _Toc20802 \h </w:instrText>
      </w:r>
      <w:r>
        <w:rPr>
          <w:sz w:val="24"/>
          <w:szCs w:val="24"/>
        </w:rPr>
        <w:fldChar w:fldCharType="separate"/>
      </w:r>
      <w:r>
        <w:rPr>
          <w:sz w:val="24"/>
          <w:szCs w:val="24"/>
        </w:rPr>
        <w:t>- 5 -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项目商务需求</w:t>
      </w:r>
      <w:r>
        <w:rPr>
          <w:sz w:val="24"/>
          <w:szCs w:val="24"/>
        </w:rPr>
        <w:tab/>
      </w:r>
      <w:r>
        <w:rPr>
          <w:sz w:val="24"/>
          <w:szCs w:val="24"/>
        </w:rPr>
        <w:fldChar w:fldCharType="begin"/>
      </w:r>
      <w:r>
        <w:rPr>
          <w:sz w:val="24"/>
          <w:szCs w:val="24"/>
        </w:rPr>
        <w:instrText xml:space="preserve"> PAGEREF _Toc17712 \h </w:instrText>
      </w:r>
      <w:r>
        <w:rPr>
          <w:sz w:val="24"/>
          <w:szCs w:val="24"/>
        </w:rPr>
        <w:fldChar w:fldCharType="separate"/>
      </w:r>
      <w:r>
        <w:rPr>
          <w:sz w:val="24"/>
          <w:szCs w:val="24"/>
        </w:rPr>
        <w:t>- 6 -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_Toc14419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xml:space="preserve">第四篇  </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采购程序及方法、评审标准、无效响应和采购终止</w:t>
      </w:r>
      <w:r>
        <w:rPr>
          <w:sz w:val="24"/>
          <w:szCs w:val="24"/>
        </w:rPr>
        <w:tab/>
      </w:r>
      <w:r>
        <w:rPr>
          <w:sz w:val="24"/>
          <w:szCs w:val="24"/>
        </w:rPr>
        <w:fldChar w:fldCharType="begin"/>
      </w:r>
      <w:r>
        <w:rPr>
          <w:sz w:val="24"/>
          <w:szCs w:val="24"/>
        </w:rPr>
        <w:instrText xml:space="preserve"> PAGEREF _Toc14419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采购程序</w:t>
      </w:r>
      <w:r>
        <w:rPr>
          <w:sz w:val="24"/>
          <w:szCs w:val="24"/>
        </w:rPr>
        <w:tab/>
      </w:r>
      <w:r>
        <w:rPr>
          <w:sz w:val="24"/>
          <w:szCs w:val="24"/>
        </w:rPr>
        <w:fldChar w:fldCharType="begin"/>
      </w:r>
      <w:r>
        <w:rPr>
          <w:sz w:val="24"/>
          <w:szCs w:val="24"/>
        </w:rPr>
        <w:instrText xml:space="preserve"> PAGEREF _Toc3410 \h </w:instrText>
      </w:r>
      <w:r>
        <w:rPr>
          <w:sz w:val="24"/>
          <w:szCs w:val="24"/>
        </w:rPr>
        <w:fldChar w:fldCharType="separate"/>
      </w:r>
      <w:r>
        <w:rPr>
          <w:sz w:val="24"/>
          <w:szCs w:val="24"/>
        </w:rPr>
        <w:t>- 7 -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_Toc29068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二、评标方法</w:t>
      </w:r>
      <w:r>
        <w:rPr>
          <w:sz w:val="24"/>
          <w:szCs w:val="24"/>
        </w:rPr>
        <w:tab/>
      </w:r>
      <w:r>
        <w:rPr>
          <w:sz w:val="24"/>
          <w:szCs w:val="24"/>
        </w:rPr>
        <w:fldChar w:fldCharType="begin"/>
      </w:r>
      <w:r>
        <w:rPr>
          <w:sz w:val="24"/>
          <w:szCs w:val="24"/>
        </w:rPr>
        <w:instrText xml:space="preserve"> PAGEREF _Toc29068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_Toc4078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三、报价方式</w:t>
      </w:r>
      <w:r>
        <w:rPr>
          <w:sz w:val="24"/>
          <w:szCs w:val="24"/>
        </w:rPr>
        <w:tab/>
      </w:r>
      <w:r>
        <w:rPr>
          <w:sz w:val="24"/>
          <w:szCs w:val="24"/>
        </w:rPr>
        <w:fldChar w:fldCharType="begin"/>
      </w:r>
      <w:r>
        <w:rPr>
          <w:sz w:val="24"/>
          <w:szCs w:val="24"/>
        </w:rPr>
        <w:instrText xml:space="preserve"> PAGEREF _Toc4078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_Toc13703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bCs/>
          <w:sz w:val="24"/>
          <w:szCs w:val="24"/>
        </w:rPr>
        <w:t>本项目投标人可在投标现场进行第二次报价。</w:t>
      </w:r>
      <w:r>
        <w:rPr>
          <w:sz w:val="24"/>
          <w:szCs w:val="24"/>
        </w:rPr>
        <w:tab/>
      </w:r>
      <w:r>
        <w:rPr>
          <w:sz w:val="24"/>
          <w:szCs w:val="24"/>
        </w:rPr>
        <w:fldChar w:fldCharType="begin"/>
      </w:r>
      <w:r>
        <w:rPr>
          <w:sz w:val="24"/>
          <w:szCs w:val="24"/>
        </w:rPr>
        <w:instrText xml:space="preserve"> PAGEREF _Toc13703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_Toc23723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四、评审标准</w:t>
      </w:r>
      <w:r>
        <w:rPr>
          <w:sz w:val="24"/>
          <w:szCs w:val="24"/>
        </w:rPr>
        <w:tab/>
      </w:r>
      <w:r>
        <w:rPr>
          <w:sz w:val="24"/>
          <w:szCs w:val="24"/>
        </w:rPr>
        <w:fldChar w:fldCharType="begin"/>
      </w:r>
      <w:r>
        <w:rPr>
          <w:sz w:val="24"/>
          <w:szCs w:val="24"/>
        </w:rPr>
        <w:instrText xml:space="preserve"> PAGEREF _Toc23723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_Toc4326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五、无效响应</w:t>
      </w:r>
      <w:r>
        <w:rPr>
          <w:sz w:val="24"/>
          <w:szCs w:val="24"/>
        </w:rPr>
        <w:tab/>
      </w:r>
      <w:r>
        <w:rPr>
          <w:sz w:val="24"/>
          <w:szCs w:val="24"/>
        </w:rPr>
        <w:fldChar w:fldCharType="begin"/>
      </w:r>
      <w:r>
        <w:rPr>
          <w:sz w:val="24"/>
          <w:szCs w:val="24"/>
        </w:rPr>
        <w:instrText xml:space="preserve"> PAGEREF _Toc4326 \h </w:instrText>
      </w:r>
      <w:r>
        <w:rPr>
          <w:sz w:val="24"/>
          <w:szCs w:val="24"/>
        </w:rPr>
        <w:fldChar w:fldCharType="separate"/>
      </w:r>
      <w:r>
        <w:rPr>
          <w:sz w:val="24"/>
          <w:szCs w:val="24"/>
        </w:rPr>
        <w:t>- 8 -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_Toc25327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六、废标条款</w:t>
      </w:r>
      <w:r>
        <w:rPr>
          <w:sz w:val="24"/>
          <w:szCs w:val="24"/>
        </w:rPr>
        <w:tab/>
      </w:r>
      <w:r>
        <w:rPr>
          <w:sz w:val="24"/>
          <w:szCs w:val="24"/>
        </w:rPr>
        <w:fldChar w:fldCharType="begin"/>
      </w:r>
      <w:r>
        <w:rPr>
          <w:sz w:val="24"/>
          <w:szCs w:val="24"/>
        </w:rPr>
        <w:instrText xml:space="preserve"> PAGEREF _Toc25327 \h </w:instrText>
      </w:r>
      <w:r>
        <w:rPr>
          <w:sz w:val="24"/>
          <w:szCs w:val="24"/>
        </w:rPr>
        <w:fldChar w:fldCharType="separate"/>
      </w:r>
      <w:r>
        <w:rPr>
          <w:sz w:val="24"/>
          <w:szCs w:val="24"/>
        </w:rPr>
        <w:t>- 9 -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_Toc7572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第五篇  投标人须知</w:t>
      </w:r>
      <w:r>
        <w:rPr>
          <w:sz w:val="24"/>
          <w:szCs w:val="24"/>
        </w:rPr>
        <w:tab/>
      </w:r>
      <w:r>
        <w:rPr>
          <w:sz w:val="24"/>
          <w:szCs w:val="24"/>
        </w:rPr>
        <w:fldChar w:fldCharType="begin"/>
      </w:r>
      <w:r>
        <w:rPr>
          <w:sz w:val="24"/>
          <w:szCs w:val="24"/>
        </w:rPr>
        <w:instrText xml:space="preserve"> PAGEREF _Toc7572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_Toc9364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费用</w:t>
      </w:r>
      <w:r>
        <w:rPr>
          <w:sz w:val="24"/>
          <w:szCs w:val="24"/>
        </w:rPr>
        <w:tab/>
      </w:r>
      <w:r>
        <w:rPr>
          <w:sz w:val="24"/>
          <w:szCs w:val="24"/>
        </w:rPr>
        <w:fldChar w:fldCharType="begin"/>
      </w:r>
      <w:r>
        <w:rPr>
          <w:sz w:val="24"/>
          <w:szCs w:val="24"/>
        </w:rPr>
        <w:instrText xml:space="preserve"> PAGEREF _Toc9364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_Toc20281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w:t>
      </w:r>
      <w:r>
        <w:rPr>
          <w:sz w:val="24"/>
          <w:szCs w:val="24"/>
        </w:rPr>
        <w:tab/>
      </w:r>
      <w:r>
        <w:rPr>
          <w:sz w:val="24"/>
          <w:szCs w:val="24"/>
        </w:rPr>
        <w:fldChar w:fldCharType="begin"/>
      </w:r>
      <w:r>
        <w:rPr>
          <w:sz w:val="24"/>
          <w:szCs w:val="24"/>
        </w:rPr>
        <w:instrText xml:space="preserve"> PAGEREF _Toc20281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_Toc8971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三、比选要求</w:t>
      </w:r>
      <w:r>
        <w:rPr>
          <w:sz w:val="24"/>
          <w:szCs w:val="24"/>
        </w:rPr>
        <w:tab/>
      </w:r>
      <w:r>
        <w:rPr>
          <w:sz w:val="24"/>
          <w:szCs w:val="24"/>
        </w:rPr>
        <w:fldChar w:fldCharType="begin"/>
      </w:r>
      <w:r>
        <w:rPr>
          <w:sz w:val="24"/>
          <w:szCs w:val="24"/>
        </w:rPr>
        <w:instrText xml:space="preserve"> PAGEREF _Toc8971 \h </w:instrText>
      </w:r>
      <w:r>
        <w:rPr>
          <w:sz w:val="24"/>
          <w:szCs w:val="24"/>
        </w:rPr>
        <w:fldChar w:fldCharType="separate"/>
      </w:r>
      <w:r>
        <w:rPr>
          <w:sz w:val="24"/>
          <w:szCs w:val="24"/>
        </w:rPr>
        <w:t>- 10 -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_Toc13378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四、成交供应商的确认和变更</w:t>
      </w:r>
      <w:r>
        <w:rPr>
          <w:sz w:val="24"/>
          <w:szCs w:val="24"/>
        </w:rPr>
        <w:tab/>
      </w:r>
      <w:r>
        <w:rPr>
          <w:sz w:val="24"/>
          <w:szCs w:val="24"/>
        </w:rPr>
        <w:fldChar w:fldCharType="begin"/>
      </w:r>
      <w:r>
        <w:rPr>
          <w:sz w:val="24"/>
          <w:szCs w:val="24"/>
        </w:rPr>
        <w:instrText xml:space="preserve"> PAGEREF _Toc13378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_Toc712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五、成交通知</w:t>
      </w:r>
      <w:r>
        <w:rPr>
          <w:sz w:val="24"/>
          <w:szCs w:val="24"/>
        </w:rPr>
        <w:tab/>
      </w:r>
      <w:r>
        <w:rPr>
          <w:sz w:val="24"/>
          <w:szCs w:val="24"/>
        </w:rPr>
        <w:fldChar w:fldCharType="begin"/>
      </w:r>
      <w:r>
        <w:rPr>
          <w:sz w:val="24"/>
          <w:szCs w:val="24"/>
        </w:rPr>
        <w:instrText xml:space="preserve"> PAGEREF _Toc712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_Toc22564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六、质疑处理</w:t>
      </w:r>
      <w:r>
        <w:rPr>
          <w:sz w:val="24"/>
          <w:szCs w:val="24"/>
        </w:rPr>
        <w:tab/>
      </w:r>
      <w:r>
        <w:rPr>
          <w:sz w:val="24"/>
          <w:szCs w:val="24"/>
        </w:rPr>
        <w:fldChar w:fldCharType="begin"/>
      </w:r>
      <w:r>
        <w:rPr>
          <w:sz w:val="24"/>
          <w:szCs w:val="24"/>
        </w:rPr>
        <w:instrText xml:space="preserve"> PAGEREF _Toc22564 \h </w:instrText>
      </w:r>
      <w:r>
        <w:rPr>
          <w:sz w:val="24"/>
          <w:szCs w:val="24"/>
        </w:rPr>
        <w:fldChar w:fldCharType="separate"/>
      </w:r>
      <w:r>
        <w:rPr>
          <w:sz w:val="24"/>
          <w:szCs w:val="24"/>
        </w:rPr>
        <w:t>- 11 -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_Toc32500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七、签订合同</w:t>
      </w:r>
      <w:r>
        <w:rPr>
          <w:sz w:val="24"/>
          <w:szCs w:val="24"/>
        </w:rPr>
        <w:tab/>
      </w:r>
      <w:r>
        <w:rPr>
          <w:sz w:val="24"/>
          <w:szCs w:val="24"/>
        </w:rPr>
        <w:fldChar w:fldCharType="begin"/>
      </w:r>
      <w:r>
        <w:rPr>
          <w:sz w:val="24"/>
          <w:szCs w:val="24"/>
        </w:rPr>
        <w:instrText xml:space="preserve"> PAGEREF _Toc32500 \h </w:instrText>
      </w:r>
      <w:r>
        <w:rPr>
          <w:sz w:val="24"/>
          <w:szCs w:val="24"/>
        </w:rPr>
        <w:fldChar w:fldCharType="separate"/>
      </w:r>
      <w:r>
        <w:rPr>
          <w:sz w:val="24"/>
          <w:szCs w:val="24"/>
        </w:rPr>
        <w:t>- 12 -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_Toc6345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第六篇  响应文件编制要求</w:t>
      </w:r>
      <w:r>
        <w:rPr>
          <w:sz w:val="24"/>
          <w:szCs w:val="24"/>
        </w:rPr>
        <w:tab/>
      </w:r>
      <w:r>
        <w:rPr>
          <w:sz w:val="24"/>
          <w:szCs w:val="24"/>
        </w:rPr>
        <w:fldChar w:fldCharType="begin"/>
      </w:r>
      <w:r>
        <w:rPr>
          <w:sz w:val="24"/>
          <w:szCs w:val="24"/>
        </w:rPr>
        <w:instrText xml:space="preserve"> PAGEREF _Toc6345 \h </w:instrText>
      </w:r>
      <w:r>
        <w:rPr>
          <w:sz w:val="24"/>
          <w:szCs w:val="24"/>
        </w:rPr>
        <w:fldChar w:fldCharType="separate"/>
      </w:r>
      <w:r>
        <w:rPr>
          <w:sz w:val="24"/>
          <w:szCs w:val="24"/>
        </w:rPr>
        <w:t>- 13 -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_Toc22447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sz w:val="24"/>
          <w:szCs w:val="24"/>
        </w:rPr>
        <w:tab/>
      </w:r>
      <w:r>
        <w:rPr>
          <w:sz w:val="24"/>
          <w:szCs w:val="24"/>
        </w:rPr>
        <w:fldChar w:fldCharType="begin"/>
      </w:r>
      <w:r>
        <w:rPr>
          <w:sz w:val="24"/>
          <w:szCs w:val="24"/>
        </w:rPr>
        <w:instrText xml:space="preserve"> PAGEREF _Toc22447 \h </w:instrText>
      </w:r>
      <w:r>
        <w:rPr>
          <w:sz w:val="24"/>
          <w:szCs w:val="24"/>
        </w:rPr>
        <w:fldChar w:fldCharType="separate"/>
      </w:r>
      <w:r>
        <w:rPr>
          <w:sz w:val="24"/>
          <w:szCs w:val="24"/>
        </w:rPr>
        <w:t>- 15 -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_Toc4162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sz w:val="24"/>
          <w:szCs w:val="24"/>
        </w:rPr>
        <w:tab/>
      </w:r>
      <w:r>
        <w:rPr>
          <w:sz w:val="24"/>
          <w:szCs w:val="24"/>
        </w:rPr>
        <w:fldChar w:fldCharType="begin"/>
      </w:r>
      <w:r>
        <w:rPr>
          <w:sz w:val="24"/>
          <w:szCs w:val="24"/>
        </w:rPr>
        <w:instrText xml:space="preserve"> PAGEREF _Toc4162 \h </w:instrText>
      </w:r>
      <w:r>
        <w:rPr>
          <w:sz w:val="24"/>
          <w:szCs w:val="24"/>
        </w:rPr>
        <w:fldChar w:fldCharType="separate"/>
      </w:r>
      <w:r>
        <w:rPr>
          <w:sz w:val="24"/>
          <w:szCs w:val="24"/>
        </w:rPr>
        <w:t>- 17 -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_Toc30571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sz w:val="24"/>
          <w:szCs w:val="24"/>
        </w:rPr>
        <w:tab/>
      </w:r>
      <w:r>
        <w:rPr>
          <w:sz w:val="24"/>
          <w:szCs w:val="24"/>
        </w:rPr>
        <w:fldChar w:fldCharType="begin"/>
      </w:r>
      <w:r>
        <w:rPr>
          <w:sz w:val="24"/>
          <w:szCs w:val="24"/>
        </w:rPr>
        <w:instrText xml:space="preserve"> PAGEREF _Toc30571 \h </w:instrText>
      </w:r>
      <w:r>
        <w:rPr>
          <w:sz w:val="24"/>
          <w:szCs w:val="24"/>
        </w:rPr>
        <w:fldChar w:fldCharType="separate"/>
      </w:r>
      <w:r>
        <w:rPr>
          <w:sz w:val="24"/>
          <w:szCs w:val="24"/>
        </w:rPr>
        <w:t>- 19 -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sz w:val="24"/>
          <w:szCs w:val="24"/>
        </w:rPr>
        <w:tab/>
      </w:r>
      <w:r>
        <w:rPr>
          <w:sz w:val="24"/>
          <w:szCs w:val="24"/>
        </w:rPr>
        <w:fldChar w:fldCharType="begin"/>
      </w:r>
      <w:r>
        <w:rPr>
          <w:sz w:val="24"/>
          <w:szCs w:val="24"/>
        </w:rPr>
        <w:instrText xml:space="preserve"> PAGEREF _Toc32054 \h </w:instrText>
      </w:r>
      <w:r>
        <w:rPr>
          <w:sz w:val="24"/>
          <w:szCs w:val="24"/>
        </w:rPr>
        <w:fldChar w:fldCharType="separate"/>
      </w:r>
      <w:r>
        <w:rPr>
          <w:sz w:val="24"/>
          <w:szCs w:val="24"/>
        </w:rPr>
        <w:t>- 21 -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12"/>
        </w:tabs>
        <w:rPr>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_Toc12335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五、其他资料</w:t>
      </w:r>
      <w:r>
        <w:rPr>
          <w:sz w:val="24"/>
          <w:szCs w:val="24"/>
        </w:rPr>
        <w:tab/>
      </w:r>
      <w:r>
        <w:rPr>
          <w:sz w:val="24"/>
          <w:szCs w:val="24"/>
        </w:rPr>
        <w:fldChar w:fldCharType="begin"/>
      </w:r>
      <w:r>
        <w:rPr>
          <w:sz w:val="24"/>
          <w:szCs w:val="24"/>
        </w:rPr>
        <w:instrText xml:space="preserve"> PAGEREF _Toc12335 \h </w:instrText>
      </w:r>
      <w:r>
        <w:rPr>
          <w:sz w:val="24"/>
          <w:szCs w:val="24"/>
        </w:rPr>
        <w:fldChar w:fldCharType="separate"/>
      </w:r>
      <w:r>
        <w:rPr>
          <w:sz w:val="24"/>
          <w:szCs w:val="24"/>
        </w:rPr>
        <w:t>- 27 -</w:t>
      </w:r>
      <w:r>
        <w:rPr>
          <w:sz w:val="24"/>
          <w:szCs w:val="24"/>
        </w:rPr>
        <w:fldChar w:fldCharType="end"/>
      </w:r>
      <w:r>
        <w:rPr>
          <w:rFonts w:hint="eastAsia" w:ascii="微软雅黑" w:hAnsi="微软雅黑" w:eastAsia="微软雅黑" w:cs="微软雅黑"/>
          <w:sz w:val="24"/>
          <w:szCs w:val="24"/>
        </w:rPr>
        <w:fldChar w:fldCharType="end"/>
      </w:r>
    </w:p>
    <w:p>
      <w:pPr>
        <w:pStyle w:val="46"/>
        <w:tabs>
          <w:tab w:val="right" w:leader="dot" w:pos="9402"/>
        </w:tabs>
        <w:spacing w:line="480" w:lineRule="exact"/>
        <w:ind w:left="560"/>
        <w:jc w:val="center"/>
        <w:rPr>
          <w:rFonts w:hint="eastAsia" w:ascii="微软雅黑" w:hAnsi="微软雅黑" w:eastAsia="微软雅黑" w:cs="微软雅黑"/>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微软雅黑" w:hAnsi="微软雅黑" w:eastAsia="微软雅黑" w:cs="微软雅黑"/>
          <w:sz w:val="24"/>
          <w:szCs w:val="24"/>
        </w:rPr>
        <w:fldChar w:fldCharType="end"/>
      </w:r>
    </w:p>
    <w:p>
      <w:pPr>
        <w:pStyle w:val="4"/>
        <w:spacing w:before="200" w:after="200" w:line="240" w:lineRule="auto"/>
        <w:jc w:val="center"/>
        <w:rPr>
          <w:rFonts w:hint="eastAsia" w:ascii="微软雅黑" w:hAnsi="微软雅黑" w:eastAsia="微软雅黑" w:cs="微软雅黑"/>
          <w:sz w:val="44"/>
        </w:rPr>
      </w:pPr>
      <w:bookmarkStart w:id="0" w:name="_Toc11641050"/>
      <w:bookmarkStart w:id="1" w:name="_Toc24037"/>
      <w:bookmarkStart w:id="2" w:name="_Toc7678"/>
      <w:bookmarkStart w:id="3" w:name="_Toc12789052"/>
      <w:bookmarkStart w:id="4" w:name="_Toc106030870"/>
      <w:bookmarkStart w:id="5" w:name="_Toc76462316"/>
      <w:r>
        <w:rPr>
          <w:rFonts w:hint="eastAsia" w:ascii="微软雅黑" w:hAnsi="微软雅黑" w:eastAsia="微软雅黑" w:cs="微软雅黑"/>
          <w:sz w:val="44"/>
        </w:rPr>
        <w:t>第一篇  采购邀请书</w:t>
      </w:r>
      <w:bookmarkEnd w:id="0"/>
      <w:bookmarkEnd w:id="1"/>
      <w:bookmarkEnd w:id="2"/>
      <w:bookmarkEnd w:id="3"/>
      <w:bookmarkEnd w:id="4"/>
      <w:bookmarkEnd w:id="5"/>
    </w:p>
    <w:p>
      <w:pPr>
        <w:spacing w:line="360" w:lineRule="auto"/>
        <w:ind w:firstLine="480" w:firstLineChars="200"/>
        <w:outlineLvl w:val="0"/>
        <w:rPr>
          <w:rFonts w:hint="eastAsia" w:ascii="微软雅黑" w:hAnsi="微软雅黑" w:eastAsia="微软雅黑" w:cs="微软雅黑"/>
          <w:sz w:val="24"/>
          <w:szCs w:val="24"/>
        </w:rPr>
      </w:pPr>
      <w:r>
        <w:rPr>
          <w:rFonts w:hint="eastAsia" w:ascii="微软雅黑" w:hAnsi="微软雅黑" w:eastAsia="微软雅黑" w:cs="微软雅黑"/>
          <w:sz w:val="24"/>
          <w:szCs w:val="24"/>
        </w:rPr>
        <w:t>重庆医科大学附属儿童医院对</w:t>
      </w:r>
      <w:r>
        <w:rPr>
          <w:rFonts w:hint="eastAsia" w:ascii="微软雅黑" w:hAnsi="微软雅黑" w:eastAsia="微软雅黑" w:cs="微软雅黑"/>
          <w:sz w:val="24"/>
          <w:szCs w:val="24"/>
          <w:u w:val="single"/>
          <w:lang w:eastAsia="zh-CN"/>
        </w:rPr>
        <w:t>医用外科口罩</w:t>
      </w:r>
      <w:r>
        <w:rPr>
          <w:rFonts w:hint="eastAsia" w:ascii="微软雅黑" w:hAnsi="微软雅黑" w:eastAsia="微软雅黑" w:cs="微软雅黑"/>
          <w:sz w:val="24"/>
          <w:szCs w:val="24"/>
        </w:rPr>
        <w:t>项目进行</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采购。欢迎有资格的投标人前来参与。</w:t>
      </w:r>
    </w:p>
    <w:p>
      <w:pPr>
        <w:pStyle w:val="4"/>
        <w:numPr>
          <w:ilvl w:val="0"/>
          <w:numId w:val="14"/>
        </w:numPr>
        <w:adjustRightInd w:val="0"/>
        <w:snapToGrid w:val="0"/>
        <w:spacing w:before="0" w:after="0" w:line="400" w:lineRule="exact"/>
        <w:rPr>
          <w:rFonts w:hint="eastAsia" w:ascii="微软雅黑" w:hAnsi="微软雅黑" w:eastAsia="微软雅黑" w:cs="微软雅黑"/>
          <w:sz w:val="24"/>
        </w:rPr>
      </w:pPr>
      <w:bookmarkStart w:id="6" w:name="_Toc317775175"/>
      <w:bookmarkStart w:id="7" w:name="_Toc313893526"/>
      <w:bookmarkStart w:id="8" w:name="_Toc76462317"/>
      <w:bookmarkStart w:id="9" w:name="_Toc3856"/>
      <w:bookmarkStart w:id="10" w:name="_Toc18148"/>
      <w:bookmarkStart w:id="11" w:name="_Toc106030871"/>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采购内容</w:t>
      </w:r>
      <w:bookmarkEnd w:id="6"/>
      <w:bookmarkEnd w:id="7"/>
      <w:bookmarkEnd w:id="8"/>
      <w:bookmarkEnd w:id="9"/>
      <w:bookmarkEnd w:id="10"/>
      <w:bookmarkEnd w:id="11"/>
    </w:p>
    <w:tbl>
      <w:tblPr>
        <w:tblStyle w:val="58"/>
        <w:tblW w:w="4222"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0"/>
        <w:gridCol w:w="2911"/>
        <w:gridCol w:w="1486"/>
        <w:gridCol w:w="2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96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bookmarkStart w:id="12" w:name="_Toc76462318"/>
            <w:bookmarkStart w:id="13" w:name="_Toc106030872"/>
            <w:bookmarkStart w:id="14" w:name="_Toc373860293"/>
            <w:bookmarkStart w:id="15" w:name="_Toc317775178"/>
            <w:r>
              <w:rPr>
                <w:rFonts w:hint="eastAsia" w:ascii="微软雅黑" w:hAnsi="微软雅黑" w:eastAsia="微软雅黑" w:cs="微软雅黑"/>
                <w:b/>
                <w:bCs/>
                <w:kern w:val="0"/>
                <w:sz w:val="21"/>
                <w:szCs w:val="24"/>
              </w:rPr>
              <w:t>项目编号</w:t>
            </w:r>
          </w:p>
        </w:tc>
        <w:tc>
          <w:tcPr>
            <w:tcW w:w="1811"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项目名称</w:t>
            </w:r>
          </w:p>
        </w:tc>
        <w:tc>
          <w:tcPr>
            <w:tcW w:w="924" w:type="pct"/>
            <w:tcBorders>
              <w:top w:val="single" w:color="auto" w:sz="4" w:space="0"/>
              <w:left w:val="single" w:color="auto" w:sz="4" w:space="0"/>
              <w:right w:val="single" w:color="auto" w:sz="4" w:space="0"/>
            </w:tcBorders>
            <w:vAlign w:val="center"/>
          </w:tcPr>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保证金</w:t>
            </w:r>
          </w:p>
          <w:p>
            <w:pPr>
              <w:widowControl/>
              <w:jc w:val="center"/>
              <w:rPr>
                <w:rFonts w:hint="eastAsia" w:ascii="微软雅黑" w:hAnsi="微软雅黑" w:eastAsia="微软雅黑" w:cs="微软雅黑"/>
                <w:b/>
                <w:bCs/>
                <w:kern w:val="0"/>
                <w:sz w:val="21"/>
                <w:szCs w:val="24"/>
              </w:rPr>
            </w:pPr>
            <w:r>
              <w:rPr>
                <w:rFonts w:hint="eastAsia" w:ascii="微软雅黑" w:hAnsi="微软雅黑" w:eastAsia="微软雅黑" w:cs="微软雅黑"/>
                <w:b/>
                <w:bCs/>
                <w:kern w:val="0"/>
                <w:sz w:val="21"/>
                <w:szCs w:val="24"/>
              </w:rPr>
              <w:t>（元）</w:t>
            </w:r>
          </w:p>
        </w:tc>
        <w:tc>
          <w:tcPr>
            <w:tcW w:w="1299" w:type="pct"/>
            <w:tcBorders>
              <w:top w:val="single" w:color="auto" w:sz="4" w:space="0"/>
              <w:left w:val="single" w:color="auto" w:sz="4" w:space="0"/>
              <w:right w:val="single" w:color="auto" w:sz="4" w:space="0"/>
            </w:tcBorders>
            <w:vAlign w:val="center"/>
          </w:tcPr>
          <w:p>
            <w:pPr>
              <w:widowControl/>
              <w:jc w:val="center"/>
              <w:rPr>
                <w:rFonts w:hint="default" w:ascii="微软雅黑" w:hAnsi="微软雅黑" w:eastAsia="微软雅黑" w:cs="微软雅黑"/>
                <w:b/>
                <w:bCs/>
                <w:kern w:val="0"/>
                <w:sz w:val="21"/>
                <w:szCs w:val="24"/>
                <w:lang w:val="en-US" w:eastAsia="zh-CN"/>
              </w:rPr>
            </w:pPr>
            <w:r>
              <w:rPr>
                <w:rFonts w:hint="eastAsia" w:ascii="微软雅黑" w:hAnsi="微软雅黑" w:eastAsia="微软雅黑" w:cs="微软雅黑"/>
                <w:b/>
                <w:bCs/>
                <w:kern w:val="0"/>
                <w:sz w:val="21"/>
                <w:szCs w:val="24"/>
                <w:lang w:val="en-US" w:eastAsia="zh-CN"/>
              </w:rPr>
              <w:t>中标单位数量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964" w:type="pct"/>
            <w:tcBorders>
              <w:top w:val="single" w:color="auto" w:sz="4" w:space="0"/>
              <w:left w:val="single" w:color="auto" w:sz="4" w:space="0"/>
              <w:bottom w:val="single" w:color="auto" w:sz="4" w:space="0"/>
              <w:right w:val="single" w:color="auto" w:sz="4" w:space="0"/>
            </w:tcBorders>
            <w:vAlign w:val="center"/>
          </w:tcPr>
          <w:p>
            <w:pPr>
              <w:widowControl/>
              <w:jc w:val="center"/>
              <w:rPr>
                <w:rFonts w:hint="default" w:ascii="微软雅黑" w:hAnsi="微软雅黑" w:eastAsia="微软雅黑" w:cs="微软雅黑"/>
                <w:kern w:val="0"/>
                <w:sz w:val="21"/>
                <w:szCs w:val="21"/>
                <w:lang w:val="en-US" w:eastAsia="zh-CN"/>
              </w:rPr>
            </w:pPr>
            <w:r>
              <w:rPr>
                <w:rFonts w:hint="eastAsia" w:ascii="微软雅黑" w:hAnsi="微软雅黑" w:eastAsia="微软雅黑" w:cs="微软雅黑"/>
                <w:b w:val="0"/>
                <w:bCs/>
                <w:color w:val="333333"/>
                <w:kern w:val="0"/>
                <w:sz w:val="21"/>
                <w:szCs w:val="21"/>
                <w:lang w:val="en-US" w:eastAsia="zh-CN"/>
              </w:rPr>
              <w:t>YSB260230</w:t>
            </w:r>
          </w:p>
        </w:tc>
        <w:tc>
          <w:tcPr>
            <w:tcW w:w="1811"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lang w:eastAsia="zh-CN"/>
              </w:rPr>
            </w:pPr>
            <w:r>
              <w:rPr>
                <w:rFonts w:hint="eastAsia" w:ascii="微软雅黑" w:hAnsi="微软雅黑" w:eastAsia="微软雅黑" w:cs="微软雅黑"/>
                <w:b w:val="0"/>
                <w:bCs/>
                <w:color w:val="333333"/>
                <w:kern w:val="0"/>
                <w:sz w:val="21"/>
                <w:szCs w:val="21"/>
                <w:lang w:val="en-US" w:eastAsia="zh-CN"/>
              </w:rPr>
              <w:t>医用外科口罩</w:t>
            </w:r>
          </w:p>
        </w:tc>
        <w:tc>
          <w:tcPr>
            <w:tcW w:w="924"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b w:val="0"/>
                <w:bCs/>
                <w:color w:val="333333"/>
                <w:kern w:val="0"/>
                <w:sz w:val="21"/>
                <w:szCs w:val="21"/>
                <w:lang w:val="en-US" w:eastAsia="zh-CN"/>
              </w:rPr>
              <w:t>2000</w:t>
            </w:r>
          </w:p>
        </w:tc>
        <w:tc>
          <w:tcPr>
            <w:tcW w:w="1299" w:type="pct"/>
            <w:tcBorders>
              <w:top w:val="single" w:color="auto" w:sz="4" w:space="0"/>
              <w:left w:val="single" w:color="auto" w:sz="4" w:space="0"/>
              <w:bottom w:val="single" w:color="auto" w:sz="4" w:space="0"/>
              <w:right w:val="single" w:color="auto" w:sz="4" w:space="0"/>
            </w:tcBorders>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b w:val="0"/>
                <w:bCs/>
                <w:color w:val="333333"/>
                <w:kern w:val="0"/>
                <w:sz w:val="21"/>
                <w:szCs w:val="21"/>
                <w:lang w:val="en-US" w:eastAsia="zh-CN"/>
              </w:rPr>
              <w:t>1</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 w:name="_Toc9755"/>
      <w:bookmarkStart w:id="17" w:name="_Toc30460"/>
      <w:r>
        <w:rPr>
          <w:rFonts w:hint="eastAsia" w:ascii="微软雅黑" w:hAnsi="微软雅黑" w:eastAsia="微软雅黑" w:cs="微软雅黑"/>
          <w:sz w:val="24"/>
        </w:rPr>
        <w:t>二、</w:t>
      </w:r>
      <w:bookmarkEnd w:id="12"/>
      <w:bookmarkEnd w:id="13"/>
      <w:bookmarkEnd w:id="16"/>
      <w:bookmarkStart w:id="18" w:name="_Toc106030873"/>
      <w:bookmarkStart w:id="19" w:name="_Toc76462319"/>
      <w:bookmarkStart w:id="20" w:name="_Toc4480"/>
      <w:r>
        <w:rPr>
          <w:rFonts w:hint="eastAsia" w:ascii="微软雅黑" w:hAnsi="微软雅黑" w:eastAsia="微软雅黑" w:cs="微软雅黑"/>
          <w:sz w:val="24"/>
        </w:rPr>
        <w:t>投标人资格条件</w:t>
      </w:r>
      <w:bookmarkEnd w:id="17"/>
      <w:bookmarkEnd w:id="18"/>
      <w:bookmarkEnd w:id="19"/>
      <w:bookmarkEnd w:id="20"/>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（二）本项目的特定资格要求：</w:t>
      </w:r>
      <w:bookmarkStart w:id="21" w:name="_Toc106030874"/>
      <w:bookmarkStart w:id="22" w:name="_Toc27954"/>
      <w:bookmarkStart w:id="23" w:name="_Toc76462320"/>
    </w:p>
    <w:p>
      <w:pPr>
        <w:snapToGrid w:val="0"/>
        <w:spacing w:line="400" w:lineRule="exact"/>
        <w:ind w:firstLine="480" w:firstLineChars="200"/>
        <w:rPr>
          <w:rFonts w:hint="eastAsia" w:ascii="微软雅黑" w:hAnsi="微软雅黑" w:eastAsia="微软雅黑" w:cs="微软雅黑"/>
          <w:sz w:val="24"/>
          <w:szCs w:val="24"/>
        </w:rPr>
      </w:pPr>
      <w:bookmarkStart w:id="24" w:name="_Toc5002"/>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投标人为所投标产品制造商或经销商。若为经销商投标，须具备投标产品制造商或制造商中国境内代表机构认可的经销资格；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投标人医疗器械经营许可证；</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生产企业的医疗器械生产企业许可证和生产目录表；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所投产品属三类医疗器械的，须具备有效期内《医疗器械经营企业许可证》或《医疗器械经营许可证》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5</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所提供产品属二类医疗器械的，须具备有效期内《医疗器械经营企业许可证》或《第二类医疗器械经营备案凭证》</w:t>
      </w:r>
      <w:r>
        <w:rPr>
          <w:rFonts w:hint="eastAsia" w:ascii="微软雅黑" w:hAnsi="微软雅黑" w:eastAsia="微软雅黑" w:cs="微软雅黑"/>
          <w:sz w:val="24"/>
          <w:szCs w:val="24"/>
          <w:lang w:val="en-US" w:eastAsia="zh-CN"/>
        </w:rPr>
        <w:t>及产品注册证</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6</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所提供产品属一类医疗器械的，须具有所提供产品《第一类医疗器械备案凭证》及《第一类医疗器械备案信息表》</w:t>
      </w:r>
      <w:r>
        <w:rPr>
          <w:rFonts w:hint="eastAsia" w:ascii="微软雅黑" w:hAnsi="微软雅黑" w:eastAsia="微软雅黑" w:cs="微软雅黑"/>
          <w:sz w:val="24"/>
          <w:szCs w:val="24"/>
          <w:lang w:val="en-US" w:eastAsia="zh-CN"/>
        </w:rPr>
        <w:t>及产品备案证明</w:t>
      </w:r>
      <w:r>
        <w:rPr>
          <w:rFonts w:hint="eastAsia" w:ascii="微软雅黑" w:hAnsi="微软雅黑" w:eastAsia="微软雅黑" w:cs="微软雅黑"/>
          <w:sz w:val="24"/>
          <w:szCs w:val="24"/>
        </w:rPr>
        <w:t>；</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7.投标人须提供在有效期内的注册证，若投标日注册证有效期少于3个月，须提供国家药品监督管理局接受变更注册证的回执及其他能证明正在变更注册证的文件；</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8.投标人须提供投标产品的说明书。</w:t>
      </w:r>
    </w:p>
    <w:p>
      <w:pPr>
        <w:pStyle w:val="4"/>
        <w:adjustRightInd w:val="0"/>
        <w:snapToGrid w:val="0"/>
        <w:spacing w:before="0" w:after="0" w:line="400" w:lineRule="exact"/>
        <w:ind w:firstLine="480" w:firstLineChars="200"/>
        <w:rPr>
          <w:rFonts w:hint="eastAsia" w:ascii="微软雅黑" w:hAnsi="微软雅黑" w:eastAsia="微软雅黑" w:cs="微软雅黑"/>
          <w:sz w:val="24"/>
          <w:lang w:eastAsia="zh-CN"/>
        </w:rPr>
      </w:pPr>
      <w:r>
        <w:rPr>
          <w:rFonts w:hint="eastAsia" w:ascii="微软雅黑" w:hAnsi="微软雅黑" w:eastAsia="微软雅黑" w:cs="微软雅黑"/>
          <w:sz w:val="24"/>
          <w:lang w:eastAsia="zh-CN"/>
        </w:rPr>
        <w:t>三、比选有关说明</w:t>
      </w:r>
      <w:bookmarkEnd w:id="14"/>
      <w:bookmarkEnd w:id="21"/>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（一）投标人应通过重庆医科大学附属儿童医院电子招投标平台（zbb.chcmu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（二）凡有意参加</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采购的投标人，请在重庆医科大学附属儿童医院电子招投标平台下载本项目</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采购文件以及其他所有项目资料，无论投标人下载与否，均视为已知晓所有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采购实质性要求内容。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须在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（五）比选地点：详见电子招投标平台该项目公告内容。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（六）比选开始时间：详见电子招投标平台该项目公告内容。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（七）以上内容若在挂网公示后有所变更，投标人注册手机号码将会收到相关短信通知，请及时查收。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25" w:name="_Toc65660334"/>
      <w:bookmarkStart w:id="26" w:name="_Toc12841"/>
      <w:bookmarkStart w:id="27" w:name="_Toc28629"/>
      <w:bookmarkStart w:id="28" w:name="_Toc525047161"/>
      <w:bookmarkStart w:id="29" w:name="_Toc11956"/>
      <w:bookmarkStart w:id="30" w:name="_Toc6178"/>
      <w:bookmarkStart w:id="31" w:name="_Toc106034625"/>
      <w:bookmarkStart w:id="32" w:name="_Toc521053053"/>
      <w:r>
        <w:rPr>
          <w:rFonts w:hint="eastAsia" w:ascii="微软雅黑" w:hAnsi="微软雅黑" w:eastAsia="微软雅黑" w:cs="微软雅黑"/>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（一）保证金递交</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1.投标人应足额交纳保证金（保证金金额详见本篇，一、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内容），并通过银行转账的方式直接转入重庆医科大学附属儿童医院对公账户（单位：重庆医科大学附属儿童医院，开户行：中国建设银行股份有限公司重庆渝中区观音岩支行，账号：50050101380000000168），并备注项目编号、项目名称（例：YXX220001服务器项目投标保证金），交纳凭据须在重庆医科大学附属儿童医院电子招投标平台报名过程中上传。</w:t>
      </w:r>
    </w:p>
    <w:p>
      <w:pPr>
        <w:pStyle w:val="34"/>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2.各投标人在银行转账（电汇）时，须充分考虑银行转账（电汇）的时间差风险，如同城转账、异地转账或汇款、跨行转账或电汇的时间要求。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（二）保证金退还方式</w:t>
      </w:r>
    </w:p>
    <w:p>
      <w:pPr>
        <w:snapToGrid w:val="0"/>
        <w:spacing w:line="400" w:lineRule="exact"/>
        <w:ind w:firstLine="480" w:firstLineChars="200"/>
        <w:rPr>
          <w:rFonts w:hint="eastAsia" w:ascii="微软雅黑" w:hAnsi="微软雅黑" w:eastAsia="微软雅黑" w:cs="微软雅黑"/>
          <w:color w:val="auto"/>
          <w:sz w:val="24"/>
          <w:szCs w:val="24"/>
          <w:u w:val="single"/>
        </w:rPr>
      </w:pPr>
      <w:r>
        <w:rPr>
          <w:rFonts w:hint="eastAsia" w:ascii="微软雅黑" w:hAnsi="微软雅黑" w:eastAsia="微软雅黑" w:cs="微软雅黑"/>
          <w:color w:val="auto"/>
          <w:sz w:val="24"/>
          <w:szCs w:val="24"/>
          <w:u w:val="single"/>
        </w:rPr>
        <w:t>1.未成交供应商的保证金，在中标通知书发放后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个工作日内退还至项目报名时所填写指定的投标单位对公账户。</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color w:val="auto"/>
          <w:sz w:val="24"/>
          <w:szCs w:val="24"/>
          <w:u w:val="single"/>
        </w:rPr>
        <w:t>2.成交供应商的保证金，将在与我院完成签订本项目合同并提交</w:t>
      </w:r>
      <w:r>
        <w:rPr>
          <w:rFonts w:hint="eastAsia" w:ascii="微软雅黑" w:hAnsi="微软雅黑" w:eastAsia="微软雅黑" w:cs="微软雅黑"/>
          <w:color w:val="auto"/>
          <w:sz w:val="24"/>
          <w:szCs w:val="24"/>
          <w:u w:val="single"/>
          <w:lang w:eastAsia="zh-CN"/>
        </w:rPr>
        <w:t>采购管理处</w:t>
      </w:r>
      <w:r>
        <w:rPr>
          <w:rFonts w:hint="eastAsia" w:ascii="微软雅黑" w:hAnsi="微软雅黑" w:eastAsia="微软雅黑" w:cs="微软雅黑"/>
          <w:color w:val="auto"/>
          <w:sz w:val="24"/>
          <w:szCs w:val="24"/>
          <w:u w:val="single"/>
        </w:rPr>
        <w:t>（将合同扫描文件发送至zbb63632469@qq.com）之后</w:t>
      </w:r>
      <w:r>
        <w:rPr>
          <w:rFonts w:hint="eastAsia" w:ascii="微软雅黑" w:hAnsi="微软雅黑" w:eastAsia="微软雅黑" w:cs="微软雅黑"/>
          <w:color w:val="auto"/>
          <w:sz w:val="24"/>
          <w:szCs w:val="24"/>
          <w:u w:val="single"/>
          <w:lang w:val="en-US" w:eastAsia="zh-CN"/>
        </w:rPr>
        <w:t>60</w:t>
      </w:r>
      <w:r>
        <w:rPr>
          <w:rFonts w:hint="eastAsia" w:ascii="微软雅黑" w:hAnsi="微软雅黑" w:eastAsia="微软雅黑" w:cs="微软雅黑"/>
          <w:color w:val="auto"/>
          <w:sz w:val="24"/>
          <w:szCs w:val="24"/>
          <w:u w:val="single"/>
        </w:rPr>
        <w:t>个工作日内，无息退还至项目报名时所填写的投标单位对公账户。</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33" w:name="_Toc4355"/>
      <w:bookmarkStart w:id="34" w:name="_Toc106034626"/>
      <w:bookmarkStart w:id="35" w:name="_Toc2945"/>
      <w:bookmarkStart w:id="36" w:name="_Toc525047162"/>
      <w:bookmarkStart w:id="37" w:name="_Toc65660335"/>
      <w:bookmarkStart w:id="38" w:name="_Toc521053054"/>
      <w:bookmarkStart w:id="39" w:name="_Toc1546"/>
      <w:bookmarkStart w:id="40" w:name="_Toc23490"/>
      <w:r>
        <w:rPr>
          <w:rFonts w:hint="eastAsia" w:ascii="微软雅黑" w:hAnsi="微软雅黑" w:eastAsia="微软雅黑" w:cs="微软雅黑"/>
          <w:sz w:val="24"/>
        </w:rPr>
        <w:t>五、</w:t>
      </w:r>
      <w:bookmarkEnd w:id="33"/>
      <w:bookmarkEnd w:id="34"/>
      <w:bookmarkEnd w:id="35"/>
      <w:bookmarkEnd w:id="36"/>
      <w:bookmarkEnd w:id="37"/>
      <w:bookmarkEnd w:id="38"/>
      <w:bookmarkStart w:id="41" w:name="_Toc6563"/>
      <w:bookmarkStart w:id="42" w:name="_Toc16269"/>
      <w:bookmarkStart w:id="43" w:name="_Toc525047163"/>
      <w:bookmarkStart w:id="44" w:name="_Toc106034627"/>
      <w:bookmarkStart w:id="45" w:name="_Toc65660336"/>
      <w:bookmarkStart w:id="46" w:name="_Toc521053055"/>
      <w:r>
        <w:rPr>
          <w:rFonts w:hint="eastAsia" w:ascii="微软雅黑" w:hAnsi="微软雅黑" w:eastAsia="微软雅黑" w:cs="微软雅黑"/>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（二）投标人如对本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采购文件有任何实质性疑问，应当以书面形式向</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提出质疑，并须将该质疑文件纸质版（须加盖提出质疑单位的公章确认）在投标截止时间前送达重庆医科大学附属儿童医院</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，否则即视为完全放弃对本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采购文件的质疑权利。如</w:t>
      </w:r>
      <w:r>
        <w:rPr>
          <w:rFonts w:hint="eastAsia" w:ascii="微软雅黑" w:hAnsi="微软雅黑" w:eastAsia="微软雅黑" w:cs="微软雅黑"/>
          <w:sz w:val="24"/>
          <w:szCs w:val="24"/>
          <w:lang w:eastAsia="zh-CN"/>
        </w:rPr>
        <w:t>采购人</w:t>
      </w:r>
      <w:r>
        <w:rPr>
          <w:rFonts w:hint="eastAsia" w:ascii="微软雅黑" w:hAnsi="微软雅黑" w:eastAsia="微软雅黑" w:cs="微软雅黑"/>
          <w:sz w:val="24"/>
          <w:szCs w:val="24"/>
        </w:rPr>
        <w:t>认为上述质疑有回复必要，将以书面形式将回复内容通知所有投标方。</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（三）投标人应仔细阅读和检查</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采购文件的全部内容。如发现缺页或附件不全，应及时提出，以便补齐。如有疑问，请在投标截止日前向招标单位提出，超过此时间规定，招标单位不再受理对于</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47" w:name="_Toc10415"/>
      <w:bookmarkStart w:id="48" w:name="_Toc20454"/>
      <w:bookmarkStart w:id="49" w:name="_Toc525047164"/>
      <w:bookmarkStart w:id="50" w:name="_Toc521053056"/>
      <w:bookmarkStart w:id="51" w:name="_Toc24901"/>
      <w:bookmarkStart w:id="52" w:name="_Toc65660337"/>
      <w:bookmarkStart w:id="53" w:name="_Toc1733"/>
      <w:bookmarkStart w:id="54" w:name="_Toc106034628"/>
      <w:r>
        <w:rPr>
          <w:rFonts w:hint="eastAsia" w:ascii="微软雅黑" w:hAnsi="微软雅黑" w:eastAsia="微软雅黑" w:cs="微软雅黑"/>
          <w:sz w:val="24"/>
        </w:rPr>
        <w:t>六、联系方式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val="en-US" w:eastAsia="zh-CN"/>
        </w:rPr>
        <w:t>采购管理处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电  话：023-63632469</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邮  箱：zbb63632469@qq.com</w:t>
      </w:r>
    </w:p>
    <w:bookmarkEnd w:id="15"/>
    <w:p>
      <w:pPr>
        <w:snapToGrid w:val="0"/>
        <w:spacing w:line="400" w:lineRule="exact"/>
        <w:ind w:firstLine="480" w:firstLineChars="200"/>
        <w:rPr>
          <w:rFonts w:hint="eastAsia" w:ascii="微软雅黑" w:hAnsi="微软雅黑" w:eastAsia="微软雅黑" w:cs="微软雅黑"/>
          <w:b/>
          <w:sz w:val="24"/>
          <w:szCs w:val="24"/>
        </w:rPr>
        <w:sectPr>
          <w:pgSz w:w="11907" w:h="16840"/>
          <w:pgMar w:top="1134" w:right="1304" w:bottom="1134" w:left="1304" w:header="964" w:footer="992" w:gutter="0"/>
          <w:pgNumType w:fmt="numberInDash"/>
          <w:cols w:space="720" w:num="1"/>
          <w:docGrid w:linePitch="312" w:charSpace="0"/>
        </w:sectPr>
      </w:pPr>
    </w:p>
    <w:p>
      <w:pPr>
        <w:spacing w:line="400" w:lineRule="exact"/>
        <w:rPr>
          <w:rFonts w:hint="eastAsia" w:ascii="微软雅黑" w:hAnsi="微软雅黑" w:eastAsia="微软雅黑" w:cs="微软雅黑"/>
          <w:sz w:val="24"/>
          <w:szCs w:val="24"/>
        </w:rPr>
      </w:pPr>
      <w:bookmarkStart w:id="55" w:name="_Toc12789058"/>
    </w:p>
    <w:p>
      <w:pPr>
        <w:pStyle w:val="3"/>
        <w:tabs>
          <w:tab w:val="left" w:pos="3360"/>
        </w:tabs>
        <w:spacing w:line="360" w:lineRule="auto"/>
        <w:jc w:val="center"/>
        <w:rPr>
          <w:rFonts w:hint="eastAsia" w:ascii="微软雅黑" w:hAnsi="微软雅黑" w:eastAsia="微软雅黑" w:cs="微软雅黑"/>
          <w:b/>
          <w:sz w:val="44"/>
        </w:rPr>
      </w:pPr>
      <w:bookmarkStart w:id="56" w:name="_Toc32686"/>
      <w:bookmarkStart w:id="57" w:name="_Toc12959"/>
      <w:bookmarkStart w:id="58" w:name="_Toc11017"/>
      <w:bookmarkStart w:id="59" w:name="_Toc25639"/>
      <w:bookmarkStart w:id="60" w:name="_Toc75793504"/>
      <w:bookmarkStart w:id="61" w:name="_Toc2070"/>
      <w:bookmarkStart w:id="62" w:name="_Toc23143"/>
      <w:bookmarkStart w:id="63" w:name="_Toc1492"/>
      <w:bookmarkStart w:id="64" w:name="_Toc19886"/>
      <w:bookmarkStart w:id="65" w:name="_Toc5461"/>
      <w:bookmarkStart w:id="66" w:name="_Toc1625"/>
      <w:bookmarkStart w:id="67" w:name="_Toc725"/>
      <w:bookmarkStart w:id="68" w:name="_Toc8649"/>
      <w:bookmarkStart w:id="69" w:name="_Toc26176"/>
      <w:bookmarkStart w:id="70" w:name="_Toc2422"/>
      <w:bookmarkStart w:id="71" w:name="_Toc106030380"/>
      <w:bookmarkStart w:id="72" w:name="_Toc20802"/>
      <w:r>
        <w:rPr>
          <w:rFonts w:hint="eastAsia" w:ascii="微软雅黑" w:hAnsi="微软雅黑" w:eastAsia="微软雅黑" w:cs="微软雅黑"/>
          <w:b/>
          <w:sz w:val="44"/>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微软雅黑" w:hAnsi="微软雅黑" w:eastAsia="微软雅黑" w:cs="微软雅黑"/>
          <w:b/>
          <w:sz w:val="44"/>
        </w:rPr>
        <w:t>项目技术（质量）需求</w:t>
      </w:r>
      <w:bookmarkEnd w:id="71"/>
      <w:bookmarkEnd w:id="72"/>
    </w:p>
    <w:p>
      <w:pPr>
        <w:ind w:firstLine="480" w:firstLineChars="200"/>
        <w:rPr>
          <w:rFonts w:hint="eastAsia" w:ascii="微软雅黑" w:hAnsi="微软雅黑" w:eastAsia="微软雅黑" w:cs="微软雅黑"/>
          <w:b/>
          <w:bCs/>
          <w:sz w:val="24"/>
          <w:szCs w:val="24"/>
        </w:rPr>
      </w:pPr>
      <w:bookmarkStart w:id="73" w:name="_Toc8370"/>
      <w:bookmarkStart w:id="74" w:name="_Toc23504"/>
      <w:bookmarkStart w:id="75" w:name="_Toc4519"/>
      <w:bookmarkStart w:id="76" w:name="_Toc22910"/>
      <w:bookmarkStart w:id="77" w:name="_Toc7027"/>
      <w:bookmarkStart w:id="78" w:name="_Toc106030381"/>
      <w:bookmarkStart w:id="79" w:name="_Toc75793505"/>
      <w:bookmarkStart w:id="80" w:name="_Toc11703"/>
      <w:bookmarkStart w:id="81" w:name="_Toc19238"/>
      <w:bookmarkStart w:id="82" w:name="_Toc9261"/>
      <w:bookmarkStart w:id="83" w:name="_Toc29985"/>
      <w:bookmarkStart w:id="84" w:name="_Toc4531"/>
      <w:bookmarkStart w:id="85" w:name="_Toc20979"/>
      <w:bookmarkStart w:id="86" w:name="_Toc4913"/>
      <w:bookmarkStart w:id="87" w:name="_Toc23656"/>
      <w:r>
        <w:rPr>
          <w:rFonts w:hint="eastAsia" w:ascii="微软雅黑" w:hAnsi="微软雅黑" w:eastAsia="微软雅黑" w:cs="微软雅黑"/>
          <w:b/>
          <w:bCs/>
          <w:sz w:val="24"/>
          <w:szCs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6"/>
        <w:gridCol w:w="4474"/>
        <w:gridCol w:w="1905"/>
        <w:gridCol w:w="12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846"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序号</w:t>
            </w:r>
          </w:p>
        </w:tc>
        <w:tc>
          <w:tcPr>
            <w:tcW w:w="4474"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产品名称</w:t>
            </w:r>
          </w:p>
        </w:tc>
        <w:tc>
          <w:tcPr>
            <w:tcW w:w="1905" w:type="dxa"/>
            <w:vAlign w:val="center"/>
          </w:tcPr>
          <w:p>
            <w:pPr>
              <w:jc w:val="center"/>
              <w:rPr>
                <w:rFonts w:hint="eastAsia" w:ascii="微软雅黑" w:hAnsi="微软雅黑" w:eastAsia="微软雅黑" w:cs="微软雅黑"/>
                <w:b/>
                <w:sz w:val="24"/>
                <w:szCs w:val="24"/>
              </w:rPr>
            </w:pPr>
            <w:r>
              <w:rPr>
                <w:rFonts w:hint="eastAsia" w:ascii="微软雅黑" w:hAnsi="微软雅黑" w:eastAsia="微软雅黑" w:cs="微软雅黑"/>
                <w:b/>
                <w:sz w:val="24"/>
                <w:szCs w:val="24"/>
              </w:rPr>
              <w:t>数量</w:t>
            </w:r>
          </w:p>
        </w:tc>
        <w:tc>
          <w:tcPr>
            <w:tcW w:w="1275" w:type="dxa"/>
            <w:vAlign w:val="center"/>
          </w:tcPr>
          <w:p>
            <w:pPr>
              <w:jc w:val="center"/>
              <w:rPr>
                <w:rFonts w:hint="eastAsia" w:ascii="微软雅黑" w:hAnsi="微软雅黑" w:eastAsia="微软雅黑" w:cs="微软雅黑"/>
                <w:b/>
                <w:sz w:val="24"/>
                <w:szCs w:val="24"/>
                <w:lang w:eastAsia="zh-CN"/>
              </w:rPr>
            </w:pPr>
            <w:r>
              <w:rPr>
                <w:rFonts w:hint="eastAsia" w:ascii="微软雅黑" w:hAnsi="微软雅黑" w:eastAsia="微软雅黑" w:cs="微软雅黑"/>
                <w:b/>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7" w:hRule="atLeast"/>
          <w:jc w:val="center"/>
        </w:trPr>
        <w:tc>
          <w:tcPr>
            <w:tcW w:w="846" w:type="dxa"/>
            <w:vAlign w:val="center"/>
          </w:tcPr>
          <w:p>
            <w:pPr>
              <w:pStyle w:val="23"/>
              <w:spacing w:line="240" w:lineRule="auto"/>
              <w:ind w:lef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b w:val="0"/>
                <w:bCs/>
                <w:color w:val="333333"/>
                <w:kern w:val="0"/>
                <w:sz w:val="21"/>
                <w:szCs w:val="21"/>
                <w:lang w:val="en-US" w:eastAsia="zh-CN" w:bidi="ar-SA"/>
              </w:rPr>
              <w:t>1</w:t>
            </w:r>
          </w:p>
        </w:tc>
        <w:tc>
          <w:tcPr>
            <w:tcW w:w="4474"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医用外科口罩</w:t>
            </w:r>
          </w:p>
        </w:tc>
        <w:tc>
          <w:tcPr>
            <w:tcW w:w="1905" w:type="dxa"/>
            <w:vAlign w:val="center"/>
          </w:tcPr>
          <w:p>
            <w:pPr>
              <w:jc w:val="center"/>
              <w:rPr>
                <w:rFonts w:hint="eastAsia"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按实结算</w:t>
            </w:r>
          </w:p>
        </w:tc>
        <w:tc>
          <w:tcPr>
            <w:tcW w:w="1275" w:type="dxa"/>
            <w:vAlign w:val="center"/>
          </w:tcPr>
          <w:p>
            <w:pPr>
              <w:jc w:val="center"/>
              <w:rPr>
                <w:rFonts w:hint="default" w:ascii="微软雅黑" w:hAnsi="微软雅黑" w:eastAsia="微软雅黑" w:cs="微软雅黑"/>
                <w:sz w:val="21"/>
                <w:szCs w:val="21"/>
                <w:lang w:val="en-US" w:eastAsia="zh-CN"/>
              </w:rPr>
            </w:pPr>
          </w:p>
        </w:tc>
      </w:tr>
    </w:tbl>
    <w:p>
      <w:pPr>
        <w:numPr>
          <w:ilvl w:val="0"/>
          <w:numId w:val="14"/>
        </w:numPr>
        <w:ind w:left="1200" w:leftChars="0" w:hanging="720" w:firstLineChars="0"/>
        <w:rPr>
          <w:rFonts w:hint="eastAsia" w:ascii="微软雅黑" w:hAnsi="微软雅黑" w:eastAsia="微软雅黑" w:cs="微软雅黑"/>
          <w:b/>
          <w:bCs/>
          <w:sz w:val="24"/>
          <w:szCs w:val="24"/>
        </w:rPr>
      </w:pPr>
      <w:bookmarkStart w:id="88" w:name="_Toc10143"/>
      <w:bookmarkStart w:id="89" w:name="_Toc75793506"/>
      <w:bookmarkStart w:id="90" w:name="_Toc23975"/>
      <w:bookmarkStart w:id="91" w:name="_Toc18903"/>
      <w:bookmarkStart w:id="92" w:name="_Toc26453"/>
      <w:bookmarkStart w:id="93" w:name="_Toc27067"/>
      <w:bookmarkStart w:id="94" w:name="_Toc5751"/>
      <w:bookmarkStart w:id="95" w:name="_Toc18800"/>
      <w:bookmarkStart w:id="96" w:name="_Toc32262"/>
      <w:bookmarkStart w:id="97" w:name="_Toc12568"/>
      <w:bookmarkStart w:id="98" w:name="_Toc15696"/>
      <w:bookmarkStart w:id="99" w:name="_Toc7792"/>
      <w:bookmarkStart w:id="100" w:name="_Toc106030382"/>
      <w:bookmarkStart w:id="101" w:name="_Toc21817"/>
      <w:bookmarkStart w:id="102" w:name="_Toc695"/>
      <w:bookmarkStart w:id="103" w:name="_Toc28205"/>
      <w:r>
        <w:rPr>
          <w:rFonts w:hint="eastAsia" w:ascii="微软雅黑" w:hAnsi="微软雅黑" w:eastAsia="微软雅黑" w:cs="微软雅黑"/>
          <w:b/>
          <w:bCs/>
          <w:sz w:val="24"/>
          <w:szCs w:val="24"/>
        </w:rPr>
        <w:t>项目技术需求</w:t>
      </w:r>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pPr>
        <w:snapToGrid w:val="0"/>
        <w:spacing w:line="400" w:lineRule="exact"/>
        <w:ind w:firstLine="960" w:firstLineChars="4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lang w:eastAsia="zh-CN"/>
        </w:rPr>
        <w:t>医用外科口罩</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lang w:eastAsia="zh-CN"/>
        </w:rPr>
        <w:t>规格型号：包含但不限于平面挂耳型、平面长带型；尺寸</w:t>
      </w:r>
      <w:r>
        <w:rPr>
          <w:rFonts w:hint="eastAsia" w:ascii="微软雅黑" w:hAnsi="微软雅黑" w:eastAsia="微软雅黑" w:cs="微软雅黑"/>
          <w:sz w:val="24"/>
          <w:szCs w:val="24"/>
          <w:lang w:val="en-US" w:eastAsia="zh-CN"/>
        </w:rPr>
        <w:t>17.5*9.5cm（±0.5cm）；</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2.产品性能：</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（1）结构：三层结构及以上；</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（2）鼻夹：鼻夹具有可调节性；</w:t>
      </w:r>
    </w:p>
    <w:p>
      <w:pPr>
        <w:snapToGrid w:val="0"/>
        <w:spacing w:line="400" w:lineRule="exact"/>
        <w:ind w:firstLine="480" w:firstLineChars="200"/>
        <w:rPr>
          <w:rFonts w:hint="eastAsia" w:ascii="微软雅黑" w:hAnsi="微软雅黑" w:eastAsia="微软雅黑" w:cs="微软雅黑"/>
          <w:sz w:val="24"/>
          <w:szCs w:val="24"/>
          <w:lang w:val="en-US" w:eastAsia="zh-CN"/>
        </w:rPr>
      </w:pPr>
      <w:bookmarkStart w:id="104" w:name="OLE_LINK3"/>
      <w:r>
        <w:rPr>
          <w:rFonts w:hint="eastAsia" w:ascii="微软雅黑" w:hAnsi="微软雅黑" w:eastAsia="微软雅黑" w:cs="微软雅黑"/>
          <w:sz w:val="24"/>
          <w:szCs w:val="24"/>
          <w:lang w:val="en-US" w:eastAsia="zh-CN"/>
        </w:rPr>
        <w:t>（3）口罩带：调节方便，有足够强度，佩戴无痛感，每根口罩带与连接点断裂强度不低于10N；（YY0469-2011标准）</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（4）过滤效率：细菌过滤效率≥95%、颗粒过滤效率≥30%；（YY0469-2011标准）</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lang w:eastAsia="zh-CN"/>
        </w:rPr>
        <w:t>合成血液穿透：将</w:t>
      </w:r>
      <w:r>
        <w:rPr>
          <w:rFonts w:hint="eastAsia" w:ascii="微软雅黑" w:hAnsi="微软雅黑" w:eastAsia="微软雅黑" w:cs="微软雅黑"/>
          <w:sz w:val="24"/>
          <w:szCs w:val="24"/>
          <w:lang w:val="en-US" w:eastAsia="zh-CN"/>
        </w:rPr>
        <w:t>2mL</w:t>
      </w:r>
      <w:r>
        <w:rPr>
          <w:rFonts w:hint="eastAsia" w:ascii="微软雅黑" w:hAnsi="微软雅黑" w:eastAsia="微软雅黑" w:cs="微软雅黑"/>
          <w:sz w:val="24"/>
          <w:szCs w:val="24"/>
          <w:lang w:eastAsia="zh-CN"/>
        </w:rPr>
        <w:t>合成血液以</w:t>
      </w:r>
      <w:r>
        <w:rPr>
          <w:rFonts w:hint="eastAsia" w:ascii="微软雅黑" w:hAnsi="微软雅黑" w:eastAsia="微软雅黑" w:cs="微软雅黑"/>
          <w:sz w:val="24"/>
          <w:szCs w:val="24"/>
          <w:lang w:val="en-US" w:eastAsia="zh-CN"/>
        </w:rPr>
        <w:t>16</w:t>
      </w:r>
      <w:r>
        <w:rPr>
          <w:rFonts w:hint="eastAsia" w:ascii="微软雅黑" w:hAnsi="微软雅黑" w:eastAsia="微软雅黑" w:cs="微软雅黑"/>
          <w:sz w:val="24"/>
          <w:szCs w:val="24"/>
          <w:lang w:eastAsia="zh-CN"/>
        </w:rPr>
        <w:t>kpa（</w:t>
      </w:r>
      <w:r>
        <w:rPr>
          <w:rFonts w:hint="eastAsia" w:ascii="微软雅黑" w:hAnsi="微软雅黑" w:eastAsia="微软雅黑" w:cs="微软雅黑"/>
          <w:sz w:val="24"/>
          <w:szCs w:val="24"/>
          <w:lang w:val="en-US" w:eastAsia="zh-CN"/>
        </w:rPr>
        <w:t>120</w:t>
      </w:r>
      <w:r>
        <w:rPr>
          <w:rFonts w:hint="eastAsia" w:ascii="微软雅黑" w:hAnsi="微软雅黑" w:eastAsia="微软雅黑" w:cs="微软雅黑"/>
          <w:sz w:val="24"/>
          <w:szCs w:val="24"/>
          <w:lang w:eastAsia="zh-CN"/>
        </w:rPr>
        <w:t>mmHg）压力喷向口罩外侧面后，口罩内侧面不应出现渗透；</w:t>
      </w:r>
      <w:r>
        <w:rPr>
          <w:rFonts w:hint="eastAsia" w:ascii="微软雅黑" w:hAnsi="微软雅黑" w:eastAsia="微软雅黑" w:cs="微软雅黑"/>
          <w:sz w:val="24"/>
          <w:szCs w:val="24"/>
          <w:lang w:val="en-US" w:eastAsia="zh-CN"/>
        </w:rPr>
        <w:t>（YY 0469</w:t>
      </w:r>
      <w:r>
        <w:rPr>
          <w:rFonts w:hint="eastAsia" w:ascii="微软雅黑" w:hAnsi="微软雅黑" w:eastAsia="微软雅黑" w:cs="微软雅黑"/>
          <w:sz w:val="24"/>
          <w:szCs w:val="24"/>
          <w:lang w:val="en-US" w:eastAsia="zh-CN"/>
        </w:rPr>
        <w:noBreakHyphen/>
      </w:r>
      <w:r>
        <w:rPr>
          <w:rFonts w:hint="eastAsia" w:ascii="微软雅黑" w:hAnsi="微软雅黑" w:eastAsia="微软雅黑" w:cs="微软雅黑"/>
          <w:sz w:val="24"/>
          <w:szCs w:val="24"/>
          <w:lang w:val="en-US" w:eastAsia="zh-CN"/>
        </w:rPr>
        <w:t>2023标准）</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（6）</w:t>
      </w:r>
      <w:r>
        <w:rPr>
          <w:rFonts w:hint="eastAsia" w:ascii="微软雅黑" w:hAnsi="微软雅黑" w:eastAsia="微软雅黑" w:cs="微软雅黑"/>
          <w:sz w:val="24"/>
          <w:szCs w:val="24"/>
          <w:lang w:eastAsia="zh-CN"/>
        </w:rPr>
        <w:t>阻燃性能：材料不应具有易燃性；续燃时间</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lang w:eastAsia="zh-CN"/>
        </w:rPr>
        <w:t>5s；</w:t>
      </w:r>
      <w:r>
        <w:rPr>
          <w:rFonts w:hint="eastAsia" w:ascii="微软雅黑" w:hAnsi="微软雅黑" w:eastAsia="微软雅黑" w:cs="微软雅黑"/>
          <w:sz w:val="24"/>
          <w:szCs w:val="24"/>
          <w:lang w:val="en-US" w:eastAsia="zh-CN"/>
        </w:rPr>
        <w:t>（YY0469-2011标准）</w:t>
      </w:r>
      <w:bookmarkEnd w:id="104"/>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3.无菌：环氧乙烷灭菌，环氧乙烷残留量≤10ug/g</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4.执行标准：</w:t>
      </w:r>
      <w:r>
        <w:rPr>
          <w:rFonts w:hint="eastAsia" w:ascii="微软雅黑" w:hAnsi="微软雅黑" w:eastAsia="微软雅黑" w:cs="微软雅黑"/>
          <w:sz w:val="24"/>
          <w:szCs w:val="24"/>
          <w:lang w:eastAsia="zh-CN"/>
        </w:rPr>
        <w:t>符合国家外科口罩</w:t>
      </w:r>
      <w:r>
        <w:rPr>
          <w:rFonts w:hint="eastAsia" w:ascii="微软雅黑" w:hAnsi="微软雅黑" w:eastAsia="微软雅黑" w:cs="微软雅黑"/>
          <w:sz w:val="24"/>
          <w:szCs w:val="24"/>
          <w:lang w:val="en-US" w:eastAsia="zh-CN"/>
        </w:rPr>
        <w:t>YY0469-2011标准，并提供CMA或CNAS认定的第三方检测机构出具的检测报告</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5.外观及包装：外观应洁净、形状完好，表面无破损、污渍，无刺激性气味。包装标志上有灭菌或无菌等字样。</w:t>
      </w:r>
    </w:p>
    <w:p>
      <w:pPr>
        <w:snapToGrid w:val="0"/>
        <w:spacing w:line="400" w:lineRule="exact"/>
        <w:ind w:firstLine="480" w:firstLineChars="200"/>
        <w:rPr>
          <w:rFonts w:hint="eastAsia" w:ascii="微软雅黑" w:hAnsi="微软雅黑" w:eastAsia="微软雅黑" w:cs="微软雅黑"/>
          <w:sz w:val="24"/>
          <w:szCs w:val="24"/>
          <w:lang w:val="en-US" w:eastAsia="zh-CN"/>
        </w:rPr>
      </w:pP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注：</w:t>
      </w:r>
    </w:p>
    <w:p>
      <w:pPr>
        <w:snapToGrid w:val="0"/>
        <w:spacing w:line="400" w:lineRule="exact"/>
        <w:ind w:firstLine="480" w:firstLineChars="200"/>
        <w:rPr>
          <w:rFonts w:hint="default"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1.开标现场必须提供规格齐全的所有带包装样品，样品应与实际供货产品一致，样品不齐全视为无效投标；</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2.线下报价产品需在药交所上备案；</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3.请提供相关权威资质作为以上参数的证明材料。</w:t>
      </w:r>
    </w:p>
    <w:p>
      <w:pPr>
        <w:snapToGrid w:val="0"/>
        <w:spacing w:line="400" w:lineRule="exact"/>
        <w:ind w:firstLine="480" w:firstLineChars="200"/>
        <w:rPr>
          <w:rFonts w:hint="eastAsia" w:ascii="微软雅黑" w:hAnsi="微软雅黑" w:eastAsia="微软雅黑" w:cs="微软雅黑"/>
          <w:sz w:val="24"/>
          <w:szCs w:val="24"/>
          <w:lang w:eastAsia="zh-CN"/>
        </w:rPr>
      </w:pPr>
    </w:p>
    <w:p>
      <w:pPr>
        <w:snapToGrid w:val="0"/>
        <w:spacing w:line="400" w:lineRule="exact"/>
        <w:ind w:firstLine="480" w:firstLineChars="200"/>
        <w:rPr>
          <w:rFonts w:hint="eastAsia" w:ascii="微软雅黑" w:hAnsi="微软雅黑" w:eastAsia="微软雅黑" w:cs="微软雅黑"/>
          <w:sz w:val="44"/>
        </w:rPr>
      </w:pPr>
      <w:r>
        <w:rPr>
          <w:rFonts w:hint="eastAsia" w:ascii="宋体" w:hAnsi="宋体" w:eastAsia="宋体" w:cs="宋体"/>
          <w:color w:val="000000"/>
          <w:kern w:val="0"/>
          <w:sz w:val="24"/>
          <w:szCs w:val="24"/>
          <w:lang w:val="en-US" w:eastAsia="zh-CN"/>
        </w:rPr>
        <w:br w:type="page"/>
      </w:r>
      <w:bookmarkStart w:id="105" w:name="_Toc17712"/>
      <w:bookmarkStart w:id="106" w:name="_Toc7791"/>
      <w:bookmarkStart w:id="107" w:name="_Toc76462327"/>
      <w:bookmarkStart w:id="108" w:name="_Toc106030882"/>
      <w:r>
        <w:rPr>
          <w:rFonts w:hint="eastAsia" w:ascii="宋体" w:hAnsi="宋体" w:eastAsia="宋体" w:cs="宋体"/>
          <w:color w:val="000000"/>
          <w:kern w:val="0"/>
          <w:sz w:val="24"/>
          <w:szCs w:val="24"/>
          <w:lang w:val="en-US" w:eastAsia="zh-CN"/>
        </w:rPr>
        <w:t xml:space="preserve">                    </w:t>
      </w:r>
      <w:r>
        <w:rPr>
          <w:rFonts w:hint="eastAsia" w:ascii="微软雅黑" w:hAnsi="微软雅黑" w:eastAsia="微软雅黑" w:cs="微软雅黑"/>
          <w:sz w:val="44"/>
        </w:rPr>
        <w:t xml:space="preserve">第三篇  </w:t>
      </w:r>
      <w:bookmarkEnd w:id="55"/>
      <w:r>
        <w:rPr>
          <w:rFonts w:hint="eastAsia" w:ascii="微软雅黑" w:hAnsi="微软雅黑" w:eastAsia="微软雅黑" w:cs="微软雅黑"/>
          <w:sz w:val="44"/>
        </w:rPr>
        <w:t>项目商务需求</w:t>
      </w:r>
      <w:bookmarkEnd w:id="105"/>
      <w:bookmarkEnd w:id="106"/>
      <w:bookmarkEnd w:id="107"/>
      <w:bookmarkEnd w:id="108"/>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4"/>
              <w:widowControl/>
              <w:spacing w:line="400" w:lineRule="exact"/>
              <w:ind w:firstLine="560" w:firstLineChars="200"/>
              <w:jc w:val="center"/>
              <w:rPr>
                <w:rFonts w:hint="eastAsia" w:ascii="微软雅黑" w:hAnsi="微软雅黑" w:eastAsia="微软雅黑" w:cs="微软雅黑"/>
                <w:sz w:val="24"/>
                <w:szCs w:val="24"/>
              </w:rPr>
            </w:pPr>
            <w:r>
              <w:rPr>
                <w:rFonts w:hint="eastAsia" w:ascii="微软雅黑" w:hAnsi="微软雅黑" w:eastAsia="微软雅黑" w:cs="微软雅黑"/>
                <w:b/>
                <w:bCs/>
                <w:sz w:val="28"/>
                <w:szCs w:val="28"/>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合同、</w:t>
            </w:r>
            <w:r>
              <w:rPr>
                <w:rFonts w:hint="eastAsia" w:ascii="微软雅黑" w:hAnsi="微软雅黑" w:eastAsia="微软雅黑" w:cs="微软雅黑"/>
                <w:b/>
                <w:bCs/>
                <w:sz w:val="24"/>
                <w:szCs w:val="24"/>
              </w:rPr>
              <w:t>交货时间、交货地点及验收方式</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服务期：三年</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交货期：乙方在收到甲方通知后在7个日历日内（或者在甲方临时具体书面指定天数内）将物资运到甲方交货地点。</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交货地点：重庆医科大学附属儿童医院设备处</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验收方式：现场抽样开箱验收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质量保证及售后服务</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1.中标后若出现断供或发生Ⅱ级不良事件，自动取消该产品的供货资格；</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2.售后及时(24小时到现场提供解决方案)，收到供应宝订单须3日之内响应订单并及时配送；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报价要求</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default"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1.该项目可在投标现场进行二次报价。</w:t>
            </w:r>
          </w:p>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2.该项目耗材报价须对线上及备案的单价分别报价，设备报价须报包干总价，所有报价均包括完成货物、运输、验收及其他本项目所需的所有费用及各种应纳的税费。因成交供应商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付款方式</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每月结算一次，成交供应商每月向采购人开具上月采购金额发票和经采购方确认的结算凭证，采购人收到发票和结算凭证后2个月内以转账方式向成交供应商支付。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培训要求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投标人对其提供产品的使用和操作应尽培训义务。投标人应提供对采购人的基本免费培训，能保证使用人员能正常操作。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lang w:val="en-US" w:eastAsia="zh-CN"/>
              </w:rPr>
              <w:t>附件、图纸及包装要求</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所有产品按照制造商规定的产品包装和随机标准附件为准。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lang w:val="en-US" w:eastAsia="zh-CN"/>
              </w:rPr>
            </w:pPr>
            <w:r>
              <w:rPr>
                <w:rFonts w:hint="eastAsia" w:ascii="微软雅黑" w:hAnsi="微软雅黑" w:eastAsia="微软雅黑" w:cs="微软雅黑"/>
                <w:b/>
                <w:bCs/>
                <w:sz w:val="24"/>
                <w:szCs w:val="24"/>
                <w:lang w:val="en-US" w:eastAsia="zh-CN"/>
              </w:rPr>
              <w:t>知识产权</w:t>
            </w:r>
          </w:p>
        </w:tc>
        <w:tc>
          <w:tcPr>
            <w:tcW w:w="4277" w:type="pct"/>
            <w:vAlign w:val="center"/>
          </w:tcPr>
          <w:p>
            <w:pPr>
              <w:pStyle w:val="144"/>
              <w:widowControl/>
              <w:adjustRightInd w:val="0"/>
              <w:snapToGrid w:val="0"/>
              <w:spacing w:line="400" w:lineRule="exact"/>
              <w:jc w:val="left"/>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医院在中国境内使用投标人提供的货物及服务时免受第三方提出的侵犯其专利权或其他知识产权的起诉。如有第三方提出侵权指控，中标人应承担由此引起的一切法律责任和费用。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722" w:type="pct"/>
            <w:vAlign w:val="center"/>
          </w:tcPr>
          <w:p>
            <w:pPr>
              <w:pStyle w:val="144"/>
              <w:widowControl/>
              <w:adjustRightInd w:val="0"/>
              <w:snapToGrid w:val="0"/>
              <w:spacing w:line="400" w:lineRule="exact"/>
              <w:jc w:val="cente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其他</w:t>
            </w:r>
          </w:p>
        </w:tc>
        <w:tc>
          <w:tcPr>
            <w:tcW w:w="4277" w:type="pct"/>
            <w:vAlign w:val="center"/>
          </w:tcPr>
          <w:p>
            <w:pPr>
              <w:keepNext w:val="0"/>
              <w:keepLines w:val="0"/>
              <w:pageBreakBefore w:val="0"/>
              <w:widowControl/>
              <w:kinsoku/>
              <w:wordWrap/>
              <w:overflowPunct/>
              <w:topLinePunct w:val="0"/>
              <w:autoSpaceDE/>
              <w:autoSpaceDN/>
              <w:bidi w:val="0"/>
              <w:adjustRightInd w:val="0"/>
              <w:snapToGrid w:val="0"/>
              <w:spacing w:line="240" w:lineRule="auto"/>
              <w:jc w:val="left"/>
              <w:textAlignment w:val="auto"/>
              <w:rPr>
                <w:rFonts w:hint="eastAsia" w:ascii="微软雅黑" w:hAnsi="微软雅黑" w:eastAsia="微软雅黑" w:cs="微软雅黑"/>
                <w:kern w:val="2"/>
                <w:sz w:val="21"/>
                <w:szCs w:val="21"/>
                <w:lang w:val="en-US" w:eastAsia="zh-CN" w:bidi="ar-SA"/>
              </w:rPr>
            </w:pPr>
            <w:r>
              <w:rPr>
                <w:rFonts w:hint="eastAsia" w:ascii="微软雅黑" w:hAnsi="微软雅黑" w:eastAsia="微软雅黑" w:cs="微软雅黑"/>
                <w:kern w:val="2"/>
                <w:sz w:val="21"/>
                <w:szCs w:val="21"/>
                <w:lang w:val="en-US" w:eastAsia="zh-CN" w:bidi="ar-SA"/>
              </w:rPr>
              <w:t>1.投标人必须在响应文件中对以上条款和服务承诺明确列出，承诺内容必须达到本篇及协商文件其他条款的要求。</w:t>
            </w:r>
          </w:p>
          <w:p>
            <w:pPr>
              <w:pStyle w:val="144"/>
              <w:widowControl/>
              <w:adjustRightInd w:val="0"/>
              <w:snapToGrid w:val="0"/>
              <w:spacing w:line="400" w:lineRule="exact"/>
              <w:jc w:val="left"/>
              <w:rPr>
                <w:rFonts w:hint="eastAsia"/>
                <w:lang w:val="en-US" w:eastAsia="zh-CN"/>
              </w:rPr>
            </w:pPr>
            <w:r>
              <w:rPr>
                <w:rFonts w:hint="eastAsia" w:ascii="微软雅黑" w:hAnsi="微软雅黑" w:eastAsia="微软雅黑" w:cs="微软雅黑"/>
                <w:kern w:val="2"/>
                <w:sz w:val="21"/>
                <w:szCs w:val="21"/>
                <w:lang w:val="en-US" w:eastAsia="zh-CN" w:bidi="ar-SA"/>
              </w:rPr>
              <w:t>2.其他未尽事宜由供需双方在采购合同中详细约定。</w:t>
            </w:r>
          </w:p>
        </w:tc>
      </w:tr>
    </w:tbl>
    <w:p>
      <w:pPr>
        <w:rPr>
          <w:rFonts w:hint="eastAsia" w:ascii="微软雅黑" w:hAnsi="微软雅黑" w:eastAsia="微软雅黑" w:cs="微软雅黑"/>
          <w:b/>
          <w:sz w:val="44"/>
        </w:rPr>
      </w:pPr>
      <w:bookmarkStart w:id="109" w:name="_Toc76462332"/>
      <w:bookmarkStart w:id="110" w:name="_Toc6692"/>
      <w:bookmarkStart w:id="111" w:name="_Toc106030887"/>
      <w:r>
        <w:rPr>
          <w:rFonts w:hint="eastAsia" w:ascii="微软雅黑" w:hAnsi="微软雅黑" w:eastAsia="微软雅黑" w:cs="微软雅黑"/>
          <w:b/>
          <w:sz w:val="44"/>
        </w:rPr>
        <w:br w:type="page"/>
      </w:r>
    </w:p>
    <w:p>
      <w:pPr>
        <w:pStyle w:val="4"/>
        <w:spacing w:before="200" w:after="200" w:line="240" w:lineRule="auto"/>
        <w:jc w:val="center"/>
        <w:rPr>
          <w:rFonts w:hint="eastAsia" w:ascii="微软雅黑" w:hAnsi="微软雅黑" w:eastAsia="微软雅黑" w:cs="微软雅黑"/>
          <w:sz w:val="44"/>
        </w:rPr>
      </w:pPr>
      <w:bookmarkStart w:id="112" w:name="_Toc14419"/>
      <w:r>
        <w:rPr>
          <w:rFonts w:hint="eastAsia" w:ascii="微软雅黑" w:hAnsi="微软雅黑" w:eastAsia="微软雅黑" w:cs="微软雅黑"/>
          <w:sz w:val="44"/>
        </w:rPr>
        <w:t xml:space="preserve">第四篇  </w:t>
      </w:r>
      <w:r>
        <w:rPr>
          <w:rFonts w:hint="eastAsia" w:ascii="微软雅黑" w:hAnsi="微软雅黑" w:eastAsia="微软雅黑" w:cs="微软雅黑"/>
          <w:sz w:val="44"/>
          <w:lang w:eastAsia="zh-CN"/>
        </w:rPr>
        <w:t>耗材遴选</w:t>
      </w:r>
      <w:r>
        <w:rPr>
          <w:rFonts w:hint="eastAsia" w:ascii="微软雅黑" w:hAnsi="微软雅黑" w:eastAsia="微软雅黑" w:cs="微软雅黑"/>
          <w:sz w:val="44"/>
        </w:rPr>
        <w:t>采购程序及方法、评审标准、无效响应和采购终止</w:t>
      </w:r>
      <w:bookmarkEnd w:id="109"/>
      <w:bookmarkEnd w:id="110"/>
      <w:bookmarkEnd w:id="111"/>
      <w:bookmarkEnd w:id="112"/>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3" w:name="_Toc106030888"/>
      <w:bookmarkStart w:id="114" w:name="_Toc14958"/>
      <w:bookmarkStart w:id="115" w:name="_Toc3410"/>
      <w:bookmarkStart w:id="116" w:name="_Toc76462333"/>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采购程序</w:t>
      </w:r>
      <w:bookmarkEnd w:id="113"/>
      <w:bookmarkEnd w:id="114"/>
      <w:bookmarkEnd w:id="115"/>
      <w:bookmarkEnd w:id="11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采购文件规定的时间和地点进行，投标人须有法定代表人（或其授权代表）或自然人参加。</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（二）比选小组对各投标人的资格条件进行审查。各投标人只有在完全符合要求的前提下，才能参与正式比选。</w:t>
      </w:r>
    </w:p>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依据法律法规和</w:t>
      </w:r>
      <w:r>
        <w:rPr>
          <w:rFonts w:hint="eastAsia" w:ascii="微软雅黑" w:hAnsi="微软雅黑" w:eastAsia="微软雅黑" w:cs="微软雅黑"/>
          <w:kern w:val="0"/>
          <w:sz w:val="24"/>
          <w:szCs w:val="24"/>
          <w:lang w:eastAsia="zh-CN"/>
        </w:rPr>
        <w:t>耗材遴选</w:t>
      </w:r>
      <w:r>
        <w:rPr>
          <w:rFonts w:hint="eastAsia" w:ascii="微软雅黑" w:hAnsi="微软雅黑" w:eastAsia="微软雅黑" w:cs="微软雅黑"/>
          <w:kern w:val="0"/>
          <w:sz w:val="24"/>
          <w:szCs w:val="24"/>
        </w:rPr>
        <w:t>采购文件的规定，对响应文件中的资格证明等进行审查，以确定投标人是否具备比选资格。资格性审查资料表如下：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91"/>
        <w:gridCol w:w="2815"/>
        <w:gridCol w:w="51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序号</w:t>
            </w:r>
          </w:p>
        </w:tc>
        <w:tc>
          <w:tcPr>
            <w:tcW w:w="3706" w:type="dxa"/>
            <w:gridSpan w:val="2"/>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检查因素</w:t>
            </w:r>
          </w:p>
        </w:tc>
        <w:tc>
          <w:tcPr>
            <w:tcW w:w="5105" w:type="dxa"/>
            <w:tcBorders>
              <w:top w:val="single" w:color="auto" w:sz="4" w:space="0"/>
              <w:left w:val="single" w:color="auto" w:sz="4" w:space="0"/>
              <w:bottom w:val="single" w:color="auto" w:sz="4" w:space="0"/>
              <w:right w:val="single" w:color="auto" w:sz="4" w:space="0"/>
            </w:tcBorders>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（一）</w:t>
            </w:r>
          </w:p>
        </w:tc>
        <w:tc>
          <w:tcPr>
            <w:tcW w:w="891" w:type="dxa"/>
            <w:vMerge w:val="restart"/>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《中华人民共和国政府采购法》第二十二条规定</w:t>
            </w: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1.具有独立承担民事责任的能力</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 xml:space="preserve">1.投标人法人营业执照（副本）或事业单位法人证书（副本）或个体工商户营业执照或有效的自然人身份证明或社会团体法人登记证书（提供复印件）。 </w:t>
            </w:r>
          </w:p>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2.投标人法定代表人身份证明和法定代表人授权代表委托书。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lang w:val="zh-CN"/>
              </w:rPr>
              <w:t>2.</w:t>
            </w:r>
            <w:r>
              <w:rPr>
                <w:rFonts w:hint="eastAsia" w:ascii="微软雅黑" w:hAnsi="微软雅黑" w:eastAsia="微软雅黑" w:cs="微软雅黑"/>
                <w:szCs w:val="21"/>
              </w:rPr>
              <w:t>具有良好的商业信誉和健全的财务会计制度</w:t>
            </w:r>
          </w:p>
        </w:tc>
        <w:tc>
          <w:tcPr>
            <w:tcW w:w="5105" w:type="dxa"/>
            <w:vMerge w:val="restart"/>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投标人提供“基本资格条件承诺函”（格式详见第六篇）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3.具有履行合同所必需的设备和专业技术能力</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lang w:val="zh-CN"/>
              </w:rPr>
              <w:t>4.有依法缴纳税收和社会保障金的良好记录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lang w:val="zh-CN"/>
              </w:rPr>
            </w:pPr>
          </w:p>
        </w:tc>
        <w:tc>
          <w:tcPr>
            <w:tcW w:w="2815" w:type="dxa"/>
            <w:vAlign w:val="center"/>
          </w:tcPr>
          <w:p>
            <w:pPr>
              <w:pStyle w:val="144"/>
              <w:spacing w:line="400" w:lineRule="exact"/>
              <w:rPr>
                <w:rFonts w:hint="eastAsia" w:ascii="微软雅黑" w:hAnsi="微软雅黑" w:eastAsia="微软雅黑" w:cs="微软雅黑"/>
                <w:szCs w:val="21"/>
                <w:lang w:val="zh-CN"/>
              </w:rPr>
            </w:pPr>
            <w:r>
              <w:rPr>
                <w:rFonts w:hint="eastAsia" w:ascii="微软雅黑" w:hAnsi="微软雅黑" w:eastAsia="微软雅黑" w:cs="微软雅黑"/>
                <w:szCs w:val="21"/>
              </w:rPr>
              <w:t>5.参加政府采购活动前三年内，在经营活动中没有重大违法记录</w:t>
            </w:r>
          </w:p>
        </w:tc>
        <w:tc>
          <w:tcPr>
            <w:tcW w:w="5105"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6.法律、行政法规规定的其他条件</w:t>
            </w:r>
          </w:p>
        </w:tc>
        <w:tc>
          <w:tcPr>
            <w:tcW w:w="5105" w:type="dxa"/>
            <w:vAlign w:val="center"/>
          </w:tcPr>
          <w:p>
            <w:pPr>
              <w:pStyle w:val="144"/>
              <w:spacing w:line="400" w:lineRule="exact"/>
              <w:ind w:firstLine="420" w:firstLineChars="200"/>
              <w:rPr>
                <w:rFonts w:hint="eastAsia" w:ascii="微软雅黑" w:hAnsi="微软雅黑" w:eastAsia="微软雅黑" w:cs="微软雅黑"/>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891" w:type="dxa"/>
            <w:vMerge w:val="continue"/>
            <w:vAlign w:val="center"/>
          </w:tcPr>
          <w:p>
            <w:pPr>
              <w:pStyle w:val="144"/>
              <w:spacing w:line="400" w:lineRule="exact"/>
              <w:ind w:firstLine="420" w:firstLineChars="200"/>
              <w:rPr>
                <w:rFonts w:hint="eastAsia" w:ascii="微软雅黑" w:hAnsi="微软雅黑" w:eastAsia="微软雅黑" w:cs="微软雅黑"/>
                <w:szCs w:val="21"/>
              </w:rPr>
            </w:pPr>
          </w:p>
        </w:tc>
        <w:tc>
          <w:tcPr>
            <w:tcW w:w="281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7.本项目的特定资格要求</w:t>
            </w:r>
          </w:p>
        </w:tc>
        <w:tc>
          <w:tcPr>
            <w:tcW w:w="5105" w:type="dxa"/>
            <w:vAlign w:val="center"/>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按“第一篇</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、投标人资格要求（</w:t>
            </w:r>
            <w:r>
              <w:rPr>
                <w:rFonts w:hint="eastAsia" w:ascii="微软雅黑" w:hAnsi="微软雅黑" w:eastAsia="微软雅黑" w:cs="微软雅黑"/>
                <w:szCs w:val="21"/>
                <w:lang w:val="en-US" w:eastAsia="zh-CN"/>
              </w:rPr>
              <w:t>二</w:t>
            </w:r>
            <w:r>
              <w:rPr>
                <w:rFonts w:hint="eastAsia" w:ascii="微软雅黑" w:hAnsi="微软雅黑" w:eastAsia="微软雅黑" w:cs="微软雅黑"/>
                <w:szCs w:val="21"/>
              </w:rPr>
              <w:t>）本项目的特定资格要求”的要求提交（如果有）。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（二）</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保证金</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按照比选文件要求足额交纳保证金。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（三）</w:t>
            </w:r>
          </w:p>
        </w:tc>
        <w:tc>
          <w:tcPr>
            <w:tcW w:w="891"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IP地址</w:t>
            </w:r>
          </w:p>
        </w:tc>
        <w:tc>
          <w:tcPr>
            <w:tcW w:w="2815" w:type="dxa"/>
          </w:tcPr>
          <w:p>
            <w:pPr>
              <w:pStyle w:val="144"/>
              <w:spacing w:line="400" w:lineRule="exact"/>
              <w:ind w:firstLine="420" w:firstLineChars="200"/>
              <w:rPr>
                <w:rFonts w:hint="eastAsia" w:ascii="微软雅黑" w:hAnsi="微软雅黑" w:eastAsia="微软雅黑" w:cs="微软雅黑"/>
                <w:szCs w:val="21"/>
              </w:rPr>
            </w:pPr>
          </w:p>
        </w:tc>
        <w:tc>
          <w:tcPr>
            <w:tcW w:w="5105" w:type="dxa"/>
          </w:tcPr>
          <w:p>
            <w:pPr>
              <w:pStyle w:val="144"/>
              <w:spacing w:line="400" w:lineRule="exact"/>
              <w:rPr>
                <w:rFonts w:hint="eastAsia" w:ascii="微软雅黑" w:hAnsi="微软雅黑" w:eastAsia="微软雅黑" w:cs="微软雅黑"/>
                <w:szCs w:val="21"/>
              </w:rPr>
            </w:pPr>
            <w:r>
              <w:rPr>
                <w:rFonts w:hint="eastAsia" w:ascii="微软雅黑" w:hAnsi="微软雅黑" w:eastAsia="微软雅黑" w:cs="微软雅黑"/>
                <w:szCs w:val="21"/>
              </w:rPr>
              <w:t>投标人在采购人指定招标平台进行报名或提交响应文件时，是否出现与其他投标人IP地址重复的情况。如果有则视为存在围标和串标风险，取消所有IP地址重复的投标人的投标资格。</w:t>
            </w:r>
          </w:p>
        </w:tc>
      </w:tr>
    </w:tbl>
    <w:p>
      <w:pPr>
        <w:snapToGrid w:val="0"/>
        <w:spacing w:line="400" w:lineRule="exact"/>
        <w:ind w:firstLine="480" w:firstLineChars="200"/>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注：根据《中华人民共和国政府采购法实施条例》第十九条“参加政府采购活动前三年内，在经营活动中没有重大违法记录”中“重大违法记录”，是指投标人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号）”执行。投标人可于响应文件递交截止时间前通过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17" w:name="_Toc29068"/>
      <w:r>
        <w:rPr>
          <w:rFonts w:hint="eastAsia" w:ascii="微软雅黑" w:hAnsi="微软雅黑" w:eastAsia="微软雅黑" w:cs="微软雅黑"/>
          <w:sz w:val="24"/>
        </w:rPr>
        <w:t>二、评标方法</w:t>
      </w:r>
      <w:bookmarkEnd w:id="117"/>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18" w:name="_Toc76462334"/>
      <w:bookmarkStart w:id="119" w:name="_Toc30944"/>
      <w:bookmarkStart w:id="120" w:name="_Toc106030889"/>
      <w:bookmarkStart w:id="121" w:name="_Toc102227320"/>
      <w:bookmarkStart w:id="122" w:name="_Toc342913394"/>
      <w:r>
        <w:rPr>
          <w:rFonts w:hint="eastAsia" w:ascii="微软雅黑" w:hAnsi="微软雅黑" w:eastAsia="微软雅黑" w:cs="微软雅黑"/>
          <w:kern w:val="0"/>
          <w:sz w:val="24"/>
          <w:szCs w:val="24"/>
          <w:lang w:val="en-US" w:eastAsia="zh-CN"/>
        </w:rPr>
        <w:t>1.评审小组选取满足参数及性能要求的品牌定为入围品牌。</w:t>
      </w:r>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r>
        <w:rPr>
          <w:rFonts w:hint="eastAsia" w:ascii="微软雅黑" w:hAnsi="微软雅黑" w:eastAsia="微软雅黑" w:cs="微软雅黑"/>
          <w:kern w:val="0"/>
          <w:sz w:val="24"/>
          <w:szCs w:val="24"/>
          <w:lang w:val="en-US" w:eastAsia="zh-CN"/>
        </w:rPr>
        <w:t>2.对入围品牌进行价格谈判并排序，同等条件下，低价中标。</w:t>
      </w:r>
      <w:bookmarkStart w:id="123" w:name="_Toc4078"/>
    </w:p>
    <w:p>
      <w:pPr>
        <w:pStyle w:val="4"/>
        <w:adjustRightInd w:val="0"/>
        <w:snapToGrid w:val="0"/>
        <w:spacing w:before="0" w:after="0" w:line="400" w:lineRule="exact"/>
        <w:ind w:firstLine="480" w:firstLineChars="200"/>
        <w:rPr>
          <w:rFonts w:hint="eastAsia" w:ascii="微软雅黑" w:hAnsi="微软雅黑" w:eastAsia="微软雅黑" w:cs="微软雅黑"/>
          <w:sz w:val="24"/>
          <w:lang w:val="en-US" w:eastAsia="zh-CN"/>
        </w:rPr>
      </w:pPr>
      <w:r>
        <w:rPr>
          <w:rFonts w:hint="eastAsia" w:ascii="微软雅黑" w:hAnsi="微软雅黑" w:eastAsia="微软雅黑" w:cs="微软雅黑"/>
          <w:sz w:val="24"/>
          <w:lang w:val="en-US" w:eastAsia="zh-CN"/>
        </w:rPr>
        <w:t>三、报价方式</w:t>
      </w:r>
      <w:bookmarkEnd w:id="123"/>
    </w:p>
    <w:p>
      <w:pPr>
        <w:snapToGrid w:val="0"/>
        <w:spacing w:line="400" w:lineRule="exact"/>
        <w:ind w:firstLine="480" w:firstLineChars="200"/>
        <w:rPr>
          <w:rFonts w:hint="eastAsia" w:ascii="微软雅黑" w:hAnsi="微软雅黑" w:eastAsia="微软雅黑" w:cs="微软雅黑"/>
          <w:kern w:val="0"/>
          <w:sz w:val="24"/>
          <w:szCs w:val="24"/>
          <w:lang w:val="en-US" w:eastAsia="zh-CN"/>
        </w:rPr>
      </w:pPr>
      <w:bookmarkStart w:id="124" w:name="_Toc5837"/>
      <w:bookmarkStart w:id="125" w:name="_Toc13703"/>
      <w:r>
        <w:rPr>
          <w:rFonts w:hint="eastAsia" w:ascii="微软雅黑" w:hAnsi="微软雅黑" w:eastAsia="微软雅黑" w:cs="微软雅黑"/>
          <w:kern w:val="0"/>
          <w:sz w:val="24"/>
          <w:szCs w:val="24"/>
          <w:lang w:val="en-US" w:eastAsia="zh-CN"/>
        </w:rPr>
        <w:t>本项目投标人可在投标现场进行第二次报价。</w:t>
      </w:r>
      <w:bookmarkEnd w:id="124"/>
      <w:bookmarkEnd w:id="125"/>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26" w:name="_Toc23723"/>
      <w:r>
        <w:rPr>
          <w:rFonts w:hint="eastAsia" w:ascii="微软雅黑" w:hAnsi="微软雅黑" w:eastAsia="微软雅黑" w:cs="微软雅黑"/>
          <w:sz w:val="24"/>
        </w:rPr>
        <w:t>四、评审标准</w:t>
      </w:r>
      <w:bookmarkEnd w:id="118"/>
      <w:bookmarkEnd w:id="119"/>
      <w:bookmarkEnd w:id="120"/>
      <w:bookmarkEnd w:id="126"/>
    </w:p>
    <w:p>
      <w:pPr>
        <w:snapToGrid w:val="0"/>
        <w:spacing w:line="400" w:lineRule="exact"/>
        <w:ind w:firstLine="480" w:firstLineChars="200"/>
        <w:rPr>
          <w:rFonts w:hint="eastAsia" w:ascii="微软雅黑" w:hAnsi="微软雅黑" w:eastAsia="微软雅黑" w:cs="微软雅黑"/>
          <w:sz w:val="24"/>
          <w:szCs w:val="24"/>
        </w:rPr>
      </w:pPr>
      <w:bookmarkStart w:id="127" w:name="_Toc31497"/>
      <w:bookmarkStart w:id="128" w:name="_Toc106030890"/>
      <w:bookmarkStart w:id="129" w:name="_Toc76462335"/>
      <w:r>
        <w:rPr>
          <w:rFonts w:hint="eastAsia" w:ascii="微软雅黑" w:hAnsi="微软雅黑" w:eastAsia="微软雅黑" w:cs="微软雅黑"/>
          <w:sz w:val="24"/>
          <w:szCs w:val="24"/>
        </w:rPr>
        <w:t>（一）关于技术（质量）、商务偏离</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采购文件“第二篇 项目技术（质量）需求”要求的，投标人将失去成为中标候选人的资格；</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2.响应文件投标应答有一条及以上不满足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采购文件“第三篇 项目商务需求”要求的，投标人将失去成为合格投标人的资格；</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3.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121"/>
    <w:bookmarkEnd w:id="122"/>
    <w:bookmarkEnd w:id="127"/>
    <w:bookmarkEnd w:id="128"/>
    <w:bookmarkEnd w:id="129"/>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0" w:name="_Toc4326"/>
      <w:bookmarkStart w:id="131" w:name="_Toc3878"/>
      <w:r>
        <w:rPr>
          <w:rFonts w:hint="eastAsia" w:ascii="微软雅黑" w:hAnsi="微软雅黑" w:eastAsia="微软雅黑" w:cs="微软雅黑"/>
          <w:sz w:val="24"/>
        </w:rPr>
        <w:t>五、无效响应</w:t>
      </w:r>
      <w:bookmarkEnd w:id="130"/>
      <w:bookmarkEnd w:id="131"/>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投标人发生以下条款情况之一者，视为无效响应，其响应文件将被拒绝：</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（一）投标人不符合规定的资格条件的；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（二）投标人的法定代表人（或其授权代表）或自然人未在采购人规定时间内到达开标现场进行签到及提交纸质响应文件的；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（三）投标人所提交的响应文件不按“第六篇响应文件编制要求”要求签署或盖章；</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（四）投标人的最后报价超过采购预算或最高限价的；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（五）法定代表人为同一个人的两个及两个以上法人，母公司、全资子公司及其控股公司，在同一包采购中同时参与比选；</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（六）单位负责人为同一人或者存在直接控股、管理关系的不同投标人，参加同一合同项下的采购活动的；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（七）为采购项目提供整体设计、规范编制或者项目管理、监理、检测等服务的投标人，再参加该采购项目的其他采购活动；</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（八）投标人</w:t>
      </w:r>
      <w:r>
        <w:rPr>
          <w:rFonts w:hint="eastAsia" w:ascii="微软雅黑" w:hAnsi="微软雅黑" w:eastAsia="微软雅黑" w:cs="微软雅黑"/>
          <w:sz w:val="24"/>
          <w:szCs w:val="24"/>
          <w:lang w:val="en-US" w:eastAsia="zh-CN"/>
        </w:rPr>
        <w:t>响应文件</w:t>
      </w:r>
      <w:r>
        <w:rPr>
          <w:rFonts w:hint="eastAsia" w:ascii="微软雅黑" w:hAnsi="微软雅黑" w:eastAsia="微软雅黑" w:cs="微软雅黑"/>
          <w:sz w:val="24"/>
          <w:szCs w:val="24"/>
        </w:rPr>
        <w:t>有效期不满足</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采购文件要求的；</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（九）投标人响应文件内容有与国家现行法律法规相违背的内容，或附有采购人无法接受的条件；</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（十）法律、法规和遴选文件规定的其他无效情形。</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32" w:name="_Toc106030891"/>
      <w:bookmarkStart w:id="133" w:name="_Toc10687"/>
      <w:bookmarkStart w:id="134" w:name="_Toc76462336"/>
      <w:bookmarkStart w:id="135" w:name="_Toc25327"/>
      <w:bookmarkStart w:id="136" w:name="_Toc22602"/>
      <w:r>
        <w:rPr>
          <w:rFonts w:hint="eastAsia" w:ascii="微软雅黑" w:hAnsi="微软雅黑" w:eastAsia="微软雅黑" w:cs="微软雅黑"/>
          <w:sz w:val="24"/>
        </w:rPr>
        <w:t>六、</w:t>
      </w:r>
      <w:bookmarkEnd w:id="132"/>
      <w:bookmarkEnd w:id="133"/>
      <w:bookmarkEnd w:id="134"/>
      <w:r>
        <w:rPr>
          <w:rFonts w:hint="eastAsia" w:ascii="微软雅黑" w:hAnsi="微软雅黑" w:eastAsia="微软雅黑" w:cs="微软雅黑"/>
          <w:sz w:val="24"/>
        </w:rPr>
        <w:t>废标条款</w:t>
      </w:r>
      <w:bookmarkEnd w:id="135"/>
      <w:bookmarkEnd w:id="136"/>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在采购中，出现下列情形之一的，项目应予作废处理：</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（一）因情况变化，不再符合规定的</w:t>
      </w:r>
      <w:r>
        <w:rPr>
          <w:rFonts w:hint="eastAsia" w:ascii="微软雅黑" w:hAnsi="微软雅黑" w:eastAsia="微软雅黑" w:cs="微软雅黑"/>
          <w:sz w:val="24"/>
          <w:szCs w:val="24"/>
          <w:lang w:eastAsia="zh-CN"/>
        </w:rPr>
        <w:t>遴选</w:t>
      </w:r>
      <w:r>
        <w:rPr>
          <w:rFonts w:hint="eastAsia" w:ascii="微软雅黑" w:hAnsi="微软雅黑" w:eastAsia="微软雅黑" w:cs="微软雅黑"/>
          <w:sz w:val="24"/>
          <w:szCs w:val="24"/>
        </w:rPr>
        <w:t>采购方式适用情形的；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（二）出现影响采购公正的违法、违规行为的；</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（三）符合</w:t>
      </w:r>
      <w:r>
        <w:rPr>
          <w:rFonts w:hint="eastAsia" w:ascii="微软雅黑" w:hAnsi="微软雅黑" w:eastAsia="微软雅黑" w:cs="微软雅黑"/>
          <w:sz w:val="24"/>
          <w:szCs w:val="24"/>
          <w:lang w:val="en-US" w:eastAsia="zh-CN"/>
        </w:rPr>
        <w:t>遴选入围</w:t>
      </w:r>
      <w:r>
        <w:rPr>
          <w:rFonts w:hint="eastAsia" w:ascii="微软雅黑" w:hAnsi="微软雅黑" w:eastAsia="微软雅黑" w:cs="微软雅黑"/>
          <w:sz w:val="24"/>
          <w:szCs w:val="24"/>
        </w:rPr>
        <w:t>要求</w:t>
      </w:r>
      <w:r>
        <w:rPr>
          <w:rFonts w:hint="eastAsia" w:ascii="微软雅黑" w:hAnsi="微软雅黑" w:eastAsia="微软雅黑" w:cs="微软雅黑"/>
          <w:sz w:val="24"/>
          <w:szCs w:val="24"/>
          <w:lang w:val="en-US" w:eastAsia="zh-CN"/>
        </w:rPr>
        <w:t>的投标人不足两家的</w:t>
      </w:r>
      <w:r>
        <w:rPr>
          <w:rFonts w:hint="eastAsia" w:ascii="微软雅黑" w:hAnsi="微软雅黑" w:eastAsia="微软雅黑" w:cs="微软雅黑"/>
          <w:sz w:val="24"/>
          <w:szCs w:val="24"/>
        </w:rPr>
        <w:t>；（挂网公示次数大于等于3次的除外）</w:t>
      </w:r>
    </w:p>
    <w:p>
      <w:pPr>
        <w:snapToGrid w:val="0"/>
        <w:spacing w:line="400" w:lineRule="exact"/>
        <w:ind w:firstLine="465"/>
        <w:rPr>
          <w:rFonts w:hint="eastAsia" w:ascii="微软雅黑" w:hAnsi="微软雅黑" w:eastAsia="微软雅黑" w:cs="微软雅黑"/>
          <w:sz w:val="24"/>
          <w:szCs w:val="24"/>
        </w:rPr>
      </w:pPr>
      <w:r>
        <w:rPr>
          <w:rFonts w:hint="eastAsia" w:ascii="微软雅黑" w:hAnsi="微软雅黑" w:eastAsia="微软雅黑" w:cs="微软雅黑"/>
          <w:sz w:val="24"/>
          <w:szCs w:val="24"/>
        </w:rPr>
        <w:t>（四）采购任务变更或取消的。</w:t>
      </w:r>
    </w:p>
    <w:p>
      <w:pPr>
        <w:spacing w:line="400" w:lineRule="exact"/>
        <w:ind w:firstLine="480" w:firstLineChars="200"/>
        <w:rPr>
          <w:rFonts w:hint="eastAsia" w:ascii="微软雅黑" w:hAnsi="微软雅黑" w:eastAsia="微软雅黑" w:cs="微软雅黑"/>
          <w:sz w:val="24"/>
          <w:szCs w:val="24"/>
        </w:rPr>
        <w:sectPr>
          <w:footerReference r:id="rId8" w:type="default"/>
          <w:pgSz w:w="11907" w:h="16840"/>
          <w:pgMar w:top="1134" w:right="1191" w:bottom="1134" w:left="1304" w:header="964" w:footer="992" w:gutter="0"/>
          <w:pgNumType w:fmt="numberInDash"/>
          <w:cols w:space="720" w:num="1"/>
          <w:docGrid w:linePitch="312" w:charSpace="0"/>
        </w:sectPr>
      </w:pPr>
    </w:p>
    <w:p>
      <w:pPr>
        <w:pStyle w:val="4"/>
        <w:spacing w:before="200" w:after="200" w:line="240" w:lineRule="auto"/>
        <w:jc w:val="center"/>
        <w:rPr>
          <w:rFonts w:hint="eastAsia" w:ascii="微软雅黑" w:hAnsi="微软雅黑" w:eastAsia="微软雅黑" w:cs="微软雅黑"/>
          <w:sz w:val="44"/>
        </w:rPr>
      </w:pPr>
      <w:bookmarkStart w:id="137" w:name="_Toc76462337"/>
      <w:bookmarkStart w:id="138" w:name="_Toc7572"/>
      <w:bookmarkStart w:id="139" w:name="_Toc29948"/>
      <w:bookmarkStart w:id="140" w:name="_Toc102227313"/>
      <w:bookmarkStart w:id="141" w:name="_Toc106030892"/>
      <w:r>
        <w:rPr>
          <w:rFonts w:hint="eastAsia" w:ascii="微软雅黑" w:hAnsi="微软雅黑" w:eastAsia="微软雅黑" w:cs="微软雅黑"/>
          <w:sz w:val="44"/>
        </w:rPr>
        <w:t>第五篇  投标人须知</w:t>
      </w:r>
      <w:bookmarkEnd w:id="137"/>
      <w:bookmarkEnd w:id="138"/>
      <w:bookmarkEnd w:id="139"/>
      <w:bookmarkEnd w:id="140"/>
      <w:bookmarkEnd w:id="141"/>
      <w:bookmarkStart w:id="193" w:name="_GoBack"/>
      <w:bookmarkEnd w:id="193"/>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2" w:name="_Toc76462338"/>
      <w:bookmarkStart w:id="143" w:name="_Toc106030893"/>
      <w:bookmarkStart w:id="144" w:name="_Toc26717"/>
      <w:bookmarkStart w:id="145" w:name="_Toc9364"/>
      <w:bookmarkStart w:id="146" w:name="_Toc342913389"/>
      <w:r>
        <w:rPr>
          <w:rFonts w:hint="eastAsia" w:ascii="微软雅黑" w:hAnsi="微软雅黑" w:eastAsia="微软雅黑" w:cs="微软雅黑"/>
          <w:sz w:val="24"/>
        </w:rPr>
        <w:t>一、</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费用</w:t>
      </w:r>
      <w:bookmarkEnd w:id="142"/>
      <w:bookmarkEnd w:id="143"/>
      <w:bookmarkEnd w:id="144"/>
      <w:bookmarkEnd w:id="145"/>
      <w:bookmarkEnd w:id="146"/>
    </w:p>
    <w:p>
      <w:pPr>
        <w:pStyle w:val="144"/>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参与比选的投标人应承担其编制响应文件与递交响应文件所涉及的一切费用，不论比选结果如何，采购人在任何情况下无义务也无责任承担这些费用。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47" w:name="_Toc76462339"/>
      <w:bookmarkStart w:id="148" w:name="_Toc106030894"/>
      <w:bookmarkStart w:id="149" w:name="_Toc20281"/>
      <w:bookmarkStart w:id="150" w:name="_Toc15712"/>
      <w:bookmarkStart w:id="151" w:name="_Toc342913391"/>
      <w:r>
        <w:rPr>
          <w:rFonts w:hint="eastAsia" w:ascii="微软雅黑" w:hAnsi="微软雅黑" w:eastAsia="微软雅黑" w:cs="微软雅黑"/>
          <w:sz w:val="24"/>
        </w:rPr>
        <w:t>二、</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w:t>
      </w:r>
      <w:bookmarkEnd w:id="147"/>
      <w:bookmarkEnd w:id="148"/>
      <w:bookmarkEnd w:id="149"/>
      <w:bookmarkEnd w:id="150"/>
      <w:bookmarkEnd w:id="151"/>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采购文件由采购邀请书、项目服务需求、投标人须知、项目商务需求、比选程序及方法、评审标准、无效响应和采购终止、投标人须知</w:t>
      </w:r>
      <w:r>
        <w:rPr>
          <w:rFonts w:hint="eastAsia" w:ascii="微软雅黑" w:hAnsi="微软雅黑" w:eastAsia="微软雅黑" w:cs="微软雅黑"/>
          <w:b/>
          <w:sz w:val="24"/>
          <w:szCs w:val="24"/>
        </w:rPr>
        <w:t>、</w:t>
      </w:r>
      <w:r>
        <w:rPr>
          <w:rFonts w:hint="eastAsia" w:ascii="微软雅黑" w:hAnsi="微软雅黑" w:eastAsia="微软雅黑" w:cs="微软雅黑"/>
          <w:sz w:val="24"/>
          <w:szCs w:val="24"/>
        </w:rPr>
        <w:t>响应文件编制要求六部分组成。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（二）采购人所作的一切有效的书面通知、修改及补充，都是</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采购文件不可分割的部分。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采购文件的解释</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投标人如对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采购文件有疑问，必须以书面形式在提交响应文件截止时间2个工作日前向采购人要求澄清，采购人可视具体情况做出处理或答复。如投标人未提出疑问，视为完全理解并同意本</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采购文件。一经进入比选程序，即视为投标人已详细阅读全部文件资料，完全理解</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采购文件所有条款内容并同意放弃对这方面有不明白及误解的权利。</w:t>
      </w:r>
      <w:bookmarkStart w:id="152" w:name="_Toc318159349"/>
      <w:bookmarkStart w:id="153" w:name="_Toc318159780"/>
      <w:bookmarkStart w:id="154" w:name="_Toc318159160"/>
      <w:bookmarkStart w:id="155" w:name="_Toc318166429"/>
    </w:p>
    <w:bookmarkEnd w:id="152"/>
    <w:bookmarkEnd w:id="153"/>
    <w:bookmarkEnd w:id="154"/>
    <w:bookmarkEnd w:id="155"/>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56" w:name="_Toc342913392"/>
      <w:bookmarkStart w:id="157" w:name="_Toc76462340"/>
      <w:bookmarkStart w:id="158" w:name="_Toc106030895"/>
      <w:bookmarkStart w:id="159" w:name="_Toc102227318"/>
      <w:bookmarkStart w:id="160" w:name="_Toc179714297"/>
      <w:bookmarkStart w:id="161" w:name="_Toc26007"/>
      <w:bookmarkStart w:id="162" w:name="_Toc8971"/>
      <w:r>
        <w:rPr>
          <w:rFonts w:hint="eastAsia" w:ascii="微软雅黑" w:hAnsi="微软雅黑" w:eastAsia="微软雅黑" w:cs="微软雅黑"/>
          <w:sz w:val="24"/>
        </w:rPr>
        <w:t>三、比选要求</w:t>
      </w:r>
      <w:bookmarkEnd w:id="156"/>
      <w:bookmarkEnd w:id="157"/>
      <w:bookmarkEnd w:id="158"/>
      <w:bookmarkEnd w:id="159"/>
      <w:bookmarkEnd w:id="160"/>
      <w:bookmarkEnd w:id="161"/>
      <w:bookmarkEnd w:id="16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（一）响应文件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1.投标人应当按照</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采购文件的要求编制响应文件，并对</w:t>
      </w:r>
      <w:r>
        <w:rPr>
          <w:rFonts w:hint="eastAsia" w:ascii="微软雅黑" w:hAnsi="微软雅黑" w:eastAsia="微软雅黑" w:cs="微软雅黑"/>
          <w:sz w:val="24"/>
          <w:szCs w:val="24"/>
          <w:lang w:eastAsia="zh-CN"/>
        </w:rPr>
        <w:t>耗材遴选</w:t>
      </w:r>
      <w:r>
        <w:rPr>
          <w:rFonts w:hint="eastAsia" w:ascii="微软雅黑" w:hAnsi="微软雅黑" w:eastAsia="微软雅黑" w:cs="微软雅黑"/>
          <w:sz w:val="24"/>
          <w:szCs w:val="24"/>
        </w:rPr>
        <w:t>采购文件提出的要求和条件作出实质性响应，响应文件原则上采用软面订本，同时应编制完整的页码、目录。</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2.响应文件组成</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响应文件由“第六篇响应文件编制要求”规定的部分和投标人所作的一切有效补充、修改和承诺等文件组成，投标人应按照“第六篇响应文件编制要求”规定的目录顺序组织编写和装订，也可在基本格式基础上对表格进行扩展，未规定格式的由投标人自定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（二）比选有效期：响应文件及有关承诺文件有效期为提交响应文件截止时间起90天。</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（三）修正错误</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若响应文件出现计算或表达上的错误，修正错误的原则如下：</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1.响应文件中开标一览表（报价表）内容与响应文件中相应内容不一致的，以开标一览表（报价表）为准；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2.大写金额和小写金额不一致的，以大写金额为准；</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3.单价金额小数点或者百分比有明显错位的，以开标一览表的总价为准，并修改单价；</w:t>
      </w:r>
    </w:p>
    <w:p>
      <w:pPr>
        <w:pStyle w:val="51"/>
        <w:widowControl w:val="0"/>
        <w:adjustRightInd w:val="0"/>
        <w:snapToGrid w:val="0"/>
        <w:spacing w:before="0" w:beforeAutospacing="0" w:after="0" w:afterAutospacing="0" w:line="400" w:lineRule="exact"/>
        <w:ind w:firstLine="480" w:firstLineChars="200"/>
        <w:jc w:val="both"/>
        <w:rPr>
          <w:rFonts w:hint="eastAsia" w:ascii="微软雅黑" w:hAnsi="微软雅黑" w:eastAsia="微软雅黑" w:cs="微软雅黑"/>
        </w:rPr>
      </w:pPr>
      <w:r>
        <w:rPr>
          <w:rFonts w:hint="eastAsia" w:ascii="微软雅黑" w:hAnsi="微软雅黑" w:eastAsia="微软雅黑" w:cs="微软雅黑"/>
          <w:kern w:val="2"/>
          <w:lang w:bidi="ar"/>
        </w:rPr>
        <w:t>4.总价金额与按单价汇总金额不一致的，以单价金额计算结果为准。</w:t>
      </w:r>
    </w:p>
    <w:p>
      <w:pPr>
        <w:widowControl/>
        <w:ind w:firstLine="480" w:firstLineChars="200"/>
        <w:jc w:val="left"/>
        <w:rPr>
          <w:rFonts w:hint="eastAsia" w:ascii="微软雅黑" w:hAnsi="微软雅黑" w:eastAsia="微软雅黑" w:cs="微软雅黑"/>
        </w:rPr>
      </w:pPr>
      <w:r>
        <w:rPr>
          <w:rFonts w:hint="eastAsia" w:ascii="微软雅黑" w:hAnsi="微软雅黑" w:eastAsia="微软雅黑" w:cs="微软雅黑"/>
          <w:sz w:val="24"/>
          <w:szCs w:val="24"/>
        </w:rPr>
        <w:t>比选小组</w:t>
      </w:r>
      <w:r>
        <w:rPr>
          <w:rFonts w:hint="eastAsia" w:ascii="微软雅黑" w:hAnsi="微软雅黑" w:eastAsia="微软雅黑" w:cs="微软雅黑"/>
          <w:sz w:val="24"/>
          <w:lang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（四）提交响应文件的份数和签署</w:t>
      </w:r>
    </w:p>
    <w:p>
      <w:pPr>
        <w:snapToGrid w:val="0"/>
        <w:spacing w:line="400" w:lineRule="exact"/>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b w:val="0"/>
          <w:bCs w:val="0"/>
          <w:color w:val="auto"/>
          <w:sz w:val="24"/>
          <w:szCs w:val="24"/>
          <w:u w:val="single"/>
        </w:rPr>
        <w:t>1.响应文件一式</w:t>
      </w:r>
      <w:r>
        <w:rPr>
          <w:rFonts w:hint="eastAsia" w:ascii="微软雅黑" w:hAnsi="微软雅黑" w:eastAsia="微软雅黑" w:cs="微软雅黑"/>
          <w:b w:val="0"/>
          <w:bCs w:val="0"/>
          <w:color w:val="auto"/>
          <w:sz w:val="24"/>
          <w:szCs w:val="24"/>
          <w:u w:val="single"/>
          <w:lang w:eastAsia="zh-CN"/>
        </w:rPr>
        <w:t>七</w:t>
      </w:r>
      <w:r>
        <w:rPr>
          <w:rFonts w:hint="eastAsia" w:ascii="微软雅黑" w:hAnsi="微软雅黑" w:eastAsia="微软雅黑" w:cs="微软雅黑"/>
          <w:b w:val="0"/>
          <w:bCs w:val="0"/>
          <w:color w:val="auto"/>
          <w:sz w:val="24"/>
          <w:szCs w:val="24"/>
          <w:u w:val="single"/>
        </w:rPr>
        <w:t>份，其中正本一份，副本</w:t>
      </w:r>
      <w:r>
        <w:rPr>
          <w:rFonts w:hint="eastAsia" w:ascii="微软雅黑" w:hAnsi="微软雅黑" w:eastAsia="微软雅黑" w:cs="微软雅黑"/>
          <w:b w:val="0"/>
          <w:bCs w:val="0"/>
          <w:color w:val="auto"/>
          <w:sz w:val="24"/>
          <w:szCs w:val="24"/>
          <w:u w:val="single"/>
          <w:lang w:eastAsia="zh-CN"/>
        </w:rPr>
        <w:t>六</w:t>
      </w:r>
      <w:r>
        <w:rPr>
          <w:rFonts w:hint="eastAsia" w:ascii="微软雅黑" w:hAnsi="微软雅黑" w:eastAsia="微软雅黑" w:cs="微软雅黑"/>
          <w:b w:val="0"/>
          <w:bCs w:val="0"/>
          <w:color w:val="auto"/>
          <w:sz w:val="24"/>
          <w:szCs w:val="24"/>
          <w:u w:val="single"/>
        </w:rPr>
        <w:t>份，电子文档一份（</w:t>
      </w:r>
      <w:r>
        <w:rPr>
          <w:rFonts w:hint="eastAsia" w:ascii="微软雅黑" w:hAnsi="微软雅黑" w:eastAsia="微软雅黑" w:cs="微软雅黑"/>
          <w:b w:val="0"/>
          <w:bCs w:val="0"/>
          <w:color w:val="auto"/>
          <w:sz w:val="24"/>
          <w:szCs w:val="24"/>
          <w:u w:val="single"/>
          <w:lang w:val="en-US" w:eastAsia="zh-CN"/>
        </w:rPr>
        <w:t>电子文档为完整的响应文件正本PDF版，须上传至</w:t>
      </w:r>
      <w:r>
        <w:rPr>
          <w:rFonts w:hint="eastAsia" w:ascii="微软雅黑" w:hAnsi="微软雅黑" w:eastAsia="微软雅黑" w:cs="微软雅黑"/>
          <w:b w:val="0"/>
          <w:bCs w:val="0"/>
          <w:color w:val="auto"/>
          <w:sz w:val="24"/>
          <w:szCs w:val="24"/>
          <w:u w:val="single"/>
        </w:rPr>
        <w:t>电子招投标平台）</w:t>
      </w:r>
      <w:r>
        <w:rPr>
          <w:rFonts w:hint="eastAsia" w:ascii="微软雅黑" w:hAnsi="微软雅黑" w:eastAsia="微软雅黑" w:cs="微软雅黑"/>
          <w:color w:val="auto"/>
          <w:sz w:val="24"/>
          <w:szCs w:val="24"/>
        </w:rPr>
        <w:t>；副本可为正本的复印件，应与正本一致，如出现不一致情况以正本为准。</w:t>
      </w:r>
      <w:r>
        <w:rPr>
          <w:rFonts w:hint="eastAsia" w:ascii="微软雅黑" w:hAnsi="微软雅黑" w:eastAsia="微软雅黑" w:cs="微软雅黑"/>
          <w:color w:val="auto"/>
          <w:sz w:val="24"/>
          <w:szCs w:val="24"/>
          <w:u w:val="single"/>
          <w:lang w:val="en-US" w:eastAsia="zh-CN"/>
        </w:rPr>
        <w:t>若电子文档与纸质响应文件内容存在实质性偏差，视为未报名成功。</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w:t>
      </w:r>
      <w:r>
        <w:rPr>
          <w:rFonts w:hint="eastAsia" w:ascii="微软雅黑" w:hAnsi="微软雅黑" w:eastAsia="微软雅黑" w:cs="微软雅黑"/>
          <w:sz w:val="24"/>
        </w:rPr>
        <w:t>响应文件按</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采购文件“第六篇响应文件编制要求”要求签署或盖章。</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（五）响应文件的递交</w:t>
      </w:r>
    </w:p>
    <w:p>
      <w:pPr>
        <w:pStyle w:val="31"/>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响应文件的正本、副本均应密封送达</w:t>
      </w:r>
      <w:r>
        <w:rPr>
          <w:rFonts w:hint="eastAsia" w:ascii="微软雅黑" w:hAnsi="微软雅黑" w:eastAsia="微软雅黑" w:cs="微软雅黑"/>
          <w:sz w:val="24"/>
          <w:szCs w:val="24"/>
        </w:rPr>
        <w:t>比选</w:t>
      </w:r>
      <w:r>
        <w:rPr>
          <w:rFonts w:hint="eastAsia" w:ascii="微软雅黑" w:hAnsi="微软雅黑" w:eastAsia="微软雅黑" w:cs="微软雅黑"/>
          <w:sz w:val="24"/>
        </w:rPr>
        <w:t>地点，应在封套上注明</w:t>
      </w:r>
      <w:r>
        <w:rPr>
          <w:rFonts w:hint="eastAsia" w:ascii="微软雅黑" w:hAnsi="微软雅黑" w:eastAsia="微软雅黑" w:cs="微软雅黑"/>
          <w:sz w:val="24"/>
          <w:szCs w:val="24"/>
        </w:rPr>
        <w:t>比选</w:t>
      </w:r>
      <w:r>
        <w:rPr>
          <w:rFonts w:hint="eastAsia" w:ascii="微软雅黑" w:hAnsi="微软雅黑" w:eastAsia="微软雅黑" w:cs="微软雅黑"/>
          <w:sz w:val="24"/>
        </w:rPr>
        <w:t>项目名称、投标人名称。若正本、副本分别进行密封的，还应在封套上注明“正本”、“副本”字样；电子文档应在报名截止之前上传至电子招投标平台。</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（六）投标人参与人员</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各个投标人应当派1-2名代表参与比选，至少1人应为法定代表人（或其授权代表）或自然人（投标人为自然人）。</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3" w:name="_Toc13378"/>
      <w:bookmarkStart w:id="164" w:name="_Toc106030896"/>
      <w:bookmarkStart w:id="165" w:name="_Toc76462341"/>
      <w:bookmarkStart w:id="166" w:name="_Toc6435"/>
      <w:r>
        <w:rPr>
          <w:rFonts w:hint="eastAsia" w:ascii="微软雅黑" w:hAnsi="微软雅黑" w:eastAsia="微软雅黑" w:cs="微软雅黑"/>
          <w:sz w:val="24"/>
        </w:rPr>
        <w:t>四、成交供应商的确认和变更</w:t>
      </w:r>
      <w:bookmarkEnd w:id="163"/>
      <w:bookmarkEnd w:id="164"/>
      <w:bookmarkEnd w:id="165"/>
      <w:bookmarkEnd w:id="166"/>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（一）成交供应商的确认</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采购人从评审报告提出的成交候选投标人中，按照排序由高到低的原则确定成交供应商。</w:t>
      </w:r>
    </w:p>
    <w:p>
      <w:pPr>
        <w:snapToGrid w:val="0"/>
        <w:spacing w:line="400" w:lineRule="exact"/>
        <w:ind w:firstLine="480" w:firstLineChars="200"/>
        <w:outlineLvl w:val="2"/>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（二）成交供应商的变更</w:t>
      </w:r>
    </w:p>
    <w:p>
      <w:pPr>
        <w:snapToGrid w:val="0"/>
        <w:spacing w:line="400" w:lineRule="exact"/>
        <w:ind w:firstLine="480" w:firstLineChars="200"/>
        <w:rPr>
          <w:rFonts w:hint="eastAsia" w:ascii="微软雅黑" w:hAnsi="微软雅黑" w:eastAsia="微软雅黑" w:cs="微软雅黑"/>
          <w:color w:val="FF0000"/>
          <w:sz w:val="24"/>
          <w:szCs w:val="24"/>
        </w:rPr>
      </w:pPr>
      <w:r>
        <w:rPr>
          <w:rFonts w:hint="eastAsia" w:ascii="微软雅黑" w:hAnsi="微软雅黑" w:eastAsia="微软雅黑" w:cs="微软雅黑"/>
          <w:sz w:val="24"/>
        </w:rPr>
        <w:t>成交供应商拒绝与采购人签订合同的，采购人可以按照评标报告推荐的成交候选投标人顺序，确定排名下一位的候选人为成交供应商，也可以重新开展采购活动。</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67" w:name="_Toc712"/>
      <w:bookmarkStart w:id="168" w:name="_Toc21532"/>
      <w:bookmarkStart w:id="169" w:name="_Toc102227321"/>
      <w:bookmarkStart w:id="170" w:name="_Toc106030897"/>
      <w:bookmarkStart w:id="171" w:name="_Toc76462342"/>
      <w:bookmarkStart w:id="172" w:name="_Toc342913395"/>
      <w:r>
        <w:rPr>
          <w:rFonts w:hint="eastAsia" w:ascii="微软雅黑" w:hAnsi="微软雅黑" w:eastAsia="微软雅黑" w:cs="微软雅黑"/>
          <w:sz w:val="24"/>
        </w:rPr>
        <w:t>五、成交通知</w:t>
      </w:r>
      <w:bookmarkEnd w:id="167"/>
      <w:bookmarkEnd w:id="168"/>
      <w:bookmarkEnd w:id="169"/>
      <w:bookmarkEnd w:id="170"/>
      <w:bookmarkEnd w:id="171"/>
      <w:bookmarkEnd w:id="17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（一）成交供应商确定后，</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将在重庆医科大学附属儿童医院电子招投标平台（zbb.chcmu</w:t>
      </w:r>
      <w:r>
        <w:rPr>
          <w:rFonts w:hint="eastAsia" w:ascii="微软雅黑" w:hAnsi="微软雅黑" w:eastAsia="微软雅黑" w:cs="微软雅黑"/>
          <w:sz w:val="24"/>
          <w:szCs w:val="24"/>
          <w:lang w:val="en-US" w:eastAsia="zh-CN"/>
        </w:rPr>
        <w:t>-</w:t>
      </w:r>
      <w:r>
        <w:rPr>
          <w:rFonts w:hint="eastAsia" w:ascii="微软雅黑" w:hAnsi="微软雅黑" w:eastAsia="微软雅黑" w:cs="微软雅黑"/>
          <w:sz w:val="24"/>
          <w:szCs w:val="24"/>
        </w:rPr>
        <w:t>com</w:t>
      </w:r>
      <w:r>
        <w:rPr>
          <w:rFonts w:hint="eastAsia" w:ascii="微软雅黑" w:hAnsi="微软雅黑" w:eastAsia="微软雅黑" w:cs="微软雅黑"/>
          <w:sz w:val="24"/>
          <w:szCs w:val="24"/>
          <w:lang w:val="en-US" w:eastAsia="zh-CN"/>
        </w:rPr>
        <w:t>.cn</w:t>
      </w:r>
      <w:r>
        <w:rPr>
          <w:rFonts w:hint="eastAsia" w:ascii="微软雅黑" w:hAnsi="微软雅黑" w:eastAsia="微软雅黑" w:cs="微软雅黑"/>
          <w:sz w:val="24"/>
          <w:szCs w:val="24"/>
        </w:rPr>
        <w:t>）上发布成交结果公告，结果公告发出同时，</w:t>
      </w:r>
      <w:r>
        <w:rPr>
          <w:rFonts w:hint="eastAsia" w:ascii="微软雅黑" w:hAnsi="微软雅黑" w:eastAsia="微软雅黑" w:cs="微软雅黑"/>
          <w:sz w:val="24"/>
          <w:szCs w:val="24"/>
          <w:lang w:eastAsia="zh-CN"/>
        </w:rPr>
        <w:t>采购管理处</w:t>
      </w:r>
      <w:r>
        <w:rPr>
          <w:rFonts w:hint="eastAsia" w:ascii="微软雅黑" w:hAnsi="微软雅黑" w:eastAsia="微软雅黑" w:cs="微软雅黑"/>
          <w:sz w:val="24"/>
          <w:szCs w:val="24"/>
        </w:rPr>
        <w:t>将平台内发出《中标通知书》。</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（二）《中标通知书》将作为签订合同的依据。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rPr>
      </w:pPr>
      <w:bookmarkStart w:id="173" w:name="_Toc22564"/>
      <w:bookmarkStart w:id="174" w:name="_Toc76462343"/>
      <w:bookmarkStart w:id="175" w:name="_Toc21448"/>
      <w:bookmarkStart w:id="176" w:name="_Toc106030898"/>
      <w:r>
        <w:rPr>
          <w:rFonts w:hint="eastAsia" w:ascii="微软雅黑" w:hAnsi="微软雅黑" w:eastAsia="微软雅黑" w:cs="微软雅黑"/>
          <w:sz w:val="24"/>
        </w:rPr>
        <w:t>六、质疑处理</w:t>
      </w:r>
      <w:bookmarkEnd w:id="173"/>
      <w:bookmarkEnd w:id="174"/>
      <w:bookmarkEnd w:id="175"/>
      <w:bookmarkEnd w:id="176"/>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投标人认为采购文件、采购过程和成交结果使自己的权益收到伤害的，可向采购人以书面形式</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纸质文件</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提出质疑</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提出质疑的应当是参与所质疑项目采购活动的投标人。 </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（一）质疑时限、内容</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1.质疑时限</w:t>
      </w:r>
    </w:p>
    <w:p>
      <w:pPr>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1.1对采购文件的质疑。</w:t>
      </w:r>
      <w:r>
        <w:rPr>
          <w:rFonts w:hint="eastAsia" w:ascii="微软雅黑" w:hAnsi="微软雅黑" w:eastAsia="微软雅黑" w:cs="微软雅黑"/>
          <w:sz w:val="24"/>
          <w:szCs w:val="24"/>
        </w:rPr>
        <w:t>投标人如对本比选文件有任何实质性疑问，应当以书面形式向采购人提出质疑，并须将该质疑文件纸质版（须加盖提出质疑单位的公章确认）在投标截至时间之前送达采购人</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不接受快递</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1.2投标人认为采购过程、成交结果使自己的权益受到损害的，可以在知道或者应知其权益受到损害之日起5个工作日内，以书面形式向采购人提出质疑。</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2.投标人提出质疑应当提交质疑函和必要的证明材料，质疑函应当包括下列内容：</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2.1投标人的姓名或者名称、地址、邮编、联系人及联系电话；</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2.2质疑项目的名称、项目号以及采购执行编号；</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2.3具体、明确的质疑事项和与质疑事项相关的请求；</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2.4事实依据；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2.5必要的法律依据；</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2.6提出质疑的日期；</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2.7营业执照（或事业单位法人证书，或个体工商户营业执照或有效的自然人身份证明）复印件；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2.8法定代表人授权委托书原件、法定代表人身份证复印件和其授权代表的身份证复印件（投标人为自然人的提供自然人身份证复印件）；</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3.投标人为自然人的，质疑函应当由本人签字；投标人为法人或者其他组织的，质疑函应当由法定代表人、主要负责人，或者其授权代表签字或者盖章，并加盖公章。</w:t>
      </w:r>
    </w:p>
    <w:p>
      <w:pPr>
        <w:spacing w:line="400" w:lineRule="exact"/>
        <w:ind w:right="12" w:firstLine="480"/>
        <w:outlineLvl w:val="2"/>
        <w:rPr>
          <w:rFonts w:hint="eastAsia" w:ascii="微软雅黑" w:hAnsi="微软雅黑" w:eastAsia="微软雅黑" w:cs="微软雅黑"/>
          <w:sz w:val="24"/>
        </w:rPr>
      </w:pPr>
      <w:r>
        <w:rPr>
          <w:rFonts w:hint="eastAsia" w:ascii="微软雅黑" w:hAnsi="微软雅黑" w:eastAsia="微软雅黑" w:cs="微软雅黑"/>
          <w:sz w:val="24"/>
        </w:rPr>
        <w:t>（二）质疑答复</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采购人应当在收到投标人的书面质疑后7个工作日内作出答复，并以书面形式通知质疑投标人和其他有关投标人。</w:t>
      </w:r>
    </w:p>
    <w:p>
      <w:pPr>
        <w:spacing w:line="400" w:lineRule="exact"/>
        <w:ind w:right="12" w:firstLine="480"/>
        <w:rPr>
          <w:rFonts w:hint="eastAsia" w:ascii="微软雅黑" w:hAnsi="微软雅黑" w:eastAsia="微软雅黑" w:cs="微软雅黑"/>
          <w:sz w:val="24"/>
        </w:rPr>
      </w:pPr>
      <w:r>
        <w:rPr>
          <w:rFonts w:hint="eastAsia" w:ascii="微软雅黑" w:hAnsi="微软雅黑" w:eastAsia="微软雅黑" w:cs="微软雅黑"/>
          <w:sz w:val="24"/>
        </w:rPr>
        <w:t>（三）投标人应在质疑期内一次性提出针对同一采购程序环节的质疑。</w:t>
      </w:r>
      <w:bookmarkStart w:id="177" w:name="_Toc28334"/>
      <w:bookmarkStart w:id="178" w:name="_Toc106030899"/>
      <w:bookmarkStart w:id="179" w:name="_Toc76462344"/>
    </w:p>
    <w:p>
      <w:pPr>
        <w:pStyle w:val="4"/>
        <w:numPr>
          <w:ilvl w:val="255"/>
          <w:numId w:val="0"/>
        </w:numPr>
        <w:adjustRightInd w:val="0"/>
        <w:snapToGrid w:val="0"/>
        <w:spacing w:before="0" w:after="0" w:line="400" w:lineRule="exact"/>
        <w:ind w:firstLine="480" w:firstLineChars="200"/>
        <w:rPr>
          <w:rFonts w:hint="eastAsia" w:ascii="微软雅黑" w:hAnsi="微软雅黑" w:eastAsia="微软雅黑" w:cs="微软雅黑"/>
          <w:sz w:val="24"/>
        </w:rPr>
      </w:pPr>
      <w:bookmarkStart w:id="180" w:name="_Toc32500"/>
      <w:r>
        <w:rPr>
          <w:rFonts w:hint="eastAsia" w:ascii="微软雅黑" w:hAnsi="微软雅黑" w:eastAsia="微软雅黑" w:cs="微软雅黑"/>
          <w:sz w:val="24"/>
        </w:rPr>
        <w:t>七、</w:t>
      </w:r>
      <w:bookmarkEnd w:id="177"/>
      <w:bookmarkEnd w:id="178"/>
      <w:bookmarkEnd w:id="179"/>
      <w:bookmarkStart w:id="181" w:name="_Toc102227322"/>
      <w:bookmarkStart w:id="182" w:name="_Toc76462346"/>
      <w:bookmarkStart w:id="183" w:name="_Toc342913396"/>
      <w:bookmarkStart w:id="184" w:name="_Toc3372"/>
      <w:bookmarkStart w:id="185" w:name="_Toc106030901"/>
      <w:bookmarkStart w:id="186" w:name="_Toc11641055"/>
      <w:bookmarkStart w:id="187" w:name="_Toc12789059"/>
      <w:r>
        <w:rPr>
          <w:rFonts w:hint="eastAsia" w:ascii="微软雅黑" w:hAnsi="微软雅黑" w:eastAsia="微软雅黑" w:cs="微软雅黑"/>
          <w:sz w:val="24"/>
        </w:rPr>
        <w:t>签订</w:t>
      </w:r>
      <w:bookmarkEnd w:id="181"/>
      <w:r>
        <w:rPr>
          <w:rFonts w:hint="eastAsia" w:ascii="微软雅黑" w:hAnsi="微软雅黑" w:eastAsia="微软雅黑" w:cs="微软雅黑"/>
          <w:sz w:val="24"/>
        </w:rPr>
        <w:t>合同</w:t>
      </w:r>
      <w:bookmarkEnd w:id="180"/>
      <w:bookmarkEnd w:id="182"/>
      <w:bookmarkEnd w:id="183"/>
      <w:bookmarkEnd w:id="184"/>
      <w:bookmarkEnd w:id="185"/>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（一）中标人应于收到中标通知书之日起5个工作日内，按照中标项目的</w:t>
      </w:r>
      <w:r>
        <w:rPr>
          <w:rFonts w:hint="eastAsia" w:ascii="微软雅黑" w:hAnsi="微软雅黑" w:eastAsia="微软雅黑" w:cs="微软雅黑"/>
          <w:sz w:val="24"/>
          <w:lang w:eastAsia="zh-CN"/>
        </w:rPr>
        <w:t>耗材遴选</w:t>
      </w:r>
      <w:r>
        <w:rPr>
          <w:rFonts w:hint="eastAsia" w:ascii="微软雅黑" w:hAnsi="微软雅黑" w:eastAsia="微软雅黑" w:cs="微软雅黑"/>
          <w:sz w:val="24"/>
        </w:rPr>
        <w:t>采购文件与响应文件递交采购合同。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（二）中标人未在规定时间内递交合同或放弃中标资格，则</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将有充分的理由废除授标，将中标人纳入</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失信投标人名单并扣除该项目的投标保证金，两年之内不得参与</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w:t>
      </w:r>
      <w:r>
        <w:rPr>
          <w:rFonts w:hint="eastAsia" w:ascii="微软雅黑" w:hAnsi="微软雅黑" w:eastAsia="微软雅黑" w:cs="微软雅黑"/>
          <w:sz w:val="24"/>
          <w:lang w:eastAsia="zh-CN"/>
        </w:rPr>
        <w:t>采购人</w:t>
      </w:r>
      <w:r>
        <w:rPr>
          <w:rFonts w:hint="eastAsia" w:ascii="微软雅黑" w:hAnsi="微软雅黑" w:eastAsia="微软雅黑" w:cs="微软雅黑"/>
          <w:sz w:val="24"/>
        </w:rPr>
        <w:t>因中标人未按时递交合同或放弃中标资格而造成损失，中标人应予以赔偿，同时依法承担相应法律责任。</w:t>
      </w:r>
    </w:p>
    <w:p>
      <w:pPr>
        <w:spacing w:line="400" w:lineRule="exact"/>
        <w:ind w:firstLine="480" w:firstLineChars="200"/>
        <w:jc w:val="left"/>
        <w:rPr>
          <w:rFonts w:hint="eastAsia" w:ascii="微软雅黑" w:hAnsi="微软雅黑" w:eastAsia="微软雅黑" w:cs="微软雅黑"/>
        </w:rPr>
        <w:sectPr>
          <w:footerReference r:id="rId9" w:type="default"/>
          <w:footerReference r:id="rId10" w:type="even"/>
          <w:pgSz w:w="11907" w:h="16840"/>
          <w:pgMar w:top="1134" w:right="1191" w:bottom="1134" w:left="1304" w:header="964" w:footer="992" w:gutter="0"/>
          <w:pgNumType w:fmt="numberInDash"/>
          <w:cols w:space="720" w:num="1"/>
          <w:docGrid w:linePitch="312" w:charSpace="0"/>
        </w:sectPr>
      </w:pPr>
      <w:r>
        <w:rPr>
          <w:rFonts w:hint="eastAsia" w:ascii="微软雅黑" w:hAnsi="微软雅黑" w:eastAsia="微软雅黑" w:cs="微软雅黑"/>
          <w:sz w:val="24"/>
        </w:rPr>
        <w:t>（四）中标人应当按照合同约定履行义务，完成中标项目，不得将中标项目转让(转包)或分包给他人。</w:t>
      </w:r>
      <w:bookmarkEnd w:id="186"/>
      <w:bookmarkEnd w:id="187"/>
    </w:p>
    <w:p>
      <w:pPr>
        <w:pStyle w:val="4"/>
        <w:spacing w:before="200" w:after="200" w:line="240" w:lineRule="auto"/>
        <w:jc w:val="center"/>
        <w:rPr>
          <w:rFonts w:hint="eastAsia" w:ascii="微软雅黑" w:hAnsi="微软雅黑" w:eastAsia="微软雅黑" w:cs="微软雅黑"/>
          <w:sz w:val="44"/>
        </w:rPr>
      </w:pPr>
      <w:bookmarkStart w:id="188" w:name="_Hlt41879464"/>
      <w:bookmarkEnd w:id="188"/>
      <w:bookmarkStart w:id="189" w:name="_Toc27984"/>
      <w:bookmarkStart w:id="190" w:name="_Toc6345"/>
      <w:bookmarkStart w:id="191" w:name="_Toc76462349"/>
      <w:bookmarkStart w:id="192" w:name="_Toc106030905"/>
      <w:r>
        <w:rPr>
          <w:rFonts w:hint="eastAsia" w:ascii="微软雅黑" w:hAnsi="微软雅黑" w:eastAsia="微软雅黑" w:cs="微软雅黑"/>
          <w:sz w:val="44"/>
        </w:rPr>
        <w:t>第六篇  响应文件编制要求</w:t>
      </w:r>
      <w:bookmarkEnd w:id="189"/>
      <w:bookmarkEnd w:id="190"/>
      <w:bookmarkEnd w:id="191"/>
      <w:bookmarkEnd w:id="19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一、经济部分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（一）耗材专用报价表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（二）开标现场最终报价表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二、技术部分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（一）技术响应偏离表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技术响应证明材料</w:t>
      </w:r>
      <w:r>
        <w:rPr>
          <w:rFonts w:hint="eastAsia" w:ascii="微软雅黑" w:hAnsi="微软雅黑" w:eastAsia="微软雅黑" w:cs="微软雅黑"/>
          <w:sz w:val="24"/>
          <w:szCs w:val="24"/>
        </w:rPr>
        <w:t>（格式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三、商务部分</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（一）商务响应偏离表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（二）其它优惠服务承诺（格式</w:t>
      </w:r>
      <w:r>
        <w:rPr>
          <w:rFonts w:hint="eastAsia" w:ascii="微软雅黑" w:hAnsi="微软雅黑" w:eastAsia="微软雅黑" w:cs="微软雅黑"/>
          <w:sz w:val="24"/>
          <w:szCs w:val="24"/>
          <w:lang w:val="en-US" w:eastAsia="zh-CN"/>
        </w:rPr>
        <w:t>内容</w:t>
      </w:r>
      <w:r>
        <w:rPr>
          <w:rFonts w:hint="eastAsia" w:ascii="微软雅黑" w:hAnsi="微软雅黑" w:eastAsia="微软雅黑" w:cs="微软雅黑"/>
          <w:sz w:val="24"/>
          <w:szCs w:val="24"/>
        </w:rPr>
        <w:t>自定）</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四、资格条件及其他</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（四）投标函（格式）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（五）基本资格条件承诺函（格式）</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（六）特定资格条件证书或证明文件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五、其他资料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其他与项目有关的资料</w:t>
      </w:r>
    </w:p>
    <w:p>
      <w:pPr>
        <w:snapToGrid w:val="0"/>
        <w:spacing w:line="360" w:lineRule="auto"/>
        <w:rPr>
          <w:rFonts w:hint="eastAsia" w:ascii="微软雅黑" w:hAnsi="微软雅黑" w:eastAsia="微软雅黑" w:cs="微软雅黑"/>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360" w:lineRule="auto"/>
        <w:ind w:firstLine="560" w:firstLineChars="200"/>
        <w:jc w:val="center"/>
        <w:outlineLvl w:val="0"/>
        <w:rPr>
          <w:rFonts w:hint="eastAsia" w:ascii="微软雅黑" w:hAnsi="微软雅黑" w:eastAsia="微软雅黑" w:cs="微软雅黑"/>
        </w:rPr>
      </w:pPr>
    </w:p>
    <w:sectPr>
      <w:headerReference r:id="rId11" w:type="default"/>
      <w:footerReference r:id="rId12"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altName w:val="Arial"/>
    <w:panose1 w:val="020B0606020202030204"/>
    <w:charset w:val="00"/>
    <w:family w:val="swiss"/>
    <w:pitch w:val="default"/>
    <w:sig w:usb0="00000000" w:usb1="00000000" w:usb2="00000000" w:usb3="00000000" w:csb0="000000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0000000000000000000"/>
    <w:charset w:val="86"/>
    <w:family w:val="modern"/>
    <w:pitch w:val="default"/>
    <w:sig w:usb0="00000000" w:usb1="00000000" w:usb2="00000010" w:usb3="00000000" w:csb0="00040000" w:csb1="00000000"/>
  </w:font>
  <w:font w:name="昆仑楷体">
    <w:altName w:val="宋体"/>
    <w:panose1 w:val="00000000000000000000"/>
    <w:charset w:val="86"/>
    <w:family w:val="modern"/>
    <w:pitch w:val="default"/>
    <w:sig w:usb0="00000000" w:usb1="00000000" w:usb2="00000010" w:usb3="00000000" w:csb0="00040000" w:csb1="00000000"/>
  </w:font>
  <w:font w:name="楷体_GB2312">
    <w:altName w:val="楷体"/>
    <w:panose1 w:val="00000000000000000000"/>
    <w:charset w:val="86"/>
    <w:family w:val="modern"/>
    <w:pitch w:val="default"/>
    <w:sig w:usb0="00000000" w:usb1="00000000" w:usb2="00000010" w:usb3="00000000" w:csb0="00040000" w:csb1="00000000"/>
  </w:font>
  <w:font w:name="微软雅黑">
    <w:panose1 w:val="020B0503020204020204"/>
    <w:charset w:val="86"/>
    <w:family w:val="swiss"/>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Microsoft JhengHei UI">
    <w:panose1 w:val="020B0604030504040204"/>
    <w:charset w:val="88"/>
    <w:family w:val="auto"/>
    <w:pitch w:val="default"/>
    <w:sig w:usb0="000002A7" w:usb1="28CF4400" w:usb2="00000016" w:usb3="00000000" w:csb0="00100009"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pPr>
    <w:r>
      <w:rPr>
        <w:rFonts w:hint="eastAsia"/>
      </w:rPr>
      <w:t>重庆医科大学附属儿童医院</w:t>
    </w:r>
    <w:r>
      <w:rPr>
        <w:rFonts w:hint="eastAsia"/>
        <w:lang w:val="en-US" w:eastAsia="zh-CN"/>
      </w:rPr>
      <w:t>采购</w:t>
    </w:r>
    <w:r>
      <w:rPr>
        <w:rFonts w:hint="eastAsia"/>
      </w:rPr>
      <w:t>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eastAsia="zh-CN"/>
      </w:rPr>
      <w:t>耗材遴选</w:t>
    </w:r>
    <w:r>
      <w:rPr>
        <w:rFonts w:hint="eastAsia" w:ascii="方正仿宋_GBK" w:eastAsia="方正仿宋_GBK"/>
        <w:sz w:val="21"/>
        <w:szCs w:val="21"/>
      </w:rPr>
      <w:t>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4"/>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7"/>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50"/>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5"/>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1"/>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9"/>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abstractNum w:abstractNumId="13">
    <w:nsid w:val="592954C3"/>
    <w:multiLevelType w:val="multilevel"/>
    <w:tmpl w:val="592954C3"/>
    <w:lvl w:ilvl="0" w:tentative="0">
      <w:start w:val="1"/>
      <w:numFmt w:val="japaneseCounting"/>
      <w:lvlText w:val="%1、"/>
      <w:lvlJc w:val="left"/>
      <w:pPr>
        <w:ind w:left="1200" w:hanging="720"/>
      </w:pPr>
      <w:rPr>
        <w:rFonts w:hint="default"/>
      </w:rPr>
    </w:lvl>
    <w:lvl w:ilvl="1" w:tentative="0">
      <w:start w:val="1"/>
      <w:numFmt w:val="lowerLetter"/>
      <w:lvlText w:val="%2)"/>
      <w:lvlJc w:val="left"/>
      <w:pPr>
        <w:ind w:left="1360" w:hanging="440"/>
      </w:pPr>
    </w:lvl>
    <w:lvl w:ilvl="2" w:tentative="0">
      <w:start w:val="1"/>
      <w:numFmt w:val="lowerRoman"/>
      <w:lvlText w:val="%3."/>
      <w:lvlJc w:val="right"/>
      <w:pPr>
        <w:ind w:left="1800" w:hanging="440"/>
      </w:pPr>
    </w:lvl>
    <w:lvl w:ilvl="3" w:tentative="0">
      <w:start w:val="1"/>
      <w:numFmt w:val="decimal"/>
      <w:lvlText w:val="%4."/>
      <w:lvlJc w:val="left"/>
      <w:pPr>
        <w:ind w:left="2240" w:hanging="440"/>
      </w:pPr>
    </w:lvl>
    <w:lvl w:ilvl="4" w:tentative="0">
      <w:start w:val="1"/>
      <w:numFmt w:val="lowerLetter"/>
      <w:lvlText w:val="%5)"/>
      <w:lvlJc w:val="left"/>
      <w:pPr>
        <w:ind w:left="2680" w:hanging="440"/>
      </w:pPr>
    </w:lvl>
    <w:lvl w:ilvl="5" w:tentative="0">
      <w:start w:val="1"/>
      <w:numFmt w:val="lowerRoman"/>
      <w:lvlText w:val="%6."/>
      <w:lvlJc w:val="right"/>
      <w:pPr>
        <w:ind w:left="3120" w:hanging="440"/>
      </w:pPr>
    </w:lvl>
    <w:lvl w:ilvl="6" w:tentative="0">
      <w:start w:val="1"/>
      <w:numFmt w:val="decimal"/>
      <w:lvlText w:val="%7."/>
      <w:lvlJc w:val="left"/>
      <w:pPr>
        <w:ind w:left="3560" w:hanging="440"/>
      </w:pPr>
    </w:lvl>
    <w:lvl w:ilvl="7" w:tentative="0">
      <w:start w:val="1"/>
      <w:numFmt w:val="lowerLetter"/>
      <w:lvlText w:val="%8)"/>
      <w:lvlJc w:val="left"/>
      <w:pPr>
        <w:ind w:left="4000" w:hanging="440"/>
      </w:pPr>
    </w:lvl>
    <w:lvl w:ilvl="8" w:tentative="0">
      <w:start w:val="1"/>
      <w:numFmt w:val="lowerRoman"/>
      <w:lvlText w:val="%9."/>
      <w:lvlJc w:val="right"/>
      <w:pPr>
        <w:ind w:left="4440" w:hanging="440"/>
      </w:pPr>
    </w:lvl>
  </w:abstractNum>
  <w:num w:numId="1">
    <w:abstractNumId w:val="8"/>
  </w:num>
  <w:num w:numId="2">
    <w:abstractNumId w:val="3"/>
  </w:num>
  <w:num w:numId="3">
    <w:abstractNumId w:val="9"/>
  </w:num>
  <w:num w:numId="4">
    <w:abstractNumId w:val="12"/>
  </w:num>
  <w:num w:numId="5">
    <w:abstractNumId w:val="0"/>
  </w:num>
  <w:num w:numId="6">
    <w:abstractNumId w:val="6"/>
  </w:num>
  <w:num w:numId="7">
    <w:abstractNumId w:val="11"/>
  </w:num>
  <w:num w:numId="8">
    <w:abstractNumId w:val="1"/>
  </w:num>
  <w:num w:numId="9">
    <w:abstractNumId w:val="2"/>
  </w:num>
  <w:num w:numId="10">
    <w:abstractNumId w:val="5"/>
  </w:num>
  <w:num w:numId="11">
    <w:abstractNumId w:val="7"/>
  </w:num>
  <w:num w:numId="12">
    <w:abstractNumId w:val="4"/>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doNotDisplayPageBoundaries w:val="1"/>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2D29"/>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64"/>
    <w:rsid w:val="000C6D89"/>
    <w:rsid w:val="000D305D"/>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6175"/>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641DE"/>
    <w:rsid w:val="00171E05"/>
    <w:rsid w:val="00172A27"/>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06E3"/>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6D71"/>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4242"/>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56144"/>
    <w:rsid w:val="00460489"/>
    <w:rsid w:val="004608C7"/>
    <w:rsid w:val="00462878"/>
    <w:rsid w:val="0046404F"/>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0"/>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4D04"/>
    <w:rsid w:val="00617986"/>
    <w:rsid w:val="006256CA"/>
    <w:rsid w:val="00627729"/>
    <w:rsid w:val="00627F21"/>
    <w:rsid w:val="0063025A"/>
    <w:rsid w:val="0063604F"/>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307"/>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E6CF0"/>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66C55"/>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696E"/>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0A64"/>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356A"/>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25A0"/>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45B6"/>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A2C"/>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26C7369"/>
    <w:rsid w:val="030620E3"/>
    <w:rsid w:val="0394384B"/>
    <w:rsid w:val="043B13F3"/>
    <w:rsid w:val="04EC2E74"/>
    <w:rsid w:val="0501052E"/>
    <w:rsid w:val="05B83278"/>
    <w:rsid w:val="067530C0"/>
    <w:rsid w:val="079B568B"/>
    <w:rsid w:val="07F103E0"/>
    <w:rsid w:val="08257811"/>
    <w:rsid w:val="092E6FC0"/>
    <w:rsid w:val="0A010D6F"/>
    <w:rsid w:val="0A204D04"/>
    <w:rsid w:val="0A362FD0"/>
    <w:rsid w:val="0A9D4FA8"/>
    <w:rsid w:val="0AED6133"/>
    <w:rsid w:val="0BB87E47"/>
    <w:rsid w:val="0C994BB4"/>
    <w:rsid w:val="0CF75B4D"/>
    <w:rsid w:val="0D0C7689"/>
    <w:rsid w:val="0D1F249B"/>
    <w:rsid w:val="0D26388C"/>
    <w:rsid w:val="0D2D45FA"/>
    <w:rsid w:val="0D9D537B"/>
    <w:rsid w:val="0DAE5F1C"/>
    <w:rsid w:val="0F4F0F37"/>
    <w:rsid w:val="1009316D"/>
    <w:rsid w:val="112E1BB3"/>
    <w:rsid w:val="115C3EAF"/>
    <w:rsid w:val="11E97BB4"/>
    <w:rsid w:val="12D87969"/>
    <w:rsid w:val="13C44C6D"/>
    <w:rsid w:val="14093EF5"/>
    <w:rsid w:val="140E691A"/>
    <w:rsid w:val="147A5E14"/>
    <w:rsid w:val="148D1984"/>
    <w:rsid w:val="14D11CFB"/>
    <w:rsid w:val="153901DE"/>
    <w:rsid w:val="15935DB5"/>
    <w:rsid w:val="159B4F18"/>
    <w:rsid w:val="15BB3449"/>
    <w:rsid w:val="171C1EE4"/>
    <w:rsid w:val="17324323"/>
    <w:rsid w:val="17A1211B"/>
    <w:rsid w:val="18ED7A84"/>
    <w:rsid w:val="19255AF5"/>
    <w:rsid w:val="19401112"/>
    <w:rsid w:val="19564547"/>
    <w:rsid w:val="19740A13"/>
    <w:rsid w:val="19B34031"/>
    <w:rsid w:val="1A5915C0"/>
    <w:rsid w:val="1A7E6296"/>
    <w:rsid w:val="1B5937A3"/>
    <w:rsid w:val="1E2C5A53"/>
    <w:rsid w:val="1E2F0F85"/>
    <w:rsid w:val="1F0D01CA"/>
    <w:rsid w:val="21226BB2"/>
    <w:rsid w:val="21864056"/>
    <w:rsid w:val="21D84F78"/>
    <w:rsid w:val="222348FC"/>
    <w:rsid w:val="22F860AB"/>
    <w:rsid w:val="23366F63"/>
    <w:rsid w:val="2486441F"/>
    <w:rsid w:val="24A97106"/>
    <w:rsid w:val="2550440C"/>
    <w:rsid w:val="255A2660"/>
    <w:rsid w:val="263535D3"/>
    <w:rsid w:val="281D2511"/>
    <w:rsid w:val="286153F5"/>
    <w:rsid w:val="2895673E"/>
    <w:rsid w:val="29601F8B"/>
    <w:rsid w:val="296F02CD"/>
    <w:rsid w:val="2A113B40"/>
    <w:rsid w:val="2AA01F44"/>
    <w:rsid w:val="2C43216E"/>
    <w:rsid w:val="2CD472B8"/>
    <w:rsid w:val="2DB02B6B"/>
    <w:rsid w:val="2EB27897"/>
    <w:rsid w:val="2FD2000A"/>
    <w:rsid w:val="300C58E0"/>
    <w:rsid w:val="30607DAE"/>
    <w:rsid w:val="312C1210"/>
    <w:rsid w:val="31DA5A58"/>
    <w:rsid w:val="32FD7152"/>
    <w:rsid w:val="32FE4017"/>
    <w:rsid w:val="332D1E43"/>
    <w:rsid w:val="34962D8B"/>
    <w:rsid w:val="34D74F48"/>
    <w:rsid w:val="361F2D7D"/>
    <w:rsid w:val="369C6387"/>
    <w:rsid w:val="37556B60"/>
    <w:rsid w:val="37660142"/>
    <w:rsid w:val="38985B46"/>
    <w:rsid w:val="38CD7FDC"/>
    <w:rsid w:val="38DD20CF"/>
    <w:rsid w:val="390C4855"/>
    <w:rsid w:val="3ACE5D4F"/>
    <w:rsid w:val="3B89534D"/>
    <w:rsid w:val="3C55524B"/>
    <w:rsid w:val="3CCE1388"/>
    <w:rsid w:val="3CED5AB6"/>
    <w:rsid w:val="3D117539"/>
    <w:rsid w:val="3DC14F27"/>
    <w:rsid w:val="3DDD46D4"/>
    <w:rsid w:val="3DE559F8"/>
    <w:rsid w:val="3DF6488D"/>
    <w:rsid w:val="3E2734A9"/>
    <w:rsid w:val="3E2D176B"/>
    <w:rsid w:val="3E5E05BF"/>
    <w:rsid w:val="3F1C71CA"/>
    <w:rsid w:val="3F464493"/>
    <w:rsid w:val="3F5929D1"/>
    <w:rsid w:val="3FB630C0"/>
    <w:rsid w:val="3FD67934"/>
    <w:rsid w:val="406334F2"/>
    <w:rsid w:val="409F14A1"/>
    <w:rsid w:val="415F6EA3"/>
    <w:rsid w:val="42E4764C"/>
    <w:rsid w:val="43291680"/>
    <w:rsid w:val="44256EDB"/>
    <w:rsid w:val="45277FC2"/>
    <w:rsid w:val="452C7897"/>
    <w:rsid w:val="45C410F4"/>
    <w:rsid w:val="46151D23"/>
    <w:rsid w:val="46AB67D5"/>
    <w:rsid w:val="46D026EE"/>
    <w:rsid w:val="476B30BF"/>
    <w:rsid w:val="48783FC8"/>
    <w:rsid w:val="494C6B8D"/>
    <w:rsid w:val="497B7CB3"/>
    <w:rsid w:val="4A286398"/>
    <w:rsid w:val="4A8845CE"/>
    <w:rsid w:val="4B2D12E0"/>
    <w:rsid w:val="4BEB6B31"/>
    <w:rsid w:val="4D1D2982"/>
    <w:rsid w:val="4D607118"/>
    <w:rsid w:val="4DD36371"/>
    <w:rsid w:val="4E854372"/>
    <w:rsid w:val="4EEC1F3B"/>
    <w:rsid w:val="4F070047"/>
    <w:rsid w:val="4F3C244F"/>
    <w:rsid w:val="4FCD30B4"/>
    <w:rsid w:val="5115115D"/>
    <w:rsid w:val="521E4A24"/>
    <w:rsid w:val="52306CBC"/>
    <w:rsid w:val="5232269F"/>
    <w:rsid w:val="52A64E78"/>
    <w:rsid w:val="52D92ACB"/>
    <w:rsid w:val="53B4776F"/>
    <w:rsid w:val="53B7194F"/>
    <w:rsid w:val="53DF1E3A"/>
    <w:rsid w:val="540F25CE"/>
    <w:rsid w:val="545B425C"/>
    <w:rsid w:val="558E730F"/>
    <w:rsid w:val="56583A35"/>
    <w:rsid w:val="573C43EC"/>
    <w:rsid w:val="57857077"/>
    <w:rsid w:val="57F70492"/>
    <w:rsid w:val="58513831"/>
    <w:rsid w:val="58B9495B"/>
    <w:rsid w:val="58BB5504"/>
    <w:rsid w:val="58EA1C45"/>
    <w:rsid w:val="59E545C2"/>
    <w:rsid w:val="5AC54D9F"/>
    <w:rsid w:val="5B905ABE"/>
    <w:rsid w:val="5CA67F0E"/>
    <w:rsid w:val="5CC4593C"/>
    <w:rsid w:val="5CE0669B"/>
    <w:rsid w:val="5DAD4E7C"/>
    <w:rsid w:val="5DC6466B"/>
    <w:rsid w:val="5ED10334"/>
    <w:rsid w:val="5F0271B4"/>
    <w:rsid w:val="602A4F50"/>
    <w:rsid w:val="60B01C37"/>
    <w:rsid w:val="60CB5C8F"/>
    <w:rsid w:val="61A33550"/>
    <w:rsid w:val="62164EC7"/>
    <w:rsid w:val="633157F8"/>
    <w:rsid w:val="648E3C9A"/>
    <w:rsid w:val="64DA4767"/>
    <w:rsid w:val="65170F5B"/>
    <w:rsid w:val="65215328"/>
    <w:rsid w:val="658B38AE"/>
    <w:rsid w:val="660232D5"/>
    <w:rsid w:val="663C214A"/>
    <w:rsid w:val="665B2E8B"/>
    <w:rsid w:val="670A099E"/>
    <w:rsid w:val="688B0082"/>
    <w:rsid w:val="68BD663A"/>
    <w:rsid w:val="692F74C0"/>
    <w:rsid w:val="696405DD"/>
    <w:rsid w:val="69BE2355"/>
    <w:rsid w:val="6B75107A"/>
    <w:rsid w:val="6BFE1706"/>
    <w:rsid w:val="6C55768A"/>
    <w:rsid w:val="6D5236ED"/>
    <w:rsid w:val="6D6D4097"/>
    <w:rsid w:val="6E123B42"/>
    <w:rsid w:val="6E2B5D12"/>
    <w:rsid w:val="6FE969BF"/>
    <w:rsid w:val="701245F9"/>
    <w:rsid w:val="71175C34"/>
    <w:rsid w:val="71A31538"/>
    <w:rsid w:val="74D70DF7"/>
    <w:rsid w:val="74DA5656"/>
    <w:rsid w:val="75043B07"/>
    <w:rsid w:val="750950F5"/>
    <w:rsid w:val="750D16CF"/>
    <w:rsid w:val="756D34CF"/>
    <w:rsid w:val="763F7532"/>
    <w:rsid w:val="773622B4"/>
    <w:rsid w:val="77D50611"/>
    <w:rsid w:val="78334D0D"/>
    <w:rsid w:val="789F3DA6"/>
    <w:rsid w:val="78A52377"/>
    <w:rsid w:val="79036C35"/>
    <w:rsid w:val="79082185"/>
    <w:rsid w:val="792921E9"/>
    <w:rsid w:val="796075AF"/>
    <w:rsid w:val="79FB3E99"/>
    <w:rsid w:val="7A1536DC"/>
    <w:rsid w:val="7A6F77AB"/>
    <w:rsid w:val="7ABA3FBA"/>
    <w:rsid w:val="7AC76420"/>
    <w:rsid w:val="7B5B7497"/>
    <w:rsid w:val="7BEF5F10"/>
    <w:rsid w:val="7C450406"/>
    <w:rsid w:val="7D9563F1"/>
    <w:rsid w:val="7DF569B3"/>
    <w:rsid w:val="7EB03BCE"/>
    <w:rsid w:val="7EDF2436"/>
    <w:rsid w:val="7EE54B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1"/>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link w:val="72"/>
    <w:qFormat/>
    <w:uiPriority w:val="0"/>
    <w:pPr>
      <w:keepNext/>
      <w:keepLines/>
      <w:spacing w:before="260" w:after="260" w:line="413" w:lineRule="auto"/>
      <w:outlineLvl w:val="2"/>
    </w:pPr>
    <w:rPr>
      <w:b/>
      <w:sz w:val="32"/>
    </w:rPr>
  </w:style>
  <w:style w:type="paragraph" w:styleId="6">
    <w:name w:val="heading 4"/>
    <w:basedOn w:val="1"/>
    <w:next w:val="1"/>
    <w:qFormat/>
    <w:uiPriority w:val="0"/>
    <w:pPr>
      <w:keepNext/>
      <w:keepLines/>
      <w:spacing w:before="280" w:after="29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after="29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after="64"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after="64"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after="64" w:line="317" w:lineRule="auto"/>
      <w:ind w:left="1584" w:hanging="1584"/>
      <w:outlineLvl w:val="8"/>
    </w:pPr>
    <w:rPr>
      <w:rFonts w:ascii="Arial" w:hAnsi="Arial" w:eastAsia="黑体"/>
      <w:b/>
      <w:sz w:val="24"/>
    </w:rPr>
  </w:style>
  <w:style w:type="character" w:default="1" w:styleId="60">
    <w:name w:val="Default Paragraph Font"/>
    <w:semiHidden/>
    <w:unhideWhenUsed/>
    <w:qFormat/>
    <w:uiPriority w:val="1"/>
  </w:style>
  <w:style w:type="table" w:default="1" w:styleId="58">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tabs>
        <w:tab w:val="left" w:pos="1134"/>
      </w:tabs>
      <w:adjustRightInd w:val="0"/>
      <w:snapToGrid w:val="0"/>
      <w:spacing w:before="12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pPr>
    <w:rPr>
      <w:rFonts w:ascii="Arial" w:hAnsi="Arial"/>
      <w:sz w:val="24"/>
    </w:rPr>
  </w:style>
  <w:style w:type="paragraph" w:styleId="20">
    <w:name w:val="annotation text"/>
    <w:basedOn w:val="1"/>
    <w:link w:val="73"/>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line="360" w:lineRule="auto"/>
    </w:pPr>
    <w:rPr>
      <w:sz w:val="16"/>
    </w:rPr>
  </w:style>
  <w:style w:type="paragraph" w:styleId="22">
    <w:name w:val="List Bullet 3"/>
    <w:basedOn w:val="1"/>
    <w:qFormat/>
    <w:uiPriority w:val="0"/>
    <w:pPr>
      <w:numPr>
        <w:ilvl w:val="0"/>
        <w:numId w:val="2"/>
      </w:numPr>
      <w:adjustRightInd w:val="0"/>
      <w:snapToGrid w:val="0"/>
      <w:spacing w:line="360" w:lineRule="auto"/>
    </w:pPr>
    <w:rPr>
      <w:sz w:val="24"/>
    </w:rPr>
  </w:style>
  <w:style w:type="paragraph" w:styleId="23">
    <w:name w:val="Body Text Indent"/>
    <w:basedOn w:val="1"/>
    <w:next w:val="1"/>
    <w:link w:val="74"/>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line="360" w:lineRule="auto"/>
      <w:ind w:left="420" w:leftChars="200"/>
    </w:pPr>
    <w:rPr>
      <w:sz w:val="24"/>
    </w:rPr>
  </w:style>
  <w:style w:type="paragraph" w:styleId="27">
    <w:name w:val="List Bullet 2"/>
    <w:basedOn w:val="1"/>
    <w:qFormat/>
    <w:uiPriority w:val="0"/>
    <w:pPr>
      <w:numPr>
        <w:ilvl w:val="0"/>
        <w:numId w:val="3"/>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5"/>
    <w:qFormat/>
    <w:uiPriority w:val="0"/>
  </w:style>
  <w:style w:type="paragraph" w:styleId="34">
    <w:name w:val="Body Text Indent 2"/>
    <w:basedOn w:val="1"/>
    <w:link w:val="76"/>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7"/>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line="360" w:lineRule="auto"/>
      <w:ind w:left="840" w:leftChars="400"/>
    </w:pPr>
    <w:rPr>
      <w:sz w:val="24"/>
    </w:rPr>
  </w:style>
  <w:style w:type="paragraph" w:styleId="51">
    <w:name w:val="Normal (Web)"/>
    <w:basedOn w:val="1"/>
    <w:qFormat/>
    <w:uiPriority w:val="0"/>
    <w:pPr>
      <w:widowControl/>
      <w:spacing w:before="100" w:beforeAutospacing="1" w:after="100" w:afterAutospacing="1"/>
      <w:jc w:val="left"/>
    </w:pPr>
    <w:rPr>
      <w:rFonts w:ascii="宋体" w:hAnsi="宋体"/>
      <w:kern w:val="0"/>
      <w:sz w:val="24"/>
    </w:rPr>
  </w:style>
  <w:style w:type="paragraph" w:styleId="52">
    <w:name w:val="List Continue 3"/>
    <w:basedOn w:val="1"/>
    <w:qFormat/>
    <w:uiPriority w:val="0"/>
    <w:pPr>
      <w:adjustRightInd w:val="0"/>
      <w:snapToGrid w:val="0"/>
      <w:spacing w:after="12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line="360" w:lineRule="auto"/>
      <w:jc w:val="center"/>
    </w:pPr>
    <w:rPr>
      <w:rFonts w:ascii="Arial" w:hAnsi="Arial"/>
      <w:b/>
      <w:smallCaps/>
      <w:kern w:val="28"/>
      <w:sz w:val="36"/>
      <w:lang w:eastAsia="en-US"/>
    </w:rPr>
  </w:style>
  <w:style w:type="paragraph" w:styleId="55">
    <w:name w:val="annotation subject"/>
    <w:basedOn w:val="20"/>
    <w:next w:val="20"/>
    <w:link w:val="78"/>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3"/>
    <w:link w:val="79"/>
    <w:qFormat/>
    <w:uiPriority w:val="0"/>
    <w:pPr>
      <w:spacing w:after="12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basedOn w:val="60"/>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69">
    <w:name w:val="标题 5（有编号）（绿盟科技）"/>
    <w:basedOn w:val="1"/>
    <w:next w:val="70"/>
    <w:qFormat/>
    <w:uiPriority w:val="0"/>
    <w:pPr>
      <w:keepNext/>
      <w:keepLines/>
      <w:numPr>
        <w:ilvl w:val="4"/>
        <w:numId w:val="4"/>
      </w:numPr>
      <w:spacing w:before="280" w:after="156" w:line="377" w:lineRule="auto"/>
      <w:outlineLvl w:val="4"/>
    </w:pPr>
    <w:rPr>
      <w:rFonts w:ascii="Arial" w:hAnsi="Arial" w:eastAsia="黑体"/>
      <w:b/>
      <w:sz w:val="24"/>
      <w:szCs w:val="28"/>
    </w:rPr>
  </w:style>
  <w:style w:type="paragraph" w:customStyle="1" w:styleId="70">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1">
    <w:name w:val="标题 2 字符1"/>
    <w:link w:val="4"/>
    <w:qFormat/>
    <w:uiPriority w:val="0"/>
    <w:rPr>
      <w:rFonts w:ascii="Arial" w:hAnsi="Arial" w:eastAsia="黑体"/>
      <w:b/>
      <w:kern w:val="2"/>
      <w:sz w:val="32"/>
    </w:rPr>
  </w:style>
  <w:style w:type="character" w:customStyle="1" w:styleId="72">
    <w:name w:val="标题 3 字符"/>
    <w:link w:val="5"/>
    <w:qFormat/>
    <w:uiPriority w:val="0"/>
    <w:rPr>
      <w:rFonts w:eastAsia="宋体"/>
      <w:b/>
      <w:kern w:val="2"/>
      <w:sz w:val="32"/>
      <w:lang w:val="en-US" w:eastAsia="zh-CN"/>
    </w:rPr>
  </w:style>
  <w:style w:type="character" w:customStyle="1" w:styleId="73">
    <w:name w:val="批注文字 字符"/>
    <w:link w:val="20"/>
    <w:qFormat/>
    <w:uiPriority w:val="0"/>
    <w:rPr>
      <w:sz w:val="24"/>
    </w:rPr>
  </w:style>
  <w:style w:type="character" w:customStyle="1" w:styleId="74">
    <w:name w:val="正文文本缩进 字符"/>
    <w:link w:val="23"/>
    <w:qFormat/>
    <w:uiPriority w:val="0"/>
    <w:rPr>
      <w:kern w:val="2"/>
      <w:sz w:val="44"/>
    </w:rPr>
  </w:style>
  <w:style w:type="character" w:customStyle="1" w:styleId="75">
    <w:name w:val="日期 字符"/>
    <w:link w:val="33"/>
    <w:qFormat/>
    <w:uiPriority w:val="0"/>
    <w:rPr>
      <w:kern w:val="2"/>
      <w:sz w:val="28"/>
    </w:rPr>
  </w:style>
  <w:style w:type="character" w:customStyle="1" w:styleId="76">
    <w:name w:val="正文文本缩进 2 字符1"/>
    <w:link w:val="34"/>
    <w:qFormat/>
    <w:uiPriority w:val="0"/>
    <w:rPr>
      <w:kern w:val="2"/>
      <w:sz w:val="28"/>
    </w:rPr>
  </w:style>
  <w:style w:type="character" w:customStyle="1" w:styleId="77">
    <w:name w:val="脚注文本 字符"/>
    <w:link w:val="41"/>
    <w:qFormat/>
    <w:uiPriority w:val="0"/>
    <w:rPr>
      <w:kern w:val="2"/>
      <w:sz w:val="18"/>
    </w:rPr>
  </w:style>
  <w:style w:type="character" w:customStyle="1" w:styleId="78">
    <w:name w:val="批注主题 字符"/>
    <w:link w:val="55"/>
    <w:qFormat/>
    <w:uiPriority w:val="0"/>
  </w:style>
  <w:style w:type="character" w:customStyle="1" w:styleId="79">
    <w:name w:val="正文文本首行缩进 2 字符"/>
    <w:link w:val="57"/>
    <w:qFormat/>
    <w:uiPriority w:val="0"/>
  </w:style>
  <w:style w:type="character" w:customStyle="1" w:styleId="80">
    <w:name w:val="v151"/>
    <w:qFormat/>
    <w:uiPriority w:val="0"/>
    <w:rPr>
      <w:sz w:val="18"/>
    </w:rPr>
  </w:style>
  <w:style w:type="character" w:customStyle="1" w:styleId="81">
    <w:name w:val="Char Char7"/>
    <w:qFormat/>
    <w:uiPriority w:val="0"/>
    <w:rPr>
      <w:rFonts w:ascii="宋体" w:hAnsi="宋体" w:eastAsia="宋体"/>
      <w:kern w:val="2"/>
      <w:sz w:val="28"/>
    </w:rPr>
  </w:style>
  <w:style w:type="character" w:customStyle="1" w:styleId="82">
    <w:name w:val="小 Char"/>
    <w:qFormat/>
    <w:uiPriority w:val="0"/>
    <w:rPr>
      <w:rFonts w:ascii="宋体" w:hAnsi="Courier New" w:eastAsia="宋体"/>
      <w:kern w:val="2"/>
      <w:sz w:val="21"/>
      <w:lang w:val="en-US" w:eastAsia="zh-CN" w:bidi="ar-SA"/>
    </w:rPr>
  </w:style>
  <w:style w:type="character" w:customStyle="1" w:styleId="83">
    <w:name w:val="文字 Char"/>
    <w:link w:val="84"/>
    <w:qFormat/>
    <w:uiPriority w:val="0"/>
    <w:rPr>
      <w:rFonts w:ascii="宋体"/>
      <w:kern w:val="2"/>
      <w:sz w:val="28"/>
    </w:rPr>
  </w:style>
  <w:style w:type="paragraph" w:customStyle="1" w:styleId="84">
    <w:name w:val="文字"/>
    <w:basedOn w:val="1"/>
    <w:link w:val="83"/>
    <w:qFormat/>
    <w:uiPriority w:val="0"/>
    <w:pPr>
      <w:tabs>
        <w:tab w:val="left" w:pos="8520"/>
      </w:tabs>
      <w:spacing w:line="312" w:lineRule="auto"/>
      <w:ind w:right="-210" w:firstLine="556"/>
    </w:pPr>
    <w:rPr>
      <w:rFonts w:ascii="宋体"/>
    </w:rPr>
  </w:style>
  <w:style w:type="character" w:customStyle="1" w:styleId="85">
    <w:name w:val="content-white1"/>
    <w:qFormat/>
    <w:uiPriority w:val="0"/>
    <w:rPr>
      <w:rFonts w:ascii="_x000B__x000C_" w:hAnsi="_x000B__x000C_"/>
      <w:color w:val="auto"/>
      <w:sz w:val="18"/>
      <w:u w:val="none"/>
    </w:rPr>
  </w:style>
  <w:style w:type="character" w:customStyle="1" w:styleId="86">
    <w:name w:val="正文 + 三号 Char"/>
    <w:qFormat/>
    <w:uiPriority w:val="0"/>
    <w:rPr>
      <w:rFonts w:eastAsia="宋体"/>
      <w:kern w:val="2"/>
      <w:sz w:val="21"/>
      <w:lang w:val="en-US" w:eastAsia="zh-CN"/>
    </w:rPr>
  </w:style>
  <w:style w:type="character" w:customStyle="1" w:styleId="87">
    <w:name w:val="H2 Char"/>
    <w:qFormat/>
    <w:uiPriority w:val="0"/>
    <w:rPr>
      <w:rFonts w:ascii="Arial" w:hAnsi="Arial" w:eastAsia="宋体"/>
      <w:kern w:val="2"/>
      <w:sz w:val="28"/>
      <w:lang w:val="en-US" w:eastAsia="zh-CN"/>
    </w:rPr>
  </w:style>
  <w:style w:type="character" w:customStyle="1" w:styleId="88">
    <w:name w:val="Char Char3"/>
    <w:qFormat/>
    <w:uiPriority w:val="0"/>
    <w:rPr>
      <w:rFonts w:eastAsia="宋体"/>
      <w:kern w:val="2"/>
      <w:sz w:val="18"/>
      <w:lang w:val="en-US" w:eastAsia="zh-CN"/>
    </w:rPr>
  </w:style>
  <w:style w:type="character" w:customStyle="1" w:styleId="89">
    <w:name w:val="Char Char4"/>
    <w:qFormat/>
    <w:uiPriority w:val="0"/>
    <w:rPr>
      <w:rFonts w:eastAsia="宋体"/>
      <w:b/>
      <w:kern w:val="2"/>
      <w:sz w:val="21"/>
      <w:lang w:val="en-US" w:eastAsia="zh-CN"/>
    </w:rPr>
  </w:style>
  <w:style w:type="character" w:customStyle="1" w:styleId="90">
    <w:name w:val="Table Text Char1 Char"/>
    <w:qFormat/>
    <w:uiPriority w:val="0"/>
    <w:rPr>
      <w:rFonts w:ascii="Arial" w:hAnsi="Arial"/>
      <w:kern w:val="2"/>
      <w:sz w:val="18"/>
      <w:lang w:val="en-US" w:eastAsia="zh-CN" w:bidi="ar-SA"/>
    </w:rPr>
  </w:style>
  <w:style w:type="character" w:customStyle="1" w:styleId="91">
    <w:name w:val="Char Char5"/>
    <w:qFormat/>
    <w:uiPriority w:val="0"/>
    <w:rPr>
      <w:rFonts w:ascii="Arial" w:hAnsi="Arial" w:eastAsia="宋体"/>
      <w:b/>
      <w:smallCaps/>
      <w:kern w:val="28"/>
      <w:sz w:val="36"/>
      <w:lang w:val="en-US" w:eastAsia="en-US"/>
    </w:rPr>
  </w:style>
  <w:style w:type="character" w:customStyle="1" w:styleId="92">
    <w:name w:val="Char Char"/>
    <w:qFormat/>
    <w:uiPriority w:val="0"/>
    <w:rPr>
      <w:rFonts w:ascii="宋体" w:hAnsi="宋体" w:eastAsia="宋体"/>
      <w:kern w:val="2"/>
      <w:sz w:val="24"/>
      <w:lang w:val="en-US" w:eastAsia="zh-CN" w:bidi="ar-SA"/>
    </w:rPr>
  </w:style>
  <w:style w:type="character" w:customStyle="1" w:styleId="93">
    <w:name w:val="Table Heading Char Char"/>
    <w:qFormat/>
    <w:uiPriority w:val="0"/>
    <w:rPr>
      <w:rFonts w:ascii="Arial" w:hAnsi="Arial" w:eastAsia="黑体"/>
      <w:kern w:val="2"/>
      <w:sz w:val="18"/>
      <w:lang w:val="en-US" w:eastAsia="zh-CN"/>
    </w:rPr>
  </w:style>
  <w:style w:type="character" w:customStyle="1" w:styleId="94">
    <w:name w:val="Table Text Char Char Char Char"/>
    <w:link w:val="95"/>
    <w:qFormat/>
    <w:uiPriority w:val="0"/>
    <w:rPr>
      <w:rFonts w:ascii="Arial" w:hAnsi="Arial"/>
      <w:kern w:val="2"/>
      <w:sz w:val="18"/>
      <w:lang w:val="en-US" w:eastAsia="zh-CN" w:bidi="ar-SA"/>
    </w:rPr>
  </w:style>
  <w:style w:type="paragraph" w:customStyle="1" w:styleId="95">
    <w:name w:val="Table Text Char Char Char"/>
    <w:link w:val="94"/>
    <w:qFormat/>
    <w:uiPriority w:val="0"/>
    <w:pPr>
      <w:snapToGrid w:val="0"/>
      <w:spacing w:before="80" w:after="80"/>
    </w:pPr>
    <w:rPr>
      <w:rFonts w:ascii="Arial" w:hAnsi="Arial" w:eastAsia="宋体" w:cs="Times New Roman"/>
      <w:kern w:val="2"/>
      <w:sz w:val="18"/>
      <w:lang w:val="en-US" w:eastAsia="zh-CN" w:bidi="ar-SA"/>
    </w:rPr>
  </w:style>
  <w:style w:type="character" w:customStyle="1" w:styleId="96">
    <w:name w:val="Table Text Char"/>
    <w:link w:val="97"/>
    <w:qFormat/>
    <w:uiPriority w:val="0"/>
    <w:rPr>
      <w:rFonts w:ascii="Arial" w:hAnsi="Arial"/>
      <w:kern w:val="2"/>
      <w:sz w:val="18"/>
      <w:lang w:val="en-US" w:eastAsia="zh-CN" w:bidi="ar-SA"/>
    </w:rPr>
  </w:style>
  <w:style w:type="paragraph" w:customStyle="1" w:styleId="97">
    <w:name w:val="Table Text"/>
    <w:link w:val="96"/>
    <w:qFormat/>
    <w:uiPriority w:val="0"/>
    <w:pPr>
      <w:snapToGrid w:val="0"/>
      <w:spacing w:before="80" w:after="80"/>
    </w:pPr>
    <w:rPr>
      <w:rFonts w:ascii="Arial" w:hAnsi="Arial" w:eastAsia="宋体" w:cs="Times New Roman"/>
      <w:kern w:val="2"/>
      <w:sz w:val="18"/>
      <w:lang w:val="en-US" w:eastAsia="zh-CN" w:bidi="ar-SA"/>
    </w:rPr>
  </w:style>
  <w:style w:type="character" w:customStyle="1" w:styleId="98">
    <w:name w:val="Char Char2"/>
    <w:qFormat/>
    <w:uiPriority w:val="0"/>
    <w:rPr>
      <w:rFonts w:eastAsia="宋体"/>
      <w:kern w:val="2"/>
      <w:sz w:val="18"/>
      <w:lang w:val="en-US" w:eastAsia="zh-CN"/>
    </w:rPr>
  </w:style>
  <w:style w:type="character" w:customStyle="1" w:styleId="99">
    <w:name w:val="标书正文:  0.74 厘米 Char1"/>
    <w:qFormat/>
    <w:uiPriority w:val="0"/>
    <w:rPr>
      <w:rFonts w:eastAsia="宋体"/>
      <w:kern w:val="2"/>
      <w:sz w:val="24"/>
      <w:lang w:val="en-US" w:eastAsia="zh-CN"/>
    </w:rPr>
  </w:style>
  <w:style w:type="character" w:customStyle="1" w:styleId="100">
    <w:name w:val="样式 宋体"/>
    <w:qFormat/>
    <w:uiPriority w:val="0"/>
    <w:rPr>
      <w:rFonts w:ascii="宋体" w:hAnsi="宋体" w:eastAsia="宋体"/>
      <w:sz w:val="28"/>
    </w:rPr>
  </w:style>
  <w:style w:type="character" w:customStyle="1" w:styleId="101">
    <w:name w:val="未命名11"/>
    <w:qFormat/>
    <w:uiPriority w:val="0"/>
    <w:rPr>
      <w:color w:val="77FFFF"/>
      <w:sz w:val="24"/>
    </w:rPr>
  </w:style>
  <w:style w:type="character" w:customStyle="1" w:styleId="102">
    <w:name w:val="crowed11"/>
    <w:qFormat/>
    <w:uiPriority w:val="0"/>
    <w:rPr>
      <w:rFonts w:hint="default" w:ascii="_x000B__x000C_" w:hAnsi="_x000B__x000C_"/>
      <w:sz w:val="24"/>
    </w:rPr>
  </w:style>
  <w:style w:type="character" w:customStyle="1" w:styleId="103">
    <w:name w:val="Char Char6"/>
    <w:qFormat/>
    <w:uiPriority w:val="0"/>
    <w:rPr>
      <w:rFonts w:ascii="仿宋_GB2312" w:eastAsia="仿宋_GB2312"/>
      <w:kern w:val="2"/>
      <w:sz w:val="32"/>
    </w:rPr>
  </w:style>
  <w:style w:type="character" w:customStyle="1" w:styleId="104">
    <w:name w:val="title_emph1"/>
    <w:qFormat/>
    <w:uiPriority w:val="0"/>
    <w:rPr>
      <w:rFonts w:hint="default" w:ascii="Arial" w:hAnsi="Arial"/>
      <w:b/>
      <w:sz w:val="20"/>
    </w:rPr>
  </w:style>
  <w:style w:type="character" w:customStyle="1" w:styleId="105">
    <w:name w:val="font1"/>
    <w:qFormat/>
    <w:uiPriority w:val="0"/>
    <w:rPr>
      <w:color w:val="000000"/>
      <w:sz w:val="18"/>
    </w:rPr>
  </w:style>
  <w:style w:type="character" w:customStyle="1" w:styleId="106">
    <w:name w:val="Char Char11"/>
    <w:qFormat/>
    <w:uiPriority w:val="0"/>
    <w:rPr>
      <w:rFonts w:ascii="宋体"/>
      <w:kern w:val="2"/>
      <w:sz w:val="28"/>
    </w:rPr>
  </w:style>
  <w:style w:type="character" w:customStyle="1" w:styleId="107">
    <w:name w:val="top-det1"/>
    <w:qFormat/>
    <w:uiPriority w:val="0"/>
    <w:rPr>
      <w:b/>
      <w:color w:val="000000"/>
    </w:rPr>
  </w:style>
  <w:style w:type="paragraph" w:customStyle="1" w:styleId="108">
    <w:name w:val="二级列表"/>
    <w:basedOn w:val="109"/>
    <w:next w:val="109"/>
    <w:qFormat/>
    <w:uiPriority w:val="0"/>
    <w:pPr>
      <w:tabs>
        <w:tab w:val="left" w:pos="2120"/>
      </w:tabs>
      <w:ind w:firstLine="0" w:firstLineChars="0"/>
    </w:pPr>
    <w:rPr>
      <w:b/>
    </w:rPr>
  </w:style>
  <w:style w:type="paragraph" w:customStyle="1" w:styleId="109">
    <w:name w:val="段落正文"/>
    <w:basedOn w:val="1"/>
    <w:qFormat/>
    <w:uiPriority w:val="0"/>
    <w:pPr>
      <w:spacing w:before="156" w:beforeLines="50" w:line="360" w:lineRule="auto"/>
      <w:ind w:firstLine="200" w:firstLineChars="200"/>
    </w:pPr>
    <w:rPr>
      <w:spacing w:val="2"/>
      <w:sz w:val="24"/>
    </w:rPr>
  </w:style>
  <w:style w:type="paragraph" w:customStyle="1" w:styleId="110">
    <w:name w:val="标题3——2"/>
    <w:basedOn w:val="5"/>
    <w:next w:val="56"/>
    <w:qFormat/>
    <w:uiPriority w:val="0"/>
    <w:pPr>
      <w:tabs>
        <w:tab w:val="left" w:pos="1280"/>
        <w:tab w:val="right" w:leader="dot" w:pos="8777"/>
      </w:tabs>
      <w:spacing w:before="312" w:beforeLines="100" w:after="0" w:line="240" w:lineRule="auto"/>
      <w:ind w:left="851" w:hanging="851"/>
      <w:outlineLvl w:val="9"/>
    </w:pPr>
    <w:rPr>
      <w:rFonts w:ascii="黑体" w:hAnsi="宋体" w:eastAsia="黑体"/>
      <w:sz w:val="30"/>
    </w:rPr>
  </w:style>
  <w:style w:type="paragraph" w:customStyle="1" w:styleId="111">
    <w:name w:val="文本1"/>
    <w:basedOn w:val="1"/>
    <w:qFormat/>
    <w:uiPriority w:val="0"/>
    <w:pPr>
      <w:adjustRightInd w:val="0"/>
      <w:spacing w:line="312" w:lineRule="atLeast"/>
      <w:jc w:val="center"/>
      <w:textAlignment w:val="baseline"/>
    </w:pPr>
    <w:rPr>
      <w:kern w:val="0"/>
      <w:sz w:val="18"/>
    </w:rPr>
  </w:style>
  <w:style w:type="paragraph" w:customStyle="1" w:styleId="112">
    <w:name w:val="Title - Revision"/>
    <w:basedOn w:val="54"/>
    <w:qFormat/>
    <w:uiPriority w:val="0"/>
    <w:pPr>
      <w:spacing w:before="720"/>
    </w:pPr>
  </w:style>
  <w:style w:type="paragraph" w:customStyle="1" w:styleId="113">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4">
    <w:name w:val="项目"/>
    <w:basedOn w:val="1"/>
    <w:qFormat/>
    <w:uiPriority w:val="0"/>
    <w:pPr>
      <w:tabs>
        <w:tab w:val="left" w:pos="1280"/>
      </w:tabs>
      <w:spacing w:before="120" w:after="120" w:line="360" w:lineRule="auto"/>
      <w:ind w:left="-7" w:firstLine="567"/>
      <w:jc w:val="left"/>
      <w:textAlignment w:val="baseline"/>
    </w:pPr>
    <w:rPr>
      <w:rFonts w:ascii="宋体"/>
      <w:kern w:val="0"/>
      <w:sz w:val="24"/>
    </w:rPr>
  </w:style>
  <w:style w:type="paragraph" w:customStyle="1" w:styleId="115">
    <w:name w:val="二级条标题"/>
    <w:basedOn w:val="116"/>
    <w:next w:val="118"/>
    <w:qFormat/>
    <w:uiPriority w:val="0"/>
    <w:pPr>
      <w:ind w:left="840"/>
      <w:outlineLvl w:val="3"/>
    </w:pPr>
  </w:style>
  <w:style w:type="paragraph" w:customStyle="1" w:styleId="116">
    <w:name w:val="一级条标题"/>
    <w:basedOn w:val="117"/>
    <w:next w:val="118"/>
    <w:qFormat/>
    <w:uiPriority w:val="0"/>
    <w:pPr>
      <w:numPr>
        <w:numId w:val="0"/>
      </w:numPr>
      <w:spacing w:before="0" w:beforeLines="0" w:after="0" w:afterLines="0"/>
      <w:ind w:left="525"/>
      <w:outlineLvl w:val="2"/>
    </w:pPr>
    <w:rPr>
      <w:sz w:val="21"/>
    </w:rPr>
  </w:style>
  <w:style w:type="paragraph" w:customStyle="1" w:styleId="117">
    <w:name w:val="章标题"/>
    <w:next w:val="1"/>
    <w:qFormat/>
    <w:uiPriority w:val="0"/>
    <w:pPr>
      <w:numPr>
        <w:ilvl w:val="1"/>
        <w:numId w:val="5"/>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8">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9">
    <w:name w:val="1.正文"/>
    <w:basedOn w:val="1"/>
    <w:qFormat/>
    <w:uiPriority w:val="0"/>
    <w:pPr>
      <w:spacing w:line="360" w:lineRule="auto"/>
      <w:ind w:left="540" w:leftChars="225" w:firstLine="540" w:firstLineChars="225"/>
    </w:pPr>
    <w:rPr>
      <w:sz w:val="24"/>
    </w:rPr>
  </w:style>
  <w:style w:type="paragraph" w:customStyle="1" w:styleId="120">
    <w:name w:val="tabletext"/>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样式3"/>
    <w:basedOn w:val="3"/>
    <w:next w:val="3"/>
    <w:qFormat/>
    <w:uiPriority w:val="0"/>
    <w:pPr>
      <w:keepLines/>
      <w:adjustRightInd w:val="0"/>
      <w:spacing w:before="340" w:after="330" w:line="576" w:lineRule="auto"/>
    </w:pPr>
    <w:rPr>
      <w:rFonts w:ascii="Times New Roman" w:eastAsia="黑体"/>
      <w:b/>
      <w:kern w:val="44"/>
      <w:sz w:val="44"/>
    </w:rPr>
  </w:style>
  <w:style w:type="paragraph" w:customStyle="1" w:styleId="124">
    <w:name w:val="Item Step in Table"/>
    <w:qFormat/>
    <w:uiPriority w:val="0"/>
    <w:pPr>
      <w:numPr>
        <w:ilvl w:val="0"/>
        <w:numId w:val="5"/>
      </w:numPr>
      <w:tabs>
        <w:tab w:val="left" w:pos="397"/>
      </w:tabs>
      <w:spacing w:before="40" w:after="40"/>
      <w:jc w:val="both"/>
    </w:pPr>
    <w:rPr>
      <w:rFonts w:ascii="Arial" w:hAnsi="Arial" w:eastAsia="宋体" w:cs="Times New Roman"/>
      <w:sz w:val="18"/>
      <w:lang w:val="en-US" w:eastAsia="zh-CN" w:bidi="ar-SA"/>
    </w:rPr>
  </w:style>
  <w:style w:type="paragraph" w:customStyle="1" w:styleId="125">
    <w:name w:val="默认段落字体 Para Char Char Char Char Char Char Char Char Char1 Char Char Char Char"/>
    <w:basedOn w:val="1"/>
    <w:qFormat/>
    <w:uiPriority w:val="0"/>
    <w:rPr>
      <w:rFonts w:ascii="Tahoma" w:hAnsi="Tahoma"/>
      <w:sz w:val="24"/>
    </w:rPr>
  </w:style>
  <w:style w:type="paragraph" w:customStyle="1" w:styleId="126">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7">
    <w:name w:val="Char Char Char1 Char Char Char Char Char Char Char Char Char Char Char Char Char"/>
    <w:basedOn w:val="1"/>
    <w:qFormat/>
    <w:uiPriority w:val="0"/>
    <w:pPr>
      <w:widowControl/>
      <w:spacing w:after="160" w:line="240" w:lineRule="exact"/>
      <w:jc w:val="left"/>
    </w:pPr>
    <w:rPr>
      <w:rFonts w:ascii="Verdana" w:hAnsi="Verdana"/>
      <w:kern w:val="0"/>
      <w:sz w:val="18"/>
      <w:lang w:eastAsia="en-US"/>
    </w:rPr>
  </w:style>
  <w:style w:type="paragraph" w:customStyle="1" w:styleId="128">
    <w:name w:val="Char Char14 Char Char"/>
    <w:basedOn w:val="1"/>
    <w:qFormat/>
    <w:uiPriority w:val="0"/>
    <w:rPr>
      <w:sz w:val="21"/>
      <w:szCs w:val="24"/>
    </w:rPr>
  </w:style>
  <w:style w:type="paragraph" w:customStyle="1" w:styleId="129">
    <w:name w:val="Char Char Char Char Char"/>
    <w:basedOn w:val="1"/>
    <w:qFormat/>
    <w:uiPriority w:val="0"/>
    <w:pPr>
      <w:tabs>
        <w:tab w:val="left" w:pos="425"/>
      </w:tabs>
      <w:ind w:left="1620" w:hanging="360"/>
    </w:pPr>
    <w:rPr>
      <w:rFonts w:ascii="Tahoma" w:hAnsi="Tahoma"/>
      <w:sz w:val="24"/>
    </w:rPr>
  </w:style>
  <w:style w:type="paragraph" w:customStyle="1" w:styleId="130">
    <w:name w:val="Char2 Char Char Char Char Char Char"/>
    <w:basedOn w:val="1"/>
    <w:qFormat/>
    <w:uiPriority w:val="0"/>
    <w:rPr>
      <w:rFonts w:ascii="仿宋_GB2312"/>
      <w:b/>
      <w:sz w:val="30"/>
    </w:rPr>
  </w:style>
  <w:style w:type="paragraph" w:customStyle="1" w:styleId="131">
    <w:name w:val="_Style 128"/>
    <w:qFormat/>
    <w:uiPriority w:val="0"/>
    <w:rPr>
      <w:rFonts w:ascii="Times New Roman" w:hAnsi="Times New Roman" w:eastAsia="宋体" w:cs="Times New Roman"/>
      <w:kern w:val="2"/>
      <w:sz w:val="21"/>
      <w:lang w:val="en-US" w:eastAsia="zh-CN" w:bidi="ar-SA"/>
    </w:rPr>
  </w:style>
  <w:style w:type="paragraph" w:customStyle="1" w:styleId="132">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3">
    <w:name w:val="正文 + 三号"/>
    <w:basedOn w:val="1"/>
    <w:qFormat/>
    <w:uiPriority w:val="0"/>
    <w:rPr>
      <w:sz w:val="21"/>
    </w:rPr>
  </w:style>
  <w:style w:type="paragraph" w:customStyle="1" w:styleId="134">
    <w:name w:val="样式 首行缩进:  0.74 厘米"/>
    <w:basedOn w:val="1"/>
    <w:qFormat/>
    <w:uiPriority w:val="0"/>
    <w:pPr>
      <w:spacing w:line="360" w:lineRule="auto"/>
      <w:ind w:firstLine="420"/>
    </w:pPr>
    <w:rPr>
      <w:sz w:val="24"/>
    </w:rPr>
  </w:style>
  <w:style w:type="paragraph" w:customStyle="1" w:styleId="135">
    <w:name w:val="样式 样式 首行缩进:  2 字符 + 首行缩进:  2 字符"/>
    <w:basedOn w:val="1"/>
    <w:qFormat/>
    <w:uiPriority w:val="0"/>
    <w:pPr>
      <w:numPr>
        <w:ilvl w:val="0"/>
        <w:numId w:val="6"/>
      </w:numPr>
      <w:tabs>
        <w:tab w:val="clear" w:pos="1230"/>
      </w:tabs>
      <w:spacing w:line="360" w:lineRule="auto"/>
      <w:ind w:firstLine="480" w:firstLineChars="200"/>
    </w:pPr>
    <w:rPr>
      <w:sz w:val="24"/>
    </w:rPr>
  </w:style>
  <w:style w:type="paragraph" w:customStyle="1" w:styleId="136">
    <w:name w:val="标题2"/>
    <w:basedOn w:val="4"/>
    <w:qFormat/>
    <w:uiPriority w:val="0"/>
    <w:pPr>
      <w:keepNext w:val="0"/>
      <w:keepLines w:val="0"/>
      <w:adjustRightInd w:val="0"/>
      <w:snapToGrid w:val="0"/>
      <w:spacing w:before="0" w:after="0" w:line="360" w:lineRule="auto"/>
      <w:ind w:firstLine="574" w:firstLineChars="196"/>
      <w:outlineLvl w:val="9"/>
    </w:pPr>
    <w:rPr>
      <w:rFonts w:ascii="宋体" w:hAnsi="宋体" w:eastAsia="宋体"/>
      <w:spacing w:val="6"/>
      <w:sz w:val="28"/>
      <w:u w:val="single"/>
    </w:rPr>
  </w:style>
  <w:style w:type="paragraph" w:customStyle="1" w:styleId="137">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8">
    <w:name w:val="Table Contents"/>
    <w:basedOn w:val="2"/>
    <w:qFormat/>
    <w:uiPriority w:val="0"/>
    <w:pPr>
      <w:suppressAutoHyphens/>
      <w:jc w:val="left"/>
    </w:pPr>
    <w:rPr>
      <w:rFonts w:ascii="Times New Roman" w:eastAsia="Times New Roman"/>
      <w:kern w:val="0"/>
      <w:sz w:val="24"/>
    </w:rPr>
  </w:style>
  <w:style w:type="paragraph" w:customStyle="1" w:styleId="139">
    <w:name w:val="表格文本"/>
    <w:qFormat/>
    <w:uiPriority w:val="0"/>
    <w:pPr>
      <w:tabs>
        <w:tab w:val="decimal" w:pos="0"/>
      </w:tabs>
    </w:pPr>
    <w:rPr>
      <w:rFonts w:ascii="Arial" w:hAnsi="Arial" w:eastAsia="宋体" w:cs="Times New Roman"/>
      <w:sz w:val="21"/>
      <w:lang w:val="en-US" w:eastAsia="zh-CN" w:bidi="ar-SA"/>
    </w:rPr>
  </w:style>
  <w:style w:type="paragraph" w:customStyle="1" w:styleId="140">
    <w:name w:val="Char Char Char Char Char Char Char"/>
    <w:basedOn w:val="1"/>
    <w:qFormat/>
    <w:uiPriority w:val="0"/>
    <w:rPr>
      <w:rFonts w:ascii="Tahoma" w:hAnsi="Tahoma"/>
      <w:sz w:val="24"/>
    </w:rPr>
  </w:style>
  <w:style w:type="paragraph" w:customStyle="1" w:styleId="141">
    <w:name w:val="样式2"/>
    <w:basedOn w:val="6"/>
    <w:qFormat/>
    <w:uiPriority w:val="0"/>
    <w:pPr>
      <w:numPr>
        <w:ilvl w:val="0"/>
        <w:numId w:val="7"/>
      </w:numPr>
      <w:spacing w:before="560" w:line="400" w:lineRule="exact"/>
      <w:jc w:val="center"/>
      <w:outlineLvl w:val="0"/>
    </w:pPr>
    <w:rPr>
      <w:b w:val="0"/>
      <w:sz w:val="44"/>
    </w:rPr>
  </w:style>
  <w:style w:type="paragraph" w:customStyle="1" w:styleId="142">
    <w:name w:val="内容标题"/>
    <w:basedOn w:val="18"/>
    <w:qFormat/>
    <w:uiPriority w:val="0"/>
    <w:rPr>
      <w:rFonts w:ascii="Tahoma" w:hAnsi="Tahoma"/>
      <w:sz w:val="24"/>
    </w:rPr>
  </w:style>
  <w:style w:type="paragraph" w:customStyle="1" w:styleId="143">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44">
    <w:name w:val="1"/>
    <w:basedOn w:val="1"/>
    <w:next w:val="31"/>
    <w:qFormat/>
    <w:uiPriority w:val="0"/>
    <w:rPr>
      <w:rFonts w:ascii="宋体" w:hAnsi="Courier New"/>
      <w:sz w:val="21"/>
    </w:rPr>
  </w:style>
  <w:style w:type="paragraph" w:customStyle="1" w:styleId="145">
    <w:name w:val="列表项目"/>
    <w:basedOn w:val="1"/>
    <w:qFormat/>
    <w:uiPriority w:val="0"/>
    <w:pPr>
      <w:tabs>
        <w:tab w:val="left" w:pos="420"/>
      </w:tabs>
      <w:spacing w:line="288" w:lineRule="auto"/>
      <w:ind w:left="840" w:leftChars="200" w:hanging="420" w:hangingChars="200"/>
    </w:pPr>
    <w:rPr>
      <w:sz w:val="21"/>
    </w:rPr>
  </w:style>
  <w:style w:type="paragraph" w:customStyle="1" w:styleId="146">
    <w:name w:val="style1"/>
    <w:basedOn w:val="1"/>
    <w:qFormat/>
    <w:uiPriority w:val="0"/>
    <w:pPr>
      <w:widowControl/>
      <w:spacing w:before="100" w:beforeAutospacing="1" w:after="100" w:afterAutospacing="1"/>
      <w:jc w:val="left"/>
    </w:pPr>
    <w:rPr>
      <w:rFonts w:ascii="宋体" w:hAnsi="宋体"/>
      <w:kern w:val="0"/>
      <w:sz w:val="21"/>
    </w:rPr>
  </w:style>
  <w:style w:type="paragraph" w:customStyle="1" w:styleId="147">
    <w:name w:val="Char Char Char Char Char Char Char1"/>
    <w:basedOn w:val="18"/>
    <w:qFormat/>
    <w:uiPriority w:val="0"/>
    <w:rPr>
      <w:rFonts w:ascii="宋体" w:hAnsi="Tahoma"/>
    </w:rPr>
  </w:style>
  <w:style w:type="paragraph" w:customStyle="1" w:styleId="148">
    <w:name w:val="样式 标题 6第五层条 + 三号 段前: 0.5 行"/>
    <w:basedOn w:val="8"/>
    <w:qFormat/>
    <w:uiPriority w:val="0"/>
    <w:pPr>
      <w:widowControl/>
      <w:adjustRightInd/>
      <w:snapToGrid/>
      <w:spacing w:before="156" w:beforeLines="50"/>
      <w:jc w:val="left"/>
    </w:pPr>
    <w:rPr>
      <w:snapToGrid w:val="0"/>
      <w:kern w:val="24"/>
      <w:sz w:val="28"/>
    </w:rPr>
  </w:style>
  <w:style w:type="paragraph" w:customStyle="1" w:styleId="149">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50">
    <w:name w:val="样式 正文首行缩进 2 + 首行缩进:  2 字符"/>
    <w:basedOn w:val="1"/>
    <w:qFormat/>
    <w:uiPriority w:val="0"/>
    <w:pPr>
      <w:numPr>
        <w:ilvl w:val="0"/>
        <w:numId w:val="8"/>
      </w:numPr>
      <w:adjustRightInd w:val="0"/>
      <w:snapToGrid w:val="0"/>
      <w:spacing w:line="360" w:lineRule="auto"/>
    </w:pPr>
    <w:rPr>
      <w:rFonts w:ascii="Arial" w:hAnsi="Arial"/>
      <w:b/>
      <w:sz w:val="24"/>
    </w:rPr>
  </w:style>
  <w:style w:type="paragraph" w:customStyle="1" w:styleId="151">
    <w:name w:val="样式 行距: 1.5 倍行距1"/>
    <w:basedOn w:val="1"/>
    <w:qFormat/>
    <w:uiPriority w:val="0"/>
    <w:pPr>
      <w:snapToGrid w:val="0"/>
    </w:pPr>
    <w:rPr>
      <w:sz w:val="21"/>
    </w:r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00"/>
    <w:basedOn w:val="1"/>
    <w:qFormat/>
    <w:uiPriority w:val="0"/>
    <w:pPr>
      <w:autoSpaceDE w:val="0"/>
      <w:autoSpaceDN w:val="0"/>
      <w:adjustRightInd w:val="0"/>
      <w:jc w:val="left"/>
    </w:pPr>
    <w:rPr>
      <w:rFonts w:ascii="黑体" w:eastAsia="黑体"/>
      <w:b/>
      <w:kern w:val="0"/>
      <w:sz w:val="20"/>
    </w:rPr>
  </w:style>
  <w:style w:type="paragraph" w:customStyle="1" w:styleId="154">
    <w:name w:val="xl27"/>
    <w:basedOn w:val="1"/>
    <w:qFormat/>
    <w:uiPriority w:val="0"/>
    <w:pPr>
      <w:widowControl/>
      <w:pBdr>
        <w:left w:val="single" w:color="auto" w:sz="8" w:space="0"/>
        <w:bottom w:val="single" w:color="auto" w:sz="4" w:space="0"/>
        <w:right w:val="single" w:color="auto" w:sz="4" w:space="0"/>
      </w:pBdr>
      <w:spacing w:before="100" w:beforeAutospacing="1" w:after="100" w:afterAutospacing="1"/>
      <w:jc w:val="center"/>
      <w:textAlignment w:val="center"/>
    </w:pPr>
    <w:rPr>
      <w:rFonts w:ascii="宋体" w:hAnsi="宋体"/>
      <w:kern w:val="0"/>
      <w:sz w:val="21"/>
    </w:rPr>
  </w:style>
  <w:style w:type="paragraph" w:customStyle="1" w:styleId="155">
    <w:name w:val="Char Char Char Char"/>
    <w:basedOn w:val="1"/>
    <w:qFormat/>
    <w:uiPriority w:val="0"/>
    <w:pPr>
      <w:pageBreakBefore/>
      <w:widowControl/>
      <w:spacing w:after="160" w:line="240" w:lineRule="exact"/>
      <w:jc w:val="left"/>
    </w:pPr>
    <w:rPr>
      <w:rFonts w:ascii="Verdana" w:hAnsi="Verdana"/>
      <w:kern w:val="0"/>
      <w:sz w:val="20"/>
      <w:lang w:eastAsia="en-US"/>
    </w:rPr>
  </w:style>
  <w:style w:type="paragraph" w:customStyle="1" w:styleId="156">
    <w:name w:val="Char Char Char Char Char Char1 Char"/>
    <w:basedOn w:val="1"/>
    <w:qFormat/>
    <w:uiPriority w:val="0"/>
    <w:pPr>
      <w:widowControl/>
      <w:spacing w:after="160" w:line="240" w:lineRule="exact"/>
      <w:jc w:val="left"/>
    </w:pPr>
    <w:rPr>
      <w:rFonts w:ascii="Verdana" w:hAnsi="Verdana"/>
      <w:kern w:val="0"/>
      <w:sz w:val="21"/>
      <w:lang w:eastAsia="en-US"/>
    </w:rPr>
  </w:style>
  <w:style w:type="paragraph" w:customStyle="1" w:styleId="157">
    <w:name w:val="标准正文"/>
    <w:basedOn w:val="23"/>
    <w:qFormat/>
    <w:uiPriority w:val="0"/>
    <w:pPr>
      <w:spacing w:before="60" w:after="60" w:line="360" w:lineRule="auto"/>
      <w:ind w:left="0" w:firstLine="482"/>
    </w:pPr>
    <w:rPr>
      <w:rFonts w:ascii="Arial" w:hAnsi="Arial"/>
      <w:sz w:val="24"/>
    </w:rPr>
  </w:style>
  <w:style w:type="paragraph" w:customStyle="1" w:styleId="158">
    <w:name w:val="正文文本 21"/>
    <w:basedOn w:val="1"/>
    <w:qFormat/>
    <w:uiPriority w:val="0"/>
    <w:pPr>
      <w:adjustRightInd w:val="0"/>
      <w:spacing w:before="120" w:line="360" w:lineRule="auto"/>
      <w:ind w:firstLine="480"/>
      <w:textAlignment w:val="baseline"/>
    </w:pPr>
    <w:rPr>
      <w:sz w:val="24"/>
    </w:rPr>
  </w:style>
  <w:style w:type="paragraph" w:customStyle="1" w:styleId="159">
    <w:name w:val="样式1"/>
    <w:basedOn w:val="6"/>
    <w:qFormat/>
    <w:uiPriority w:val="0"/>
    <w:pPr>
      <w:tabs>
        <w:tab w:val="left" w:pos="720"/>
      </w:tabs>
      <w:spacing w:before="500" w:after="260" w:line="560" w:lineRule="atLeast"/>
      <w:ind w:left="420" w:hanging="420"/>
    </w:pPr>
  </w:style>
  <w:style w:type="paragraph" w:customStyle="1" w:styleId="160">
    <w:name w:val="正文4"/>
    <w:basedOn w:val="1"/>
    <w:qFormat/>
    <w:uiPriority w:val="0"/>
    <w:pPr>
      <w:tabs>
        <w:tab w:val="left" w:pos="1275"/>
      </w:tabs>
      <w:spacing w:before="60" w:after="60" w:line="360" w:lineRule="auto"/>
      <w:ind w:left="820" w:leftChars="400" w:hanging="705"/>
    </w:pPr>
    <w:rPr>
      <w:sz w:val="24"/>
    </w:rPr>
  </w:style>
  <w:style w:type="paragraph" w:customStyle="1" w:styleId="161">
    <w:name w:val="Char Char1"/>
    <w:basedOn w:val="1"/>
    <w:qFormat/>
    <w:uiPriority w:val="0"/>
    <w:pPr>
      <w:widowControl/>
      <w:spacing w:after="160" w:line="240" w:lineRule="exact"/>
      <w:jc w:val="left"/>
    </w:pPr>
    <w:rPr>
      <w:rFonts w:ascii="Verdana" w:hAnsi="Verdana"/>
      <w:kern w:val="0"/>
      <w:sz w:val="20"/>
      <w:lang w:eastAsia="en-US"/>
    </w:rPr>
  </w:style>
  <w:style w:type="paragraph" w:customStyle="1" w:styleId="162">
    <w:name w:val="正文格式"/>
    <w:basedOn w:val="1"/>
    <w:qFormat/>
    <w:uiPriority w:val="0"/>
    <w:pPr>
      <w:widowControl/>
      <w:adjustRightInd w:val="0"/>
      <w:snapToGrid w:val="0"/>
      <w:spacing w:before="60" w:line="360" w:lineRule="auto"/>
      <w:ind w:firstLine="480" w:firstLineChars="200"/>
      <w:jc w:val="left"/>
      <w:textAlignment w:val="baseline"/>
    </w:pPr>
    <w:rPr>
      <w:rFonts w:ascii="宋体" w:hAnsi="宋体"/>
      <w:color w:val="000000"/>
      <w:kern w:val="0"/>
      <w:sz w:val="24"/>
    </w:rPr>
  </w:style>
  <w:style w:type="paragraph" w:customStyle="1" w:styleId="163">
    <w:name w:val="文本框样式1"/>
    <w:basedOn w:val="1"/>
    <w:qFormat/>
    <w:uiPriority w:val="0"/>
    <w:pPr>
      <w:adjustRightInd w:val="0"/>
      <w:snapToGrid w:val="0"/>
      <w:spacing w:before="60" w:line="180" w:lineRule="exact"/>
      <w:jc w:val="center"/>
    </w:pPr>
    <w:rPr>
      <w:sz w:val="21"/>
    </w:rPr>
  </w:style>
  <w:style w:type="paragraph" w:customStyle="1" w:styleId="164">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Char Char Char Char Char Char Char Char Char Char Char Char Char"/>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after="720"/>
    </w:pPr>
    <w:rPr>
      <w:sz w:val="28"/>
    </w:rPr>
  </w:style>
  <w:style w:type="paragraph" w:customStyle="1" w:styleId="170">
    <w:name w:val="content"/>
    <w:basedOn w:val="1"/>
    <w:qFormat/>
    <w:uiPriority w:val="0"/>
    <w:pPr>
      <w:widowControl/>
      <w:spacing w:before="100" w:beforeAutospacing="1" w:after="10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after="12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9"/>
      </w:numPr>
      <w:tabs>
        <w:tab w:val="left" w:pos="648"/>
        <w:tab w:val="clear" w:pos="360"/>
      </w:tabs>
      <w:autoSpaceDE w:val="0"/>
      <w:autoSpaceDN w:val="0"/>
      <w:adjustRightInd w:val="0"/>
      <w:spacing w:before="210" w:after="21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10"/>
      </w:numPr>
      <w:tabs>
        <w:tab w:val="left" w:pos="709"/>
        <w:tab w:val="left" w:pos="1620"/>
      </w:tabs>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after="12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after="240" w:line="288" w:lineRule="auto"/>
      <w:ind w:left="144" w:right="144"/>
      <w:jc w:val="center"/>
    </w:pPr>
    <w:rPr>
      <w:b/>
      <w:i/>
      <w:sz w:val="24"/>
    </w:rPr>
  </w:style>
  <w:style w:type="paragraph" w:customStyle="1" w:styleId="186">
    <w:name w:val="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after="33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kern w:val="0"/>
      <w:sz w:val="24"/>
    </w:rPr>
  </w:style>
  <w:style w:type="paragraph" w:customStyle="1" w:styleId="191">
    <w:name w:val="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1"/>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Char Char Char"/>
    <w:basedOn w:val="1"/>
    <w:qFormat/>
    <w:uiPriority w:val="0"/>
    <w:rPr>
      <w:rFonts w:ascii="Tahoma" w:hAnsi="Tahoma"/>
      <w:sz w:val="24"/>
    </w:rPr>
  </w:style>
  <w:style w:type="paragraph" w:customStyle="1" w:styleId="200">
    <w:name w:val="Char Char1 Char Char Char Char Char Char Char Char Char Char Char Char Char Char"/>
    <w:basedOn w:val="1"/>
    <w:qFormat/>
    <w:uiPriority w:val="0"/>
    <w:pPr>
      <w:widowControl/>
      <w:spacing w:after="16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after="12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after="8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after="60" w:line="360" w:lineRule="auto"/>
      <w:ind w:left="200" w:leftChars="200" w:firstLine="200" w:firstLineChars="200"/>
    </w:pPr>
    <w:rPr>
      <w:sz w:val="24"/>
    </w:rPr>
  </w:style>
  <w:style w:type="paragraph" w:customStyle="1" w:styleId="208">
    <w:name w:val="正文表格"/>
    <w:basedOn w:val="1"/>
    <w:qFormat/>
    <w:uiPriority w:val="0"/>
    <w:pPr>
      <w:adjustRightInd w:val="0"/>
      <w:spacing w:before="40" w:after="4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正文文本缩进 21"/>
    <w:basedOn w:val="1"/>
    <w:qFormat/>
    <w:uiPriority w:val="0"/>
    <w:pPr>
      <w:adjustRightInd w:val="0"/>
      <w:spacing w:before="12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after="12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Autospacing="1" w:after="100" w:afterAutospacing="1" w:line="360" w:lineRule="auto"/>
      <w:textAlignment w:val="top"/>
    </w:pPr>
    <w:rPr>
      <w:kern w:val="0"/>
      <w:sz w:val="24"/>
    </w:rPr>
  </w:style>
  <w:style w:type="paragraph" w:customStyle="1" w:styleId="223">
    <w:name w:val="附录3"/>
    <w:basedOn w:val="1"/>
    <w:next w:val="1"/>
    <w:qFormat/>
    <w:uiPriority w:val="0"/>
    <w:p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line="360" w:lineRule="auto"/>
      <w:ind w:firstLine="200" w:firstLineChars="200"/>
    </w:pPr>
    <w:rPr>
      <w:sz w:val="24"/>
    </w:rPr>
  </w:style>
  <w:style w:type="paragraph" w:customStyle="1" w:styleId="226">
    <w:name w:val="Char11"/>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overflowPunct w:val="0"/>
      <w:autoSpaceDE w:val="0"/>
      <w:autoSpaceDN w:val="0"/>
      <w:adjustRightInd w:val="0"/>
      <w:snapToGrid w:val="0"/>
      <w:spacing w:before="100" w:after="10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after="12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numbering" Target="numbering.xml"/><Relationship Id="rId14" Type="http://schemas.openxmlformats.org/officeDocument/2006/relationships/customXml" Target="../customXml/item1.xml"/><Relationship Id="rId13" Type="http://schemas.openxmlformats.org/officeDocument/2006/relationships/theme" Target="theme/theme1.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27</Pages>
  <Words>2042</Words>
  <Characters>11644</Characters>
  <Lines>97</Lines>
  <Paragraphs>27</Paragraphs>
  <TotalTime>3</TotalTime>
  <ScaleCrop>false</ScaleCrop>
  <LinksUpToDate>false</LinksUpToDate>
  <CharactersWithSpaces>13659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2024-10-15T03:18:00Z</dcterms:created>
  <dc:creator>周媛媛</dc:creator>
  <cp:lastModifiedBy>李薛龙</cp:lastModifiedBy>
  <cp:lastPrinted>2015-03-25T02:14:00Z</cp:lastPrinted>
  <dcterms:modified xsi:type="dcterms:W3CDTF">2026-05-29T07:54:44Z</dcterms:modified>
  <dc:title>竞争性谈判文件</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3CA2D64E2BE64F45B7FB39423EA8C96C</vt:lpwstr>
  </property>
</Properties>
</file>